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4"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3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10-Q/A</w:t>
      </w:r>
    </w:p>
    <w:p>
      <w:pPr>
        <w:spacing w:after="0" w:line="159" w:lineRule="exact"/>
        <w:rPr>
          <w:sz w:val="24"/>
          <w:szCs w:val="24"/>
          <w:color w:val="auto"/>
        </w:rPr>
      </w:pPr>
    </w:p>
    <w:p>
      <w:pPr>
        <w:ind w:left="1700" w:right="20" w:hanging="558"/>
        <w:spacing w:after="0" w:line="256" w:lineRule="auto"/>
        <w:tabs>
          <w:tab w:leader="none" w:pos="170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For the quarterly period ended March 31, 2010</w:t>
      </w:r>
    </w:p>
    <w:p>
      <w:pPr>
        <w:spacing w:after="0" w:line="15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700" w:hanging="558"/>
        <w:spacing w:after="0" w:line="256" w:lineRule="auto"/>
        <w:tabs>
          <w:tab w:leader="none" w:pos="170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001-34057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169545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289560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AMERICAN CAPITAL AGENCY CORP.</w:t>
      </w:r>
    </w:p>
    <w:p>
      <w:pPr>
        <w:spacing w:after="0" w:line="4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(Exact name of registrant as specified in its charter)</w:t>
      </w:r>
    </w:p>
    <w:p>
      <w:pPr>
        <w:sectPr>
          <w:pgSz w:w="11900" w:h="16838" w:orient="portrait"/>
          <w:cols w:equalWidth="0" w:num="1">
            <w:col w:w="11400"/>
          </w:cols>
          <w:pgMar w:left="240" w:top="230" w:right="259" w:bottom="1440" w:gutter="0" w:footer="0" w:header="0"/>
        </w:sectPr>
      </w:pPr>
    </w:p>
    <w:p>
      <w:pPr>
        <w:spacing w:after="0" w:line="121" w:lineRule="exact"/>
        <w:rPr>
          <w:sz w:val="24"/>
          <w:szCs w:val="24"/>
          <w:color w:val="auto"/>
        </w:rPr>
      </w:pPr>
    </w:p>
    <w:p>
      <w:pPr>
        <w:ind w:left="246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101"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26-1701984</w:t>
      </w:r>
    </w:p>
    <w:p>
      <w:pPr>
        <w:spacing w:after="0" w:line="56" w:lineRule="exact"/>
        <w:rPr>
          <w:sz w:val="24"/>
          <w:szCs w:val="24"/>
          <w:color w:val="auto"/>
        </w:rPr>
      </w:pPr>
    </w:p>
    <w:p>
      <w:pPr>
        <w:sectPr>
          <w:pgSz w:w="11900" w:h="16838" w:orient="portrait"/>
          <w:cols w:equalWidth="0" w:num="2">
            <w:col w:w="7600" w:space="720"/>
            <w:col w:w="3080"/>
          </w:cols>
          <w:pgMar w:left="240" w:top="230" w:right="259" w:bottom="1440" w:gutter="0" w:footer="0" w:header="0"/>
          <w:type w:val="continuous"/>
        </w:sectPr>
      </w:pPr>
    </w:p>
    <w:p>
      <w:pPr>
        <w:ind w:left="194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90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157" w:lineRule="exact"/>
        <w:rPr>
          <w:sz w:val="24"/>
          <w:szCs w:val="24"/>
          <w:color w:val="auto"/>
        </w:rPr>
      </w:pPr>
    </w:p>
    <w:p>
      <w:pPr>
        <w:sectPr>
          <w:pgSz w:w="11900" w:h="16838" w:orient="portrait"/>
          <w:cols w:equalWidth="0" w:num="2">
            <w:col w:w="7500" w:space="720"/>
            <w:col w:w="3180"/>
          </w:cols>
          <w:pgMar w:left="240" w:top="230" w:right="259" w:bottom="1440" w:gutter="0" w:footer="0" w:header="0"/>
          <w:type w:val="continuous"/>
        </w:sectPr>
      </w:pPr>
    </w:p>
    <w:p>
      <w:pPr>
        <w:jc w:val="center"/>
        <w:ind w:right="-19"/>
        <w:spacing w:after="0"/>
        <w:rPr>
          <w:sz w:val="20"/>
          <w:szCs w:val="20"/>
          <w:color w:val="auto"/>
        </w:rPr>
      </w:pPr>
      <w:r>
        <w:rPr>
          <w:rFonts w:ascii="Arial" w:cs="Arial" w:eastAsia="Arial" w:hAnsi="Arial"/>
          <w:sz w:val="16"/>
          <w:szCs w:val="16"/>
          <w:b w:val="1"/>
          <w:bCs w:val="1"/>
          <w:color w:val="auto"/>
        </w:rPr>
        <w:t>2 Bethesda Metro Center, 14th Floor</w:t>
      </w:r>
    </w:p>
    <w:p>
      <w:pPr>
        <w:spacing w:after="0" w:line="44"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3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153670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p>
      <w:pPr>
        <w:spacing w:after="0" w:line="200" w:lineRule="exact"/>
        <w:rPr>
          <w:sz w:val="24"/>
          <w:szCs w:val="24"/>
          <w:color w:val="auto"/>
        </w:rPr>
      </w:pPr>
    </w:p>
    <w:p>
      <w:pPr>
        <w:spacing w:after="0" w:line="223" w:lineRule="exact"/>
        <w:rPr>
          <w:sz w:val="24"/>
          <w:szCs w:val="24"/>
          <w:color w:val="auto"/>
        </w:rPr>
      </w:pPr>
    </w:p>
    <w:p>
      <w:pPr>
        <w:jc w:val="both"/>
        <w:ind w:right="1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jc w:val="both"/>
        <w:ind w:right="4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24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“large accelerated filer,” “accelerated filer” and “smaller reporting company” in Rule 12b-2 of the Exchange Act.</w:t>
      </w:r>
    </w:p>
    <w:p>
      <w:pPr>
        <w:sectPr>
          <w:pgSz w:w="11900" w:h="16838" w:orient="portrait"/>
          <w:cols w:equalWidth="0" w:num="1">
            <w:col w:w="11400"/>
          </w:cols>
          <w:pgMar w:left="240" w:top="230" w:right="259" w:bottom="1440" w:gutter="0" w:footer="0" w:header="0"/>
          <w:type w:val="continuous"/>
        </w:sectPr>
      </w:pPr>
    </w:p>
    <w:p>
      <w:pPr>
        <w:spacing w:after="0" w:line="39" w:lineRule="exact"/>
        <w:rPr>
          <w:sz w:val="24"/>
          <w:szCs w:val="24"/>
          <w:color w:val="auto"/>
        </w:rPr>
      </w:pPr>
    </w:p>
    <w:p>
      <w:pPr>
        <w:ind w:left="440"/>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224" w:lineRule="exact"/>
        <w:rPr>
          <w:sz w:val="24"/>
          <w:szCs w:val="24"/>
          <w:color w:val="auto"/>
        </w:rPr>
      </w:pPr>
    </w:p>
    <w:p>
      <w:pPr>
        <w:sectPr>
          <w:pgSz w:w="11900" w:h="16838" w:orient="portrait"/>
          <w:cols w:equalWidth="0" w:num="3">
            <w:col w:w="7940" w:space="720"/>
            <w:col w:w="2020" w:space="100"/>
            <w:col w:w="620"/>
          </w:cols>
          <w:pgMar w:left="240" w:top="230" w:right="259" w:bottom="1440" w:gutter="0" w:footer="0" w:header="0"/>
          <w:type w:val="continuous"/>
        </w:sectPr>
      </w:pPr>
    </w:p>
    <w:p>
      <w:pPr>
        <w:ind w:left="460"/>
        <w:spacing w:after="0" w:line="184" w:lineRule="exact"/>
        <w:tabs>
          <w:tab w:leader="none" w:pos="85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9100" w:space="200"/>
            <w:col w:w="2100"/>
          </w:cols>
          <w:pgMar w:left="240" w:top="230" w:right="259" w:bottom="1440" w:gutter="0" w:footer="0" w:header="0"/>
          <w:type w:val="continuous"/>
        </w:sectPr>
      </w:pPr>
    </w:p>
    <w:p>
      <w:pPr>
        <w:spacing w:after="0" w:line="1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April 30, 2010, was 26,760,295.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230" w:right="25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164"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On May 3, 2010, we filed our Quarterly Report on Form 10-Q for the quarter ended March 31, 2010 (the “Original Filing”), with the Securities and Exchange Commission (the “SEC”). The Original Filing is being amended to include certifications of the Company’s CEO and CFO pursuant to Section 302 of the Sarbanes-Oxley Act of 2002, filed as exhibits hereto, inadvertently omitted from the Original Filing.</w:t>
      </w:r>
    </w:p>
    <w:p>
      <w:pPr>
        <w:spacing w:after="0" w:line="127" w:lineRule="exact"/>
        <w:rPr>
          <w:sz w:val="20"/>
          <w:szCs w:val="20"/>
          <w:color w:val="auto"/>
        </w:rPr>
      </w:pPr>
    </w:p>
    <w:p>
      <w:pPr>
        <w:jc w:val="both"/>
        <w:ind w:right="200" w:firstLine="456"/>
        <w:spacing w:after="0" w:line="298" w:lineRule="auto"/>
        <w:rPr>
          <w:sz w:val="20"/>
          <w:szCs w:val="20"/>
          <w:color w:val="auto"/>
        </w:rPr>
      </w:pPr>
      <w:r>
        <w:rPr>
          <w:rFonts w:ascii="Arial" w:cs="Arial" w:eastAsia="Arial" w:hAnsi="Arial"/>
          <w:sz w:val="16"/>
          <w:szCs w:val="16"/>
          <w:color w:val="auto"/>
        </w:rPr>
        <w:t>This Amendment does not change any information presented in the Original Filing other than adding the certifications noted in the preceding paragraph, and has not been updated to reflect events occurring subsequent to the date of the Original Filing. This Amendment speaks as of the date of the Original Filing, except for certain certifications, which speak as of their respective dates and the filing date of this Amendment. This Amendment should be read in conjunction with our filings made with the SEC subsequent to the filing of the Original Filing, including any amendments to those filings.</w:t>
      </w:r>
    </w:p>
    <w:p>
      <w:pPr>
        <w:spacing w:after="0" w:line="9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00" w:type="dxa"/>
            <w:vAlign w:val="bottom"/>
            <w:gridSpan w:val="4"/>
          </w:tcPr>
          <w:p>
            <w:pPr>
              <w:ind w:left="1500"/>
              <w:spacing w:after="0"/>
              <w:rPr>
                <w:sz w:val="20"/>
                <w:szCs w:val="20"/>
                <w:color w:val="auto"/>
              </w:rPr>
            </w:pPr>
            <w:r>
              <w:rPr>
                <w:rFonts w:ascii="Arial" w:cs="Arial" w:eastAsia="Arial" w:hAnsi="Arial"/>
                <w:sz w:val="18"/>
                <w:szCs w:val="18"/>
                <w:b w:val="1"/>
                <w:bCs w:val="1"/>
                <w:color w:val="auto"/>
              </w:rPr>
              <w:t>TABLE OF CONTENTS</w:t>
            </w:r>
          </w:p>
        </w:tc>
        <w:tc>
          <w:tcPr>
            <w:tcW w:w="2140" w:type="dxa"/>
            <w:vAlign w:val="bottom"/>
          </w:tcPr>
          <w:p>
            <w:pPr>
              <w:spacing w:after="0"/>
              <w:rPr>
                <w:sz w:val="19"/>
                <w:szCs w:val="19"/>
                <w:color w:val="auto"/>
              </w:rPr>
            </w:pPr>
          </w:p>
        </w:tc>
      </w:tr>
      <w:tr>
        <w:trPr>
          <w:trHeight w:val="365"/>
        </w:trPr>
        <w:tc>
          <w:tcPr>
            <w:tcW w:w="9280" w:type="dxa"/>
            <w:vAlign w:val="bottom"/>
            <w:gridSpan w:val="13"/>
          </w:tcPr>
          <w:p>
            <w:pPr>
              <w:spacing w:after="0"/>
              <w:rPr>
                <w:sz w:val="20"/>
                <w:szCs w:val="20"/>
                <w:color w:val="auto"/>
              </w:rPr>
            </w:pPr>
            <w:r>
              <w:rPr>
                <w:rFonts w:ascii="Arial" w:cs="Arial" w:eastAsia="Arial" w:hAnsi="Arial"/>
                <w:sz w:val="18"/>
                <w:szCs w:val="18"/>
                <w:b w:val="1"/>
                <w:bCs w:val="1"/>
                <w:color w:val="auto"/>
              </w:rPr>
              <w:t>PART I. FINANCIAL INFORMATION</w:t>
            </w:r>
          </w:p>
        </w:tc>
        <w:tc>
          <w:tcPr>
            <w:tcW w:w="2140" w:type="dxa"/>
            <w:vAlign w:val="bottom"/>
          </w:tcPr>
          <w:p>
            <w:pPr>
              <w:spacing w:after="0"/>
              <w:rPr>
                <w:sz w:val="24"/>
                <w:szCs w:val="24"/>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1"/>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1"/>
          </w:tcPr>
          <w:p>
            <w:pPr>
              <w:spacing w:after="0" w:line="196" w:lineRule="exact"/>
              <w:rPr>
                <w:rFonts w:ascii="Arial" w:cs="Arial" w:eastAsia="Arial" w:hAnsi="Arial"/>
                <w:sz w:val="18"/>
                <w:szCs w:val="18"/>
                <w:color w:val="0000EE"/>
              </w:rPr>
            </w:pPr>
            <w:hyperlink w:anchor="page25">
              <w:r>
                <w:rPr>
                  <w:rFonts w:ascii="Arial" w:cs="Arial" w:eastAsia="Arial" w:hAnsi="Arial"/>
                  <w:sz w:val="18"/>
                  <w:szCs w:val="18"/>
                  <w:color w:val="0000EE"/>
                </w:rPr>
                <w:t>Management’s Discussion and Analysis of Financial Condition and Results of Operations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89"/>
              </w:rPr>
            </w:pPr>
            <w:hyperlink w:anchor="page40">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tcPr>
          <w:p>
            <w:pPr>
              <w:spacing w:after="0"/>
              <w:rPr>
                <w:sz w:val="17"/>
                <w:szCs w:val="17"/>
                <w:color w:val="auto"/>
              </w:rPr>
            </w:pPr>
          </w:p>
        </w:tc>
        <w:tc>
          <w:tcPr>
            <w:tcW w:w="1960" w:type="dxa"/>
            <w:vAlign w:val="bottom"/>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39</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260" w:type="dxa"/>
            <w:vAlign w:val="bottom"/>
            <w:gridSpan w:val="11"/>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Controls and Procedures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41</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343"/>
        </w:trPr>
        <w:tc>
          <w:tcPr>
            <w:tcW w:w="9280" w:type="dxa"/>
            <w:vAlign w:val="bottom"/>
            <w:gridSpan w:val="13"/>
          </w:tcPr>
          <w:p>
            <w:pPr>
              <w:spacing w:after="0"/>
              <w:rPr>
                <w:sz w:val="20"/>
                <w:szCs w:val="20"/>
                <w:color w:val="auto"/>
              </w:rPr>
            </w:pPr>
            <w:r>
              <w:rPr>
                <w:rFonts w:ascii="Arial" w:cs="Arial" w:eastAsia="Arial" w:hAnsi="Arial"/>
                <w:sz w:val="18"/>
                <w:szCs w:val="18"/>
                <w:b w:val="1"/>
                <w:bCs w:val="1"/>
                <w:color w:val="auto"/>
              </w:rPr>
              <w:t>PART II. OTHER INFORMATION</w:t>
            </w:r>
          </w:p>
        </w:tc>
        <w:tc>
          <w:tcPr>
            <w:tcW w:w="2140" w:type="dxa"/>
            <w:vAlign w:val="bottom"/>
          </w:tcPr>
          <w:p>
            <w:pPr>
              <w:spacing w:after="0"/>
              <w:rPr>
                <w:sz w:val="24"/>
                <w:szCs w:val="24"/>
                <w:color w:val="auto"/>
              </w:rPr>
            </w:pPr>
          </w:p>
        </w:tc>
      </w:tr>
      <w:tr>
        <w:trPr>
          <w:trHeight w:val="286"/>
        </w:trPr>
        <w:tc>
          <w:tcPr>
            <w:tcW w:w="10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260" w:type="dxa"/>
            <w:vAlign w:val="bottom"/>
            <w:gridSpan w:val="11"/>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Legal Proceedings</w:t>
              </w:r>
            </w:hyperlink>
          </w:p>
        </w:tc>
        <w:tc>
          <w:tcPr>
            <w:tcW w:w="2140" w:type="dxa"/>
            <w:vAlign w:val="bottom"/>
          </w:tcPr>
          <w:p>
            <w:pPr>
              <w:jc w:val="right"/>
              <w:spacing w:after="0"/>
              <w:rPr>
                <w:sz w:val="20"/>
                <w:szCs w:val="20"/>
                <w:color w:val="auto"/>
              </w:rPr>
            </w:pPr>
            <w:r>
              <w:rPr>
                <w:rFonts w:ascii="Arial" w:cs="Arial" w:eastAsia="Arial" w:hAnsi="Arial"/>
                <w:sz w:val="18"/>
                <w:szCs w:val="18"/>
                <w:color w:val="auto"/>
              </w:rPr>
              <w:t>41</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3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Risk Factors</w:t>
              </w:r>
            </w:hyperlink>
          </w:p>
        </w:tc>
        <w:tc>
          <w:tcPr>
            <w:tcW w:w="6960" w:type="dxa"/>
            <w:vAlign w:val="bottom"/>
            <w:gridSpan w:val="7"/>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20"/>
        </w:trPr>
        <w:tc>
          <w:tcPr>
            <w:tcW w:w="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gridSpan w:val="4"/>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020" w:type="dxa"/>
            <w:vAlign w:val="bottom"/>
            <w:gridSpan w:val="3"/>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260" w:type="dxa"/>
            <w:vAlign w:val="bottom"/>
            <w:gridSpan w:val="11"/>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Unregistered Sales of Equity Securities and Use of Proceeds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40" w:type="dxa"/>
            <w:vAlign w:val="bottom"/>
            <w:tcBorders>
              <w:top w:val="single" w:sz="8" w:color="0000EE"/>
            </w:tcBorders>
            <w:gridSpan w:val="8"/>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Defaults Upon Senior Securities</w:t>
              </w:r>
            </w:hyperlink>
          </w:p>
        </w:tc>
        <w:tc>
          <w:tcPr>
            <w:tcW w:w="4020" w:type="dxa"/>
            <w:vAlign w:val="bottom"/>
            <w:gridSpan w:val="3"/>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46</w:t>
            </w:r>
          </w:p>
        </w:tc>
      </w:tr>
      <w:tr>
        <w:trPr>
          <w:trHeight w:val="242"/>
        </w:trPr>
        <w:tc>
          <w:tcPr>
            <w:tcW w:w="1020" w:type="dxa"/>
            <w:vAlign w:val="bottom"/>
            <w:gridSpan w:val="2"/>
          </w:tcPr>
          <w:p>
            <w:pPr>
              <w:spacing w:after="0"/>
              <w:rPr>
                <w:sz w:val="20"/>
                <w:szCs w:val="20"/>
                <w:color w:val="auto"/>
              </w:rPr>
            </w:pPr>
            <w:r>
              <w:rPr>
                <w:rFonts w:ascii="Arial" w:cs="Arial" w:eastAsia="Arial" w:hAnsi="Arial"/>
                <w:sz w:val="18"/>
                <w:szCs w:val="18"/>
                <w:color w:val="auto"/>
              </w:rPr>
              <w:t>Item 4.</w:t>
            </w:r>
          </w:p>
        </w:tc>
        <w:tc>
          <w:tcPr>
            <w:tcW w:w="226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auto"/>
              </w:rPr>
              <w:t>Removed and Reserved</w:t>
            </w:r>
          </w:p>
        </w:tc>
        <w:tc>
          <w:tcPr>
            <w:tcW w:w="6000" w:type="dxa"/>
            <w:vAlign w:val="bottom"/>
            <w:gridSpan w:val="4"/>
          </w:tcPr>
          <w:p>
            <w:pPr>
              <w:spacing w:after="0"/>
              <w:rPr>
                <w:sz w:val="21"/>
                <w:szCs w:val="21"/>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184"/>
        </w:trPr>
        <w:tc>
          <w:tcPr>
            <w:tcW w:w="1020" w:type="dxa"/>
            <w:vAlign w:val="bottom"/>
            <w:gridSpan w:val="2"/>
          </w:tcPr>
          <w:p>
            <w:pPr>
              <w:spacing w:after="0" w:line="184" w:lineRule="exact"/>
              <w:rPr>
                <w:sz w:val="20"/>
                <w:szCs w:val="20"/>
                <w:color w:val="auto"/>
              </w:rPr>
            </w:pPr>
            <w:r>
              <w:rPr>
                <w:rFonts w:ascii="Arial" w:cs="Arial" w:eastAsia="Arial" w:hAnsi="Arial"/>
                <w:sz w:val="18"/>
                <w:szCs w:val="18"/>
                <w:color w:val="auto"/>
              </w:rPr>
              <w:t>Item 5.</w:t>
            </w:r>
          </w:p>
        </w:tc>
        <w:tc>
          <w:tcPr>
            <w:tcW w:w="8260" w:type="dxa"/>
            <w:vAlign w:val="bottom"/>
            <w:gridSpan w:val="11"/>
          </w:tcPr>
          <w:p>
            <w:pPr>
              <w:spacing w:after="0" w:line="184" w:lineRule="exact"/>
              <w:rPr>
                <w:rFonts w:ascii="Arial" w:cs="Arial" w:eastAsia="Arial" w:hAnsi="Arial"/>
                <w:sz w:val="18"/>
                <w:szCs w:val="18"/>
                <w:color w:val="0000EE"/>
              </w:rPr>
            </w:pPr>
            <w:hyperlink w:anchor="page47">
              <w:r>
                <w:rPr>
                  <w:rFonts w:ascii="Arial" w:cs="Arial" w:eastAsia="Arial" w:hAnsi="Arial"/>
                  <w:sz w:val="18"/>
                  <w:szCs w:val="18"/>
                  <w:color w:val="0000EE"/>
                </w:rPr>
                <w:t>Other Information</w:t>
              </w:r>
            </w:hyperlink>
          </w:p>
        </w:tc>
        <w:tc>
          <w:tcPr>
            <w:tcW w:w="2140" w:type="dxa"/>
            <w:vAlign w:val="bottom"/>
          </w:tcPr>
          <w:p>
            <w:pPr>
              <w:jc w:val="right"/>
              <w:spacing w:after="0" w:line="184" w:lineRule="exact"/>
              <w:rPr>
                <w:sz w:val="20"/>
                <w:szCs w:val="20"/>
                <w:color w:val="auto"/>
              </w:rPr>
            </w:pPr>
            <w:r>
              <w:rPr>
                <w:rFonts w:ascii="Arial" w:cs="Arial" w:eastAsia="Arial" w:hAnsi="Arial"/>
                <w:sz w:val="18"/>
                <w:szCs w:val="18"/>
                <w:color w:val="auto"/>
              </w:rPr>
              <w:t>46</w:t>
            </w:r>
          </w:p>
        </w:tc>
      </w:tr>
      <w:tr>
        <w:trPr>
          <w:trHeight w:val="196"/>
        </w:trPr>
        <w:tc>
          <w:tcPr>
            <w:tcW w:w="102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28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48">
              <w:r>
                <w:rPr>
                  <w:rFonts w:ascii="Arial" w:cs="Arial" w:eastAsia="Arial" w:hAnsi="Arial"/>
                  <w:sz w:val="18"/>
                  <w:szCs w:val="18"/>
                  <w:color w:val="0000EE"/>
                </w:rPr>
                <w:t>Exhibits</w:t>
              </w:r>
            </w:hyperlink>
          </w:p>
        </w:tc>
        <w:tc>
          <w:tcPr>
            <w:tcW w:w="6980" w:type="dxa"/>
            <w:vAlign w:val="bottom"/>
            <w:gridSpan w:val="8"/>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47</w:t>
            </w:r>
          </w:p>
        </w:tc>
      </w:tr>
      <w:tr>
        <w:trPr>
          <w:trHeight w:val="304"/>
        </w:trPr>
        <w:tc>
          <w:tcPr>
            <w:tcW w:w="1020" w:type="dxa"/>
            <w:vAlign w:val="bottom"/>
            <w:gridSpan w:val="2"/>
          </w:tcPr>
          <w:p>
            <w:pPr>
              <w:spacing w:after="0"/>
              <w:rPr>
                <w:rFonts w:ascii="Arial" w:cs="Arial" w:eastAsia="Arial" w:hAnsi="Arial"/>
                <w:sz w:val="18"/>
                <w:szCs w:val="18"/>
                <w:color w:val="0000EE"/>
              </w:rPr>
            </w:pPr>
            <w:hyperlink w:anchor="page49">
              <w:r>
                <w:rPr>
                  <w:rFonts w:ascii="Arial" w:cs="Arial" w:eastAsia="Arial" w:hAnsi="Arial"/>
                  <w:sz w:val="18"/>
                  <w:szCs w:val="18"/>
                  <w:color w:val="0000EE"/>
                </w:rPr>
                <w:t>Signatures</w:t>
              </w:r>
            </w:hyperlink>
          </w:p>
        </w:tc>
        <w:tc>
          <w:tcPr>
            <w:tcW w:w="58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383"/>
        </w:trPr>
        <w:tc>
          <w:tcPr>
            <w:tcW w:w="7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6300" w:type="dxa"/>
            <w:vAlign w:val="bottom"/>
            <w:gridSpan w:val="10"/>
          </w:tcPr>
          <w:p>
            <w:pPr>
              <w:ind w:left="4660"/>
              <w:spacing w:after="0"/>
              <w:rPr>
                <w:sz w:val="20"/>
                <w:szCs w:val="20"/>
                <w:color w:val="auto"/>
              </w:rPr>
            </w:pPr>
            <w:r>
              <w:rPr>
                <w:rFonts w:ascii="Arial" w:cs="Arial" w:eastAsia="Arial" w:hAnsi="Arial"/>
                <w:sz w:val="18"/>
                <w:szCs w:val="18"/>
                <w:color w:val="auto"/>
              </w:rPr>
              <w:t>1</w:t>
            </w:r>
          </w:p>
        </w:tc>
        <w:tc>
          <w:tcPr>
            <w:tcW w:w="1960" w:type="dxa"/>
            <w:vAlign w:val="bottom"/>
          </w:tcPr>
          <w:p>
            <w:pPr>
              <w:spacing w:after="0"/>
              <w:rPr>
                <w:sz w:val="24"/>
                <w:szCs w:val="24"/>
                <w:color w:val="auto"/>
              </w:rPr>
            </w:pPr>
          </w:p>
        </w:tc>
        <w:tc>
          <w:tcPr>
            <w:tcW w:w="21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660" w:type="dxa"/>
            <w:vAlign w:val="bottom"/>
          </w:tcPr>
          <w:p>
            <w:pPr>
              <w:spacing w:after="0"/>
              <w:rPr>
                <w:sz w:val="20"/>
                <w:szCs w:val="20"/>
                <w:color w:val="auto"/>
              </w:rPr>
            </w:pPr>
            <w:r>
              <w:rPr>
                <w:rFonts w:ascii="Arial" w:cs="Arial" w:eastAsia="Arial" w:hAnsi="Arial"/>
                <w:sz w:val="18"/>
                <w:szCs w:val="18"/>
                <w:b w:val="1"/>
                <w:bCs w:val="1"/>
                <w:color w:val="auto"/>
              </w:rPr>
              <w:t>ITEM 1.</w:t>
            </w:r>
          </w:p>
        </w:tc>
        <w:tc>
          <w:tcPr>
            <w:tcW w:w="8060" w:type="dxa"/>
            <w:vAlign w:val="bottom"/>
          </w:tcPr>
          <w:p>
            <w:pPr>
              <w:ind w:left="380"/>
              <w:spacing w:after="0"/>
              <w:rPr>
                <w:sz w:val="20"/>
                <w:szCs w:val="20"/>
                <w:color w:val="auto"/>
              </w:rPr>
            </w:pPr>
            <w:r>
              <w:rPr>
                <w:rFonts w:ascii="Arial" w:cs="Arial" w:eastAsia="Arial" w:hAnsi="Arial"/>
                <w:sz w:val="18"/>
                <w:szCs w:val="18"/>
                <w:b w:val="1"/>
                <w:bCs w:val="1"/>
                <w:i w:val="1"/>
                <w:iCs w:val="1"/>
                <w:color w:val="auto"/>
              </w:rPr>
              <w:t>Financial Statements</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352"/>
        </w:trPr>
        <w:tc>
          <w:tcPr>
            <w:tcW w:w="660" w:type="dxa"/>
            <w:vAlign w:val="bottom"/>
          </w:tcPr>
          <w:p>
            <w:pPr>
              <w:spacing w:after="0"/>
              <w:rPr>
                <w:sz w:val="24"/>
                <w:szCs w:val="24"/>
                <w:color w:val="auto"/>
              </w:rPr>
            </w:pPr>
          </w:p>
        </w:tc>
        <w:tc>
          <w:tcPr>
            <w:tcW w:w="8060" w:type="dxa"/>
            <w:vAlign w:val="bottom"/>
          </w:tcPr>
          <w:p>
            <w:pPr>
              <w:jc w:val="center"/>
              <w:ind w:left="1952"/>
              <w:spacing w:after="0"/>
              <w:rPr>
                <w:sz w:val="20"/>
                <w:szCs w:val="20"/>
                <w:color w:val="auto"/>
              </w:rPr>
            </w:pPr>
            <w:r>
              <w:rPr>
                <w:rFonts w:ascii="Arial" w:cs="Arial" w:eastAsia="Arial" w:hAnsi="Arial"/>
                <w:sz w:val="18"/>
                <w:szCs w:val="18"/>
                <w:b w:val="1"/>
                <w:bCs w:val="1"/>
                <w:color w:val="auto"/>
                <w:w w:val="98"/>
              </w:rPr>
              <w:t>AMERICAN CAPITAL AGENCY CORP.</w:t>
            </w: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660" w:type="dxa"/>
            <w:vAlign w:val="bottom"/>
          </w:tcPr>
          <w:p>
            <w:pPr>
              <w:spacing w:after="0"/>
              <w:rPr>
                <w:sz w:val="18"/>
                <w:szCs w:val="18"/>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96"/>
              </w:rPr>
              <w:t>CONSOLIDATED BALANCE SHEETS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8"/>
        </w:trPr>
        <w:tc>
          <w:tcPr>
            <w:tcW w:w="660" w:type="dxa"/>
            <w:vAlign w:val="bottom"/>
          </w:tcPr>
          <w:p>
            <w:pPr>
              <w:spacing w:after="0"/>
              <w:rPr>
                <w:sz w:val="19"/>
                <w:szCs w:val="19"/>
                <w:color w:val="auto"/>
              </w:rPr>
            </w:pPr>
          </w:p>
        </w:tc>
        <w:tc>
          <w:tcPr>
            <w:tcW w:w="8060" w:type="dxa"/>
            <w:vAlign w:val="bottom"/>
          </w:tcPr>
          <w:p>
            <w:pPr>
              <w:jc w:val="center"/>
              <w:ind w:left="1972"/>
              <w:spacing w:after="0"/>
              <w:rPr>
                <w:sz w:val="20"/>
                <w:szCs w:val="20"/>
                <w:color w:val="auto"/>
              </w:rPr>
            </w:pPr>
            <w:r>
              <w:rPr>
                <w:rFonts w:ascii="Arial" w:cs="Arial" w:eastAsia="Arial" w:hAnsi="Arial"/>
                <w:sz w:val="18"/>
                <w:szCs w:val="18"/>
                <w:b w:val="1"/>
                <w:bCs w:val="1"/>
                <w:color w:val="auto"/>
                <w:w w:val="86"/>
              </w:rPr>
              <w:t>(in thousands, except per share data)</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86"/>
        </w:trPr>
        <w:tc>
          <w:tcPr>
            <w:tcW w:w="660" w:type="dxa"/>
            <w:vAlign w:val="bottom"/>
          </w:tcPr>
          <w:p>
            <w:pPr>
              <w:spacing w:after="0"/>
              <w:rPr>
                <w:sz w:val="24"/>
                <w:szCs w:val="24"/>
                <w:color w:val="auto"/>
              </w:rPr>
            </w:pPr>
          </w:p>
        </w:tc>
        <w:tc>
          <w:tcPr>
            <w:tcW w:w="80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jc w:val="center"/>
              <w:ind w:right="14"/>
              <w:spacing w:after="0"/>
              <w:rPr>
                <w:sz w:val="20"/>
                <w:szCs w:val="20"/>
                <w:color w:val="auto"/>
              </w:rPr>
            </w:pPr>
            <w:r>
              <w:rPr>
                <w:rFonts w:ascii="Arial" w:cs="Arial" w:eastAsia="Arial" w:hAnsi="Arial"/>
                <w:sz w:val="14"/>
                <w:szCs w:val="14"/>
                <w:b w:val="1"/>
                <w:bCs w:val="1"/>
                <w:color w:val="auto"/>
                <w:w w:val="92"/>
              </w:rPr>
              <w:t>March 31,</w:t>
            </w:r>
          </w:p>
        </w:tc>
        <w:tc>
          <w:tcPr>
            <w:tcW w:w="320" w:type="dxa"/>
            <w:vAlign w:val="bottom"/>
          </w:tcPr>
          <w:p>
            <w:pPr>
              <w:spacing w:after="0"/>
              <w:rPr>
                <w:sz w:val="24"/>
                <w:szCs w:val="24"/>
                <w:color w:val="auto"/>
              </w:rPr>
            </w:pPr>
          </w:p>
        </w:tc>
        <w:tc>
          <w:tcPr>
            <w:tcW w:w="96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w w:val="92"/>
              </w:rPr>
              <w:t>December 31,</w:t>
            </w:r>
          </w:p>
        </w:tc>
      </w:tr>
      <w:tr>
        <w:trPr>
          <w:trHeight w:val="161"/>
        </w:trPr>
        <w:tc>
          <w:tcPr>
            <w:tcW w:w="660" w:type="dxa"/>
            <w:vAlign w:val="bottom"/>
          </w:tcPr>
          <w:p>
            <w:pPr>
              <w:spacing w:after="0"/>
              <w:rPr>
                <w:sz w:val="14"/>
                <w:szCs w:val="14"/>
                <w:color w:val="auto"/>
              </w:rPr>
            </w:pPr>
          </w:p>
        </w:tc>
        <w:tc>
          <w:tcPr>
            <w:tcW w:w="80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89"/>
              </w:rPr>
              <w:t>2010</w:t>
            </w:r>
          </w:p>
        </w:tc>
        <w:tc>
          <w:tcPr>
            <w:tcW w:w="3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2009</w:t>
            </w:r>
          </w:p>
        </w:tc>
        <w:tc>
          <w:tcPr>
            <w:tcW w:w="20" w:type="dxa"/>
            <w:vAlign w:val="bottom"/>
          </w:tcPr>
          <w:p>
            <w:pPr>
              <w:spacing w:after="0"/>
              <w:rPr>
                <w:sz w:val="14"/>
                <w:szCs w:val="14"/>
                <w:color w:val="auto"/>
              </w:rPr>
            </w:pPr>
          </w:p>
        </w:tc>
      </w:tr>
      <w:tr>
        <w:trPr>
          <w:trHeight w:val="142"/>
        </w:trPr>
        <w:tc>
          <w:tcPr>
            <w:tcW w:w="660" w:type="dxa"/>
            <w:vAlign w:val="bottom"/>
          </w:tcPr>
          <w:p>
            <w:pPr>
              <w:spacing w:after="0"/>
              <w:rPr>
                <w:sz w:val="12"/>
                <w:szCs w:val="12"/>
                <w:color w:val="auto"/>
              </w:rPr>
            </w:pPr>
          </w:p>
        </w:tc>
        <w:tc>
          <w:tcPr>
            <w:tcW w:w="80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jc w:val="center"/>
              <w:ind w:right="34"/>
              <w:spacing w:after="0" w:line="142" w:lineRule="exact"/>
              <w:rPr>
                <w:sz w:val="20"/>
                <w:szCs w:val="20"/>
                <w:color w:val="auto"/>
              </w:rPr>
            </w:pPr>
            <w:r>
              <w:rPr>
                <w:rFonts w:ascii="Arial" w:cs="Arial" w:eastAsia="Arial" w:hAnsi="Arial"/>
                <w:sz w:val="14"/>
                <w:szCs w:val="14"/>
                <w:b w:val="1"/>
                <w:bCs w:val="1"/>
                <w:color w:val="auto"/>
                <w:w w:val="89"/>
              </w:rPr>
              <w:t>(Unaudited)</w:t>
            </w: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216"/>
        </w:trPr>
        <w:tc>
          <w:tcPr>
            <w:tcW w:w="6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8"/>
              </w:rPr>
              <w:t>Assets:</w:t>
            </w:r>
          </w:p>
        </w:tc>
        <w:tc>
          <w:tcPr>
            <w:tcW w:w="80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Agency securities, at fair value (including pledged assets of $4,855,633 and $4,136,596, respectively)</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5,240,254</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4,300,115</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Cash and cash equivalents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105,264</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202,803</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Restricted cash</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26,630</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19,628</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Interest receivable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26,168</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22,872</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Derivative assets, at fair value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8,736</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11,960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Receivable for agency securities sold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273,832</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47,076</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Principal payments receivable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88,474</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20,473</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Other assets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757</w:t>
            </w: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assets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5,769,989</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w w:val="94"/>
              </w:rPr>
              <w:t>4,625,684</w:t>
            </w: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1"/>
        </w:trPr>
        <w:tc>
          <w:tcPr>
            <w:tcW w:w="87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Repurchase agreements</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4,651,115</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3,841,834</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Payable for agency securities purchased</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436,100</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180,345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Accrued interest payable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2,265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2,007</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Derivative liabilities, at fair value</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28,689</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17,798</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Dividend payable</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37,465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34,050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Due to Manager</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1,662</w:t>
            </w:r>
          </w:p>
        </w:tc>
        <w:tc>
          <w:tcPr>
            <w:tcW w:w="20" w:type="dxa"/>
            <w:vAlign w:val="bottom"/>
          </w:tcPr>
          <w:p>
            <w:pPr>
              <w:spacing w:after="0"/>
              <w:rPr>
                <w:sz w:val="18"/>
                <w:szCs w:val="18"/>
                <w:color w:val="auto"/>
              </w:rPr>
            </w:pPr>
          </w:p>
        </w:tc>
      </w:tr>
      <w:tr>
        <w:trPr>
          <w:trHeight w:val="223"/>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Accounts payable and other accrued liabilities</w:t>
            </w:r>
          </w:p>
        </w:tc>
        <w:tc>
          <w:tcPr>
            <w:tcW w:w="5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393</w:t>
            </w:r>
          </w:p>
        </w:tc>
        <w:tc>
          <w:tcPr>
            <w:tcW w:w="3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1,166</w:t>
            </w:r>
          </w:p>
        </w:tc>
        <w:tc>
          <w:tcPr>
            <w:tcW w:w="20" w:type="dxa"/>
            <w:vAlign w:val="bottom"/>
          </w:tcPr>
          <w:p>
            <w:pPr>
              <w:spacing w:after="0"/>
              <w:rPr>
                <w:sz w:val="19"/>
                <w:szCs w:val="19"/>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5,156,870</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4,078,862</w:t>
            </w:r>
          </w:p>
        </w:tc>
        <w:tc>
          <w:tcPr>
            <w:tcW w:w="20" w:type="dxa"/>
            <w:vAlign w:val="bottom"/>
          </w:tcPr>
          <w:p>
            <w:pPr>
              <w:spacing w:after="0"/>
              <w:rPr>
                <w:sz w:val="18"/>
                <w:szCs w:val="18"/>
                <w:color w:val="auto"/>
              </w:rPr>
            </w:pPr>
          </w:p>
        </w:tc>
      </w:tr>
      <w:tr>
        <w:trPr>
          <w:trHeight w:val="221"/>
        </w:trPr>
        <w:tc>
          <w:tcPr>
            <w:tcW w:w="87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7"/>
              </w:rPr>
              <w:t>Preferred stock, $0.01 par value; 10,000 shares authorized, 0 shares issued and outstanding, respectively</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08"/>
        </w:trPr>
        <w:tc>
          <w:tcPr>
            <w:tcW w:w="8720" w:type="dxa"/>
            <w:vAlign w:val="bottom"/>
            <w:gridSpan w:val="2"/>
          </w:tcPr>
          <w:p>
            <w:pPr>
              <w:ind w:left="440"/>
              <w:spacing w:after="0"/>
              <w:rPr>
                <w:sz w:val="20"/>
                <w:szCs w:val="20"/>
                <w:color w:val="auto"/>
              </w:rPr>
            </w:pPr>
            <w:r>
              <w:rPr>
                <w:rFonts w:ascii="Arial" w:cs="Arial" w:eastAsia="Arial" w:hAnsi="Arial"/>
                <w:sz w:val="18"/>
                <w:szCs w:val="18"/>
                <w:color w:val="auto"/>
                <w:w w:val="92"/>
              </w:rPr>
              <w:t>Common stock, $0.01 par value; 150,000 shares authorized, 26,760 and 24,322 shares issued and outstanding,</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22"/>
        </w:trPr>
        <w:tc>
          <w:tcPr>
            <w:tcW w:w="660" w:type="dxa"/>
            <w:vAlign w:val="bottom"/>
          </w:tcPr>
          <w:p>
            <w:pPr>
              <w:spacing w:after="0"/>
              <w:rPr>
                <w:sz w:val="19"/>
                <w:szCs w:val="19"/>
                <w:color w:val="auto"/>
              </w:rPr>
            </w:pPr>
          </w:p>
        </w:tc>
        <w:tc>
          <w:tcPr>
            <w:tcW w:w="8060" w:type="dxa"/>
            <w:vAlign w:val="bottom"/>
          </w:tcPr>
          <w:p>
            <w:pPr>
              <w:spacing w:after="0"/>
              <w:rPr>
                <w:sz w:val="20"/>
                <w:szCs w:val="20"/>
                <w:color w:val="auto"/>
              </w:rPr>
            </w:pPr>
            <w:r>
              <w:rPr>
                <w:rFonts w:ascii="Arial" w:cs="Arial" w:eastAsia="Arial" w:hAnsi="Arial"/>
                <w:sz w:val="18"/>
                <w:szCs w:val="18"/>
                <w:color w:val="auto"/>
              </w:rPr>
              <w:t>respectively</w:t>
            </w: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268</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243</w:t>
            </w:r>
          </w:p>
        </w:tc>
      </w:tr>
      <w:tr>
        <w:trPr>
          <w:trHeight w:val="218"/>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Additional paid-in capital</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569,595</w:t>
            </w:r>
          </w:p>
        </w:tc>
        <w:tc>
          <w:tcPr>
            <w:tcW w:w="3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507,465</w:t>
            </w:r>
          </w:p>
        </w:tc>
        <w:tc>
          <w:tcPr>
            <w:tcW w:w="20" w:type="dxa"/>
            <w:vAlign w:val="bottom"/>
          </w:tcPr>
          <w:p>
            <w:pPr>
              <w:spacing w:after="0"/>
              <w:rPr>
                <w:sz w:val="18"/>
                <w:szCs w:val="18"/>
                <w:color w:val="auto"/>
              </w:rPr>
            </w:pPr>
          </w:p>
        </w:tc>
      </w:tr>
      <w:tr>
        <w:trPr>
          <w:trHeight w:val="216"/>
        </w:trPr>
        <w:tc>
          <w:tcPr>
            <w:tcW w:w="8720" w:type="dxa"/>
            <w:vAlign w:val="bottom"/>
            <w:gridSpan w:val="2"/>
          </w:tcPr>
          <w:p>
            <w:pPr>
              <w:ind w:left="440"/>
              <w:spacing w:after="0"/>
              <w:rPr>
                <w:sz w:val="20"/>
                <w:szCs w:val="20"/>
                <w:color w:val="auto"/>
              </w:rPr>
            </w:pPr>
            <w:r>
              <w:rPr>
                <w:rFonts w:ascii="Arial" w:cs="Arial" w:eastAsia="Arial" w:hAnsi="Arial"/>
                <w:sz w:val="18"/>
                <w:szCs w:val="18"/>
                <w:color w:val="auto"/>
              </w:rPr>
              <w:t>Retained earnings</w:t>
            </w: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35,625</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19,940</w:t>
            </w:r>
          </w:p>
        </w:tc>
        <w:tc>
          <w:tcPr>
            <w:tcW w:w="20" w:type="dxa"/>
            <w:vAlign w:val="bottom"/>
          </w:tcPr>
          <w:p>
            <w:pPr>
              <w:spacing w:after="0"/>
              <w:rPr>
                <w:sz w:val="18"/>
                <w:szCs w:val="18"/>
                <w:color w:val="auto"/>
              </w:rPr>
            </w:pPr>
          </w:p>
        </w:tc>
      </w:tr>
      <w:tr>
        <w:trPr>
          <w:trHeight w:val="216"/>
        </w:trPr>
        <w:tc>
          <w:tcPr>
            <w:tcW w:w="87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Accumulated other comprehensive income</w:t>
            </w:r>
          </w:p>
        </w:tc>
        <w:tc>
          <w:tcPr>
            <w:tcW w:w="5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7,631</w:t>
            </w:r>
          </w:p>
        </w:tc>
        <w:tc>
          <w:tcPr>
            <w:tcW w:w="3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0" w:type="dxa"/>
            <w:vAlign w:val="bottom"/>
          </w:tcPr>
          <w:p>
            <w:pPr>
              <w:spacing w:after="0"/>
              <w:rPr>
                <w:sz w:val="18"/>
                <w:szCs w:val="18"/>
                <w:color w:val="auto"/>
              </w:rPr>
            </w:pPr>
          </w:p>
        </w:tc>
      </w:tr>
      <w:tr>
        <w:trPr>
          <w:trHeight w:val="230"/>
        </w:trPr>
        <w:tc>
          <w:tcPr>
            <w:tcW w:w="660" w:type="dxa"/>
            <w:vAlign w:val="bottom"/>
          </w:tcPr>
          <w:p>
            <w:pPr>
              <w:spacing w:after="0"/>
              <w:rPr>
                <w:sz w:val="20"/>
                <w:szCs w:val="20"/>
                <w:color w:val="auto"/>
              </w:rPr>
            </w:pPr>
          </w:p>
        </w:tc>
        <w:tc>
          <w:tcPr>
            <w:tcW w:w="8060" w:type="dxa"/>
            <w:vAlign w:val="bottom"/>
          </w:tcPr>
          <w:p>
            <w:pPr>
              <w:ind w:left="220"/>
              <w:spacing w:after="0"/>
              <w:rPr>
                <w:sz w:val="20"/>
                <w:szCs w:val="20"/>
                <w:color w:val="auto"/>
              </w:rPr>
            </w:pPr>
            <w:r>
              <w:rPr>
                <w:rFonts w:ascii="Arial" w:cs="Arial" w:eastAsia="Arial" w:hAnsi="Arial"/>
                <w:sz w:val="18"/>
                <w:szCs w:val="18"/>
                <w:color w:val="auto"/>
              </w:rPr>
              <w:t>Total stockholders’ equity</w:t>
            </w:r>
          </w:p>
        </w:tc>
        <w:tc>
          <w:tcPr>
            <w:tcW w:w="5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613,119</w:t>
            </w: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546,822</w:t>
            </w:r>
          </w:p>
        </w:tc>
        <w:tc>
          <w:tcPr>
            <w:tcW w:w="20" w:type="dxa"/>
            <w:vAlign w:val="bottom"/>
          </w:tcPr>
          <w:p>
            <w:pPr>
              <w:spacing w:after="0"/>
              <w:rPr>
                <w:sz w:val="20"/>
                <w:szCs w:val="20"/>
                <w:color w:val="auto"/>
              </w:rPr>
            </w:pPr>
          </w:p>
        </w:tc>
      </w:tr>
      <w:tr>
        <w:trPr>
          <w:trHeight w:val="216"/>
        </w:trPr>
        <w:tc>
          <w:tcPr>
            <w:tcW w:w="660" w:type="dxa"/>
            <w:vAlign w:val="bottom"/>
            <w:shd w:val="clear" w:color="auto" w:fill="CCEEFF"/>
          </w:tcPr>
          <w:p>
            <w:pPr>
              <w:spacing w:after="0"/>
              <w:rPr>
                <w:sz w:val="18"/>
                <w:szCs w:val="18"/>
                <w:color w:val="auto"/>
              </w:rPr>
            </w:pPr>
          </w:p>
        </w:tc>
        <w:tc>
          <w:tcPr>
            <w:tcW w:w="80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liabilities and stockholders’ equity</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5,769,989</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4,625,684</w:t>
            </w:r>
          </w:p>
        </w:tc>
        <w:tc>
          <w:tcPr>
            <w:tcW w:w="20" w:type="dxa"/>
            <w:vAlign w:val="bottom"/>
          </w:tcPr>
          <w:p>
            <w:pPr>
              <w:spacing w:after="0"/>
              <w:rPr>
                <w:sz w:val="18"/>
                <w:szCs w:val="18"/>
                <w:color w:val="auto"/>
              </w:rPr>
            </w:pPr>
          </w:p>
        </w:tc>
      </w:tr>
      <w:tr>
        <w:trPr>
          <w:trHeight w:val="20"/>
        </w:trPr>
        <w:tc>
          <w:tcPr>
            <w:tcW w:w="660" w:type="dxa"/>
            <w:vAlign w:val="bottom"/>
          </w:tcPr>
          <w:p>
            <w:pPr>
              <w:spacing w:after="0" w:line="20" w:lineRule="exact"/>
              <w:rPr>
                <w:sz w:val="1"/>
                <w:szCs w:val="1"/>
                <w:color w:val="auto"/>
              </w:rPr>
            </w:pPr>
          </w:p>
        </w:tc>
        <w:tc>
          <w:tcPr>
            <w:tcW w:w="80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 COMPREHENSIVE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04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w w:val="96"/>
              </w:rPr>
              <w:t>For the three months ended March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9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20" w:type="dxa"/>
            <w:vAlign w:val="bottom"/>
            <w:tcBorders>
              <w:top w:val="single" w:sz="8" w:color="auto"/>
              <w:bottom w:val="single" w:sz="8" w:color="auto"/>
            </w:tcBorders>
          </w:tcPr>
          <w:p>
            <w:pPr>
              <w:spacing w:after="0"/>
              <w:rPr>
                <w:sz w:val="12"/>
                <w:szCs w:val="12"/>
                <w:color w:val="auto"/>
              </w:rPr>
            </w:pPr>
          </w:p>
        </w:tc>
        <w:tc>
          <w:tcPr>
            <w:tcW w:w="78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2010</w:t>
            </w:r>
          </w:p>
        </w:tc>
        <w:tc>
          <w:tcPr>
            <w:tcW w:w="1120" w:type="dxa"/>
            <w:vAlign w:val="bottom"/>
            <w:tcBorders>
              <w:top w:val="single" w:sz="8" w:color="auto"/>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29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38,797</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22,351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15,510</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8,129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Net interest income</w:t>
            </w: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23,287</w:t>
            </w: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14,222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net:</w:t>
            </w:r>
          </w:p>
        </w:tc>
        <w:tc>
          <w:tcPr>
            <w:tcW w:w="1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27,408</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4,818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(loss) on derivative instruments, net</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5,920</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Total other income, net</w:t>
            </w:r>
          </w:p>
        </w:tc>
        <w:tc>
          <w:tcPr>
            <w:tcW w:w="1200" w:type="dxa"/>
            <w:vAlign w:val="bottom"/>
          </w:tcPr>
          <w:p>
            <w:pPr>
              <w:spacing w:after="0"/>
              <w:rPr>
                <w:sz w:val="20"/>
                <w:szCs w:val="20"/>
                <w:color w:val="auto"/>
              </w:rPr>
            </w:pPr>
          </w:p>
        </w:tc>
        <w:tc>
          <w:tcPr>
            <w:tcW w:w="220" w:type="dxa"/>
            <w:vAlign w:val="bottom"/>
            <w:tcBorders>
              <w:top w:val="single" w:sz="8" w:color="auto"/>
              <w:bottom w:val="single" w:sz="8" w:color="auto"/>
            </w:tcBorders>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33,328</w:t>
            </w:r>
          </w:p>
        </w:tc>
        <w:tc>
          <w:tcPr>
            <w:tcW w:w="1120" w:type="dxa"/>
            <w:vAlign w:val="bottom"/>
          </w:tcPr>
          <w:p>
            <w:pPr>
              <w:spacing w:after="0"/>
              <w:rPr>
                <w:sz w:val="20"/>
                <w:szCs w:val="20"/>
                <w:color w:val="auto"/>
              </w:rPr>
            </w:pPr>
          </w:p>
        </w:tc>
        <w:tc>
          <w:tcPr>
            <w:tcW w:w="24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4,460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1,784</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903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1,681</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940" w:type="dxa"/>
            <w:vAlign w:val="bottom"/>
          </w:tcPr>
          <w:p>
            <w:pPr>
              <w:ind w:left="1280"/>
              <w:spacing w:after="0"/>
              <w:rPr>
                <w:sz w:val="20"/>
                <w:szCs w:val="20"/>
                <w:color w:val="auto"/>
              </w:rPr>
            </w:pPr>
            <w:r>
              <w:rPr>
                <w:rFonts w:ascii="Arial" w:cs="Arial" w:eastAsia="Arial" w:hAnsi="Arial"/>
                <w:sz w:val="18"/>
                <w:szCs w:val="18"/>
                <w:color w:val="auto"/>
              </w:rPr>
              <w:t>Total expenses</w:t>
            </w:r>
          </w:p>
        </w:tc>
        <w:tc>
          <w:tcPr>
            <w:tcW w:w="120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3,465</w:t>
            </w:r>
          </w:p>
        </w:tc>
        <w:tc>
          <w:tcPr>
            <w:tcW w:w="11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2,371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53,150</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16,311</w:t>
            </w: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960" w:type="dxa"/>
            <w:vAlign w:val="bottom"/>
            <w:gridSpan w:val="2"/>
            <w:vMerge w:val="continue"/>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2.13</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common shares outstanding—basic and diluted</w:t>
            </w:r>
          </w:p>
        </w:tc>
        <w:tc>
          <w:tcPr>
            <w:tcW w:w="12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25,002</w:t>
            </w:r>
          </w:p>
        </w:tc>
        <w:tc>
          <w:tcPr>
            <w:tcW w:w="1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960" w:type="dxa"/>
            <w:vAlign w:val="bottom"/>
            <w:gridSpan w:val="2"/>
            <w:vMerge w:val="continue"/>
          </w:tcPr>
          <w:p>
            <w:pPr>
              <w:spacing w:after="0"/>
              <w:rPr>
                <w:sz w:val="18"/>
                <w:szCs w:val="18"/>
                <w:color w:val="auto"/>
              </w:rPr>
            </w:pP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1.40</w:t>
            </w:r>
          </w:p>
        </w:tc>
        <w:tc>
          <w:tcPr>
            <w:tcW w:w="1120" w:type="dxa"/>
            <w:vAlign w:val="bottom"/>
          </w:tcPr>
          <w:p>
            <w:pPr>
              <w:spacing w:after="0"/>
              <w:rPr>
                <w:sz w:val="18"/>
                <w:szCs w:val="18"/>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0.85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4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14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53,150</w:t>
            </w:r>
          </w:p>
        </w:tc>
        <w:tc>
          <w:tcPr>
            <w:tcW w:w="1120" w:type="dxa"/>
            <w:vAlign w:val="bottom"/>
          </w:tcPr>
          <w:p>
            <w:pPr>
              <w:spacing w:after="0"/>
              <w:rPr>
                <w:sz w:val="19"/>
                <w:szCs w:val="19"/>
                <w:color w:val="auto"/>
              </w:rPr>
            </w:pPr>
          </w:p>
        </w:tc>
        <w:tc>
          <w:tcPr>
            <w:tcW w:w="240" w:type="dxa"/>
            <w:vAlign w:val="bottom"/>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16,311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comprehensive (loss) income:</w:t>
            </w:r>
          </w:p>
        </w:tc>
        <w:tc>
          <w:tcPr>
            <w:tcW w:w="1200" w:type="dxa"/>
            <w:vAlign w:val="bottom"/>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tcPr>
          <w:p>
            <w:pPr>
              <w:ind w:left="420"/>
              <w:spacing w:after="0"/>
              <w:rPr>
                <w:sz w:val="20"/>
                <w:szCs w:val="20"/>
                <w:color w:val="auto"/>
              </w:rPr>
            </w:pPr>
            <w:r>
              <w:rPr>
                <w:rFonts w:ascii="Arial" w:cs="Arial" w:eastAsia="Arial" w:hAnsi="Arial"/>
                <w:sz w:val="18"/>
                <w:szCs w:val="18"/>
                <w:color w:val="auto"/>
              </w:rPr>
              <w:t>Unrealized gain on available-for-sale securities, net</w:t>
            </w: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1,933</w:t>
            </w:r>
          </w:p>
        </w:tc>
        <w:tc>
          <w:tcPr>
            <w:tcW w:w="1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29,284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Unrealized loss on derivative instruments, net</w:t>
            </w:r>
          </w:p>
        </w:tc>
        <w:tc>
          <w:tcPr>
            <w:tcW w:w="12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900" w:type="dxa"/>
            <w:vAlign w:val="bottom"/>
            <w:gridSpan w:val="2"/>
            <w:shd w:val="clear" w:color="auto" w:fill="CCEEFF"/>
          </w:tcPr>
          <w:p>
            <w:pPr>
              <w:jc w:val="right"/>
              <w:ind w:right="1080"/>
              <w:spacing w:after="0"/>
              <w:rPr>
                <w:sz w:val="20"/>
                <w:szCs w:val="20"/>
                <w:color w:val="auto"/>
              </w:rPr>
            </w:pPr>
            <w:r>
              <w:rPr>
                <w:rFonts w:ascii="Arial" w:cs="Arial" w:eastAsia="Arial" w:hAnsi="Arial"/>
                <w:sz w:val="18"/>
                <w:szCs w:val="18"/>
                <w:color w:val="auto"/>
              </w:rPr>
              <w:t>(13,476)</w:t>
            </w:r>
          </w:p>
        </w:tc>
        <w:tc>
          <w:tcPr>
            <w:tcW w:w="2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vMerge w:val="restart"/>
          </w:tcPr>
          <w:p>
            <w:pPr>
              <w:ind w:left="860"/>
              <w:spacing w:after="0"/>
              <w:rPr>
                <w:sz w:val="20"/>
                <w:szCs w:val="20"/>
                <w:color w:val="auto"/>
              </w:rPr>
            </w:pPr>
            <w:r>
              <w:rPr>
                <w:rFonts w:ascii="Arial" w:cs="Arial" w:eastAsia="Arial" w:hAnsi="Arial"/>
                <w:sz w:val="18"/>
                <w:szCs w:val="18"/>
                <w:color w:val="auto"/>
              </w:rPr>
              <w:t>Other comprehensive (loss) income</w:t>
            </w:r>
          </w:p>
        </w:tc>
        <w:tc>
          <w:tcPr>
            <w:tcW w:w="120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40" w:type="dxa"/>
            <w:vAlign w:val="bottom"/>
            <w:vMerge w:val="continue"/>
          </w:tcPr>
          <w:p>
            <w:pPr>
              <w:spacing w:after="0"/>
              <w:rPr>
                <w:sz w:val="19"/>
                <w:szCs w:val="19"/>
                <w:color w:val="auto"/>
              </w:rPr>
            </w:pPr>
          </w:p>
        </w:tc>
        <w:tc>
          <w:tcPr>
            <w:tcW w:w="1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900" w:type="dxa"/>
            <w:vAlign w:val="bottom"/>
            <w:gridSpan w:val="2"/>
          </w:tcPr>
          <w:p>
            <w:pPr>
              <w:jc w:val="right"/>
              <w:ind w:right="1080"/>
              <w:spacing w:after="0"/>
              <w:rPr>
                <w:sz w:val="20"/>
                <w:szCs w:val="20"/>
                <w:color w:val="auto"/>
              </w:rPr>
            </w:pPr>
            <w:r>
              <w:rPr>
                <w:rFonts w:ascii="Arial" w:cs="Arial" w:eastAsia="Arial" w:hAnsi="Arial"/>
                <w:sz w:val="18"/>
                <w:szCs w:val="18"/>
                <w:color w:val="auto"/>
              </w:rPr>
              <w:t>(11,543)</w:t>
            </w:r>
          </w:p>
        </w:tc>
        <w:tc>
          <w:tcPr>
            <w:tcW w:w="240" w:type="dxa"/>
            <w:vAlign w:val="bottom"/>
          </w:tcPr>
          <w:p>
            <w:pPr>
              <w:spacing w:after="0"/>
              <w:rPr>
                <w:sz w:val="19"/>
                <w:szCs w:val="19"/>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27,246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69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41,607</w:t>
            </w:r>
          </w:p>
        </w:tc>
        <w:tc>
          <w:tcPr>
            <w:tcW w:w="11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52"/>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43,557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20" w:type="dxa"/>
            <w:vAlign w:val="bottom"/>
          </w:tcPr>
          <w:p>
            <w:pPr>
              <w:spacing w:after="0"/>
              <w:rPr>
                <w:sz w:val="14"/>
                <w:szCs w:val="14"/>
                <w:color w:val="auto"/>
              </w:rPr>
            </w:pPr>
          </w:p>
        </w:tc>
        <w:tc>
          <w:tcPr>
            <w:tcW w:w="1060" w:type="dxa"/>
            <w:vAlign w:val="bottom"/>
            <w:gridSpan w:val="4"/>
            <w:vMerge w:val="restart"/>
          </w:tcPr>
          <w:p>
            <w:pPr>
              <w:ind w:left="80"/>
              <w:spacing w:after="0"/>
              <w:rPr>
                <w:sz w:val="20"/>
                <w:szCs w:val="20"/>
                <w:color w:val="auto"/>
              </w:rPr>
            </w:pPr>
            <w:r>
              <w:rPr>
                <w:rFonts w:ascii="Arial" w:cs="Arial" w:eastAsia="Arial" w:hAnsi="Arial"/>
                <w:sz w:val="14"/>
                <w:szCs w:val="14"/>
                <w:b w:val="1"/>
                <w:bCs w:val="1"/>
                <w:color w:val="auto"/>
                <w:w w:val="92"/>
              </w:rPr>
              <w:t>Preferred Stock</w:t>
            </w:r>
          </w:p>
        </w:tc>
        <w:tc>
          <w:tcPr>
            <w:tcW w:w="200" w:type="dxa"/>
            <w:vAlign w:val="bottom"/>
          </w:tcPr>
          <w:p>
            <w:pPr>
              <w:spacing w:after="0"/>
              <w:rPr>
                <w:sz w:val="14"/>
                <w:szCs w:val="14"/>
                <w:color w:val="auto"/>
              </w:rPr>
            </w:pPr>
          </w:p>
        </w:tc>
        <w:tc>
          <w:tcPr>
            <w:tcW w:w="1340" w:type="dxa"/>
            <w:vAlign w:val="bottom"/>
            <w:gridSpan w:val="5"/>
            <w:vMerge w:val="restart"/>
          </w:tcPr>
          <w:p>
            <w:pPr>
              <w:ind w:left="140"/>
              <w:spacing w:after="0"/>
              <w:rPr>
                <w:sz w:val="20"/>
                <w:szCs w:val="20"/>
                <w:color w:val="auto"/>
              </w:rPr>
            </w:pPr>
            <w:r>
              <w:rPr>
                <w:rFonts w:ascii="Arial" w:cs="Arial" w:eastAsia="Arial" w:hAnsi="Arial"/>
                <w:sz w:val="14"/>
                <w:szCs w:val="14"/>
                <w:b w:val="1"/>
                <w:bCs w:val="1"/>
                <w:color w:val="auto"/>
              </w:rPr>
              <w:t>Common Stock</w:t>
            </w:r>
          </w:p>
        </w:tc>
        <w:tc>
          <w:tcPr>
            <w:tcW w:w="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6"/>
              </w:rPr>
              <w:t>Accumulated</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020" w:type="dxa"/>
            <w:vAlign w:val="bottom"/>
          </w:tcPr>
          <w:p>
            <w:pPr>
              <w:spacing w:after="0"/>
              <w:rPr>
                <w:sz w:val="12"/>
                <w:szCs w:val="12"/>
                <w:color w:val="auto"/>
              </w:rPr>
            </w:pPr>
          </w:p>
        </w:tc>
        <w:tc>
          <w:tcPr>
            <w:tcW w:w="1060" w:type="dxa"/>
            <w:vAlign w:val="bottom"/>
            <w:gridSpan w:val="4"/>
            <w:vMerge w:val="continue"/>
          </w:tcPr>
          <w:p>
            <w:pPr>
              <w:spacing w:after="0"/>
              <w:rPr>
                <w:sz w:val="12"/>
                <w:szCs w:val="12"/>
                <w:color w:val="auto"/>
              </w:rPr>
            </w:pPr>
          </w:p>
        </w:tc>
        <w:tc>
          <w:tcPr>
            <w:tcW w:w="200" w:type="dxa"/>
            <w:vAlign w:val="bottom"/>
          </w:tcPr>
          <w:p>
            <w:pPr>
              <w:spacing w:after="0"/>
              <w:rPr>
                <w:sz w:val="12"/>
                <w:szCs w:val="12"/>
                <w:color w:val="auto"/>
              </w:rPr>
            </w:pPr>
          </w:p>
        </w:tc>
        <w:tc>
          <w:tcPr>
            <w:tcW w:w="1340" w:type="dxa"/>
            <w:vAlign w:val="bottom"/>
            <w:gridSpan w:val="5"/>
            <w:vMerge w:val="continue"/>
          </w:tcPr>
          <w:p>
            <w:pPr>
              <w:spacing w:after="0"/>
              <w:rPr>
                <w:sz w:val="12"/>
                <w:szCs w:val="12"/>
                <w:color w:val="auto"/>
              </w:rPr>
            </w:pPr>
          </w:p>
        </w:tc>
        <w:tc>
          <w:tcPr>
            <w:tcW w:w="680" w:type="dxa"/>
            <w:vAlign w:val="bottom"/>
          </w:tcPr>
          <w:p>
            <w:pPr>
              <w:jc w:val="right"/>
              <w:spacing w:after="0" w:line="148" w:lineRule="exact"/>
              <w:rPr>
                <w:sz w:val="20"/>
                <w:szCs w:val="20"/>
                <w:color w:val="auto"/>
              </w:rPr>
            </w:pPr>
            <w:r>
              <w:rPr>
                <w:rFonts w:ascii="Arial" w:cs="Arial" w:eastAsia="Arial" w:hAnsi="Arial"/>
                <w:sz w:val="14"/>
                <w:szCs w:val="14"/>
                <w:b w:val="1"/>
                <w:bCs w:val="1"/>
                <w:color w:val="auto"/>
                <w:w w:val="93"/>
              </w:rPr>
              <w:t>Additional</w:t>
            </w: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tcPr>
          <w:p>
            <w:pPr>
              <w:jc w:val="center"/>
              <w:ind w:right="360"/>
              <w:spacing w:after="0" w:line="148" w:lineRule="exact"/>
              <w:rPr>
                <w:sz w:val="20"/>
                <w:szCs w:val="20"/>
                <w:color w:val="auto"/>
              </w:rPr>
            </w:pPr>
            <w:r>
              <w:rPr>
                <w:rFonts w:ascii="Arial" w:cs="Arial" w:eastAsia="Arial" w:hAnsi="Arial"/>
                <w:sz w:val="14"/>
                <w:szCs w:val="14"/>
                <w:b w:val="1"/>
                <w:bCs w:val="1"/>
                <w:color w:val="auto"/>
                <w:w w:val="90"/>
              </w:rPr>
              <w:t>Other</w:t>
            </w:r>
          </w:p>
        </w:tc>
        <w:tc>
          <w:tcPr>
            <w:tcW w:w="1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5020" w:type="dxa"/>
            <w:vAlign w:val="bottom"/>
          </w:tcPr>
          <w:p>
            <w:pPr>
              <w:spacing w:after="0"/>
              <w:rPr>
                <w:sz w:val="11"/>
                <w:szCs w:val="11"/>
                <w:color w:val="auto"/>
              </w:rPr>
            </w:pPr>
          </w:p>
        </w:tc>
        <w:tc>
          <w:tcPr>
            <w:tcW w:w="4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680" w:type="dxa"/>
            <w:vAlign w:val="bottom"/>
          </w:tcPr>
          <w:p>
            <w:pPr>
              <w:jc w:val="right"/>
              <w:ind w:right="37"/>
              <w:spacing w:after="0" w:line="129" w:lineRule="exact"/>
              <w:rPr>
                <w:sz w:val="20"/>
                <w:szCs w:val="20"/>
                <w:color w:val="auto"/>
              </w:rPr>
            </w:pPr>
            <w:r>
              <w:rPr>
                <w:rFonts w:ascii="Arial" w:cs="Arial" w:eastAsia="Arial" w:hAnsi="Arial"/>
                <w:sz w:val="14"/>
                <w:szCs w:val="14"/>
                <w:b w:val="1"/>
                <w:bCs w:val="1"/>
                <w:color w:val="auto"/>
              </w:rPr>
              <w:t>Paid-in</w:t>
            </w:r>
          </w:p>
        </w:tc>
        <w:tc>
          <w:tcPr>
            <w:tcW w:w="180" w:type="dxa"/>
            <w:vAlign w:val="bottom"/>
          </w:tcPr>
          <w:p>
            <w:pPr>
              <w:spacing w:after="0"/>
              <w:rPr>
                <w:sz w:val="11"/>
                <w:szCs w:val="11"/>
                <w:color w:val="auto"/>
              </w:rPr>
            </w:pPr>
          </w:p>
        </w:tc>
        <w:tc>
          <w:tcPr>
            <w:tcW w:w="840" w:type="dxa"/>
            <w:vAlign w:val="bottom"/>
            <w:gridSpan w:val="2"/>
          </w:tcPr>
          <w:p>
            <w:pPr>
              <w:jc w:val="right"/>
              <w:ind w:right="240"/>
              <w:spacing w:after="0" w:line="129" w:lineRule="exact"/>
              <w:rPr>
                <w:sz w:val="20"/>
                <w:szCs w:val="20"/>
                <w:color w:val="auto"/>
              </w:rPr>
            </w:pPr>
            <w:r>
              <w:rPr>
                <w:rFonts w:ascii="Arial" w:cs="Arial" w:eastAsia="Arial" w:hAnsi="Arial"/>
                <w:sz w:val="14"/>
                <w:szCs w:val="14"/>
                <w:b w:val="1"/>
                <w:bCs w:val="1"/>
                <w:color w:val="auto"/>
                <w:w w:val="98"/>
              </w:rPr>
              <w:t>Retained</w:t>
            </w:r>
          </w:p>
        </w:tc>
        <w:tc>
          <w:tcPr>
            <w:tcW w:w="120" w:type="dxa"/>
            <w:vAlign w:val="bottom"/>
          </w:tcPr>
          <w:p>
            <w:pPr>
              <w:spacing w:after="0"/>
              <w:rPr>
                <w:sz w:val="11"/>
                <w:szCs w:val="11"/>
                <w:color w:val="auto"/>
              </w:rPr>
            </w:pPr>
          </w:p>
        </w:tc>
        <w:tc>
          <w:tcPr>
            <w:tcW w:w="1080" w:type="dxa"/>
            <w:vAlign w:val="bottom"/>
            <w:gridSpan w:val="3"/>
          </w:tcPr>
          <w:p>
            <w:pPr>
              <w:jc w:val="center"/>
              <w:ind w:right="180"/>
              <w:spacing w:after="0" w:line="129" w:lineRule="exact"/>
              <w:rPr>
                <w:sz w:val="20"/>
                <w:szCs w:val="20"/>
                <w:color w:val="auto"/>
              </w:rPr>
            </w:pPr>
            <w:r>
              <w:rPr>
                <w:rFonts w:ascii="Arial" w:cs="Arial" w:eastAsia="Arial" w:hAnsi="Arial"/>
                <w:sz w:val="14"/>
                <w:szCs w:val="14"/>
                <w:b w:val="1"/>
                <w:bCs w:val="1"/>
                <w:color w:val="auto"/>
                <w:w w:val="85"/>
              </w:rPr>
              <w:t>Comprehensive</w:t>
            </w:r>
          </w:p>
        </w:tc>
        <w:tc>
          <w:tcPr>
            <w:tcW w:w="1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020" w:type="dxa"/>
            <w:vAlign w:val="bottom"/>
          </w:tcPr>
          <w:p>
            <w:pPr>
              <w:spacing w:after="0"/>
              <w:rPr>
                <w:sz w:val="14"/>
                <w:szCs w:val="14"/>
                <w:color w:val="auto"/>
              </w:rPr>
            </w:pPr>
          </w:p>
        </w:tc>
        <w:tc>
          <w:tcPr>
            <w:tcW w:w="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Shares</w:t>
            </w:r>
          </w:p>
        </w:tc>
        <w:tc>
          <w:tcPr>
            <w:tcW w:w="18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0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Shares</w:t>
            </w:r>
          </w:p>
        </w:tc>
        <w:tc>
          <w:tcPr>
            <w:tcW w:w="180" w:type="dxa"/>
            <w:vAlign w:val="bottom"/>
          </w:tcPr>
          <w:p>
            <w:pPr>
              <w:spacing w:after="0"/>
              <w:rPr>
                <w:sz w:val="14"/>
                <w:szCs w:val="14"/>
                <w:color w:val="auto"/>
              </w:rPr>
            </w:pPr>
          </w:p>
        </w:tc>
        <w:tc>
          <w:tcPr>
            <w:tcW w:w="5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Amount</w:t>
            </w:r>
          </w:p>
        </w:tc>
        <w:tc>
          <w:tcPr>
            <w:tcW w:w="180" w:type="dxa"/>
            <w:vAlign w:val="bottom"/>
          </w:tcPr>
          <w:p>
            <w:pPr>
              <w:spacing w:after="0"/>
              <w:rPr>
                <w:sz w:val="14"/>
                <w:szCs w:val="14"/>
                <w:color w:val="auto"/>
              </w:rPr>
            </w:pPr>
          </w:p>
        </w:tc>
        <w:tc>
          <w:tcPr>
            <w:tcW w:w="680" w:type="dxa"/>
            <w:vAlign w:val="bottom"/>
            <w:tcBorders>
              <w:bottom w:val="single" w:sz="8" w:color="auto"/>
            </w:tcBorders>
          </w:tcPr>
          <w:p>
            <w:pPr>
              <w:jc w:val="right"/>
              <w:ind w:right="37"/>
              <w:spacing w:after="0"/>
              <w:rPr>
                <w:sz w:val="20"/>
                <w:szCs w:val="20"/>
                <w:color w:val="auto"/>
              </w:rPr>
            </w:pPr>
            <w:r>
              <w:rPr>
                <w:rFonts w:ascii="Arial" w:cs="Arial" w:eastAsia="Arial" w:hAnsi="Arial"/>
                <w:sz w:val="14"/>
                <w:szCs w:val="14"/>
                <w:b w:val="1"/>
                <w:bCs w:val="1"/>
                <w:color w:val="auto"/>
              </w:rPr>
              <w:t>Capital</w:t>
            </w:r>
          </w:p>
        </w:tc>
        <w:tc>
          <w:tcPr>
            <w:tcW w:w="180" w:type="dxa"/>
            <w:vAlign w:val="bottom"/>
          </w:tcPr>
          <w:p>
            <w:pPr>
              <w:spacing w:after="0"/>
              <w:rPr>
                <w:sz w:val="14"/>
                <w:szCs w:val="14"/>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6"/>
              </w:rPr>
              <w:t>Earnings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Income (Loss)</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December 31, 2009</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24,322</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243</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$507,465</w:t>
            </w:r>
          </w:p>
        </w:tc>
        <w:tc>
          <w:tcPr>
            <w:tcW w:w="10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$ 19,940</w:t>
            </w:r>
          </w:p>
        </w:tc>
        <w:tc>
          <w:tcPr>
            <w:tcW w:w="30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19,174</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$546,822</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Net income</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53,150</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53,150</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tcPr>
          <w:p>
            <w:pPr>
              <w:ind w:left="880"/>
              <w:spacing w:after="0"/>
              <w:rPr>
                <w:sz w:val="20"/>
                <w:szCs w:val="20"/>
                <w:color w:val="auto"/>
              </w:rPr>
            </w:pPr>
            <w:r>
              <w:rPr>
                <w:rFonts w:ascii="Arial" w:cs="Arial" w:eastAsia="Arial" w:hAnsi="Arial"/>
                <w:sz w:val="18"/>
                <w:szCs w:val="18"/>
                <w:color w:val="auto"/>
                <w:w w:val="99"/>
              </w:rPr>
              <w:t>Unrealized gain on available- for-sale securities, net</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1,933</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1,933</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Unrealized loss on derivative instruments, net</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(13,476)</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(13,476)</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2,434</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8"/>
                <w:szCs w:val="18"/>
                <w:color w:val="auto"/>
              </w:rPr>
              <w:t>24</w:t>
            </w:r>
          </w:p>
        </w:tc>
        <w:tc>
          <w:tcPr>
            <w:tcW w:w="680" w:type="dxa"/>
            <w:vAlign w:val="bottom"/>
          </w:tcPr>
          <w:p>
            <w:pPr>
              <w:jc w:val="right"/>
              <w:spacing w:after="0"/>
              <w:rPr>
                <w:sz w:val="20"/>
                <w:szCs w:val="20"/>
                <w:color w:val="auto"/>
              </w:rPr>
            </w:pPr>
            <w:r>
              <w:rPr>
                <w:rFonts w:ascii="Arial" w:cs="Arial" w:eastAsia="Arial" w:hAnsi="Arial"/>
                <w:sz w:val="18"/>
                <w:szCs w:val="18"/>
                <w:color w:val="auto"/>
              </w:rPr>
              <w:t>62,114</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62,138</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Issuance of restricted common stock</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5020" w:type="dxa"/>
            <w:vAlign w:val="bottom"/>
          </w:tcPr>
          <w:p>
            <w:pPr>
              <w:ind w:left="44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w:t>
            </w:r>
          </w:p>
        </w:tc>
        <w:tc>
          <w:tcPr>
            <w:tcW w:w="180" w:type="dxa"/>
            <w:vAlign w:val="bottom"/>
          </w:tcPr>
          <w:p>
            <w:pPr>
              <w:spacing w:after="0"/>
              <w:rPr>
                <w:sz w:val="18"/>
                <w:szCs w:val="18"/>
                <w:color w:val="auto"/>
              </w:rPr>
            </w:pPr>
          </w:p>
        </w:tc>
        <w:tc>
          <w:tcPr>
            <w:tcW w:w="8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16</w:t>
            </w: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(37,465)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(37,465)</w:t>
            </w:r>
          </w:p>
        </w:tc>
        <w:tc>
          <w:tcPr>
            <w:tcW w:w="0" w:type="dxa"/>
            <w:vAlign w:val="bottom"/>
          </w:tcPr>
          <w:p>
            <w:pPr>
              <w:spacing w:after="0"/>
              <w:rPr>
                <w:sz w:val="1"/>
                <w:szCs w:val="1"/>
                <w:color w:val="auto"/>
              </w:rPr>
            </w:pPr>
          </w:p>
        </w:tc>
      </w:tr>
      <w:tr>
        <w:trPr>
          <w:trHeight w:val="20"/>
        </w:trPr>
        <w:tc>
          <w:tcPr>
            <w:tcW w:w="5020" w:type="dxa"/>
            <w:vAlign w:val="bottom"/>
            <w:vMerge w:val="restart"/>
          </w:tcPr>
          <w:p>
            <w:pPr>
              <w:spacing w:after="0"/>
              <w:rPr>
                <w:sz w:val="20"/>
                <w:szCs w:val="20"/>
                <w:color w:val="auto"/>
              </w:rPr>
            </w:pPr>
            <w:r>
              <w:rPr>
                <w:rFonts w:ascii="Arial" w:cs="Arial" w:eastAsia="Arial" w:hAnsi="Arial"/>
                <w:sz w:val="18"/>
                <w:szCs w:val="18"/>
                <w:b w:val="1"/>
                <w:bCs w:val="1"/>
                <w:color w:val="auto"/>
              </w:rPr>
              <w:t>Balance, March 31, 2010 (Unaudited)</w:t>
            </w:r>
          </w:p>
        </w:tc>
        <w:tc>
          <w:tcPr>
            <w:tcW w:w="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020" w:type="dxa"/>
            <w:vAlign w:val="bottom"/>
            <w:vMerge w:val="continue"/>
          </w:tcPr>
          <w:p>
            <w:pPr>
              <w:spacing w:after="0"/>
              <w:rPr>
                <w:sz w:val="19"/>
                <w:szCs w:val="19"/>
                <w:color w:val="auto"/>
              </w:rPr>
            </w:pPr>
          </w:p>
        </w:tc>
        <w:tc>
          <w:tcPr>
            <w:tcW w:w="4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spacing w:after="0"/>
              <w:rPr>
                <w:sz w:val="20"/>
                <w:szCs w:val="20"/>
                <w:color w:val="auto"/>
              </w:rPr>
            </w:pPr>
            <w:r>
              <w:rPr>
                <w:rFonts w:ascii="Arial" w:cs="Arial" w:eastAsia="Arial" w:hAnsi="Arial"/>
                <w:sz w:val="18"/>
                <w:szCs w:val="18"/>
                <w:color w:val="auto"/>
              </w:rPr>
              <w:t>26,760</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520" w:type="dxa"/>
            <w:vAlign w:val="bottom"/>
            <w:gridSpan w:val="2"/>
          </w:tcPr>
          <w:p>
            <w:pPr>
              <w:ind w:left="80"/>
              <w:spacing w:after="0"/>
              <w:rPr>
                <w:sz w:val="20"/>
                <w:szCs w:val="20"/>
                <w:color w:val="auto"/>
              </w:rPr>
            </w:pPr>
            <w:r>
              <w:rPr>
                <w:rFonts w:ascii="Arial" w:cs="Arial" w:eastAsia="Arial" w:hAnsi="Arial"/>
                <w:sz w:val="18"/>
                <w:szCs w:val="18"/>
                <w:color w:val="auto"/>
              </w:rPr>
              <w:t>268</w:t>
            </w:r>
          </w:p>
        </w:tc>
        <w:tc>
          <w:tcPr>
            <w:tcW w:w="680" w:type="dxa"/>
            <w:vAlign w:val="bottom"/>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569,595</w:t>
            </w:r>
          </w:p>
        </w:tc>
        <w:tc>
          <w:tcPr>
            <w:tcW w:w="1020" w:type="dxa"/>
            <w:vAlign w:val="bottom"/>
            <w:gridSpan w:val="3"/>
          </w:tcPr>
          <w:p>
            <w:pPr>
              <w:jc w:val="right"/>
              <w:ind w:right="180"/>
              <w:spacing w:after="0"/>
              <w:rPr>
                <w:sz w:val="20"/>
                <w:szCs w:val="20"/>
                <w:color w:val="auto"/>
              </w:rPr>
            </w:pPr>
            <w:r>
              <w:rPr>
                <w:rFonts w:ascii="Arial" w:cs="Arial" w:eastAsia="Arial" w:hAnsi="Arial"/>
                <w:sz w:val="18"/>
                <w:szCs w:val="18"/>
                <w:color w:val="auto"/>
              </w:rPr>
              <w:t>$ 35,625</w:t>
            </w:r>
          </w:p>
        </w:tc>
        <w:tc>
          <w:tcPr>
            <w:tcW w:w="30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180"/>
              <w:spacing w:after="0"/>
              <w:rPr>
                <w:sz w:val="20"/>
                <w:szCs w:val="20"/>
                <w:color w:val="auto"/>
              </w:rPr>
            </w:pPr>
            <w:r>
              <w:rPr>
                <w:rFonts w:ascii="Arial" w:cs="Arial" w:eastAsia="Arial" w:hAnsi="Arial"/>
                <w:sz w:val="18"/>
                <w:szCs w:val="18"/>
                <w:color w:val="auto"/>
              </w:rPr>
              <w:t>7,631</w:t>
            </w: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w w:val="97"/>
              </w:rPr>
              <w:t>$ 613,119</w:t>
            </w: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040" w:type="dxa"/>
            <w:vAlign w:val="bottom"/>
            <w:gridSpan w:val="5"/>
          </w:tcPr>
          <w:p>
            <w:pPr>
              <w:jc w:val="right"/>
              <w:ind w:right="540"/>
              <w:spacing w:after="0"/>
              <w:rPr>
                <w:sz w:val="20"/>
                <w:szCs w:val="20"/>
                <w:color w:val="auto"/>
              </w:rPr>
            </w:pPr>
            <w:r>
              <w:rPr>
                <w:rFonts w:ascii="Arial" w:cs="Arial" w:eastAsia="Arial" w:hAnsi="Arial"/>
                <w:sz w:val="14"/>
                <w:szCs w:val="14"/>
                <w:b w:val="1"/>
                <w:bCs w:val="1"/>
                <w:color w:val="auto"/>
                <w:w w:val="97"/>
              </w:rPr>
              <w:t>For the three months ended March 31,</w:t>
            </w:r>
          </w:p>
        </w:tc>
      </w:tr>
      <w:tr>
        <w:trPr>
          <w:trHeight w:val="142"/>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294"/>
              <w:spacing w:after="0" w:line="142" w:lineRule="exact"/>
              <w:rPr>
                <w:sz w:val="20"/>
                <w:szCs w:val="20"/>
                <w:color w:val="auto"/>
              </w:rPr>
            </w:pPr>
            <w:r>
              <w:rPr>
                <w:rFonts w:ascii="Arial" w:cs="Arial" w:eastAsia="Arial" w:hAnsi="Arial"/>
                <w:sz w:val="14"/>
                <w:szCs w:val="14"/>
                <w:b w:val="1"/>
                <w:bCs w:val="1"/>
                <w:color w:val="auto"/>
              </w:rPr>
              <w:t>2010</w:t>
            </w:r>
          </w:p>
        </w:tc>
        <w:tc>
          <w:tcPr>
            <w:tcW w:w="1020" w:type="dxa"/>
            <w:vAlign w:val="bottom"/>
            <w:tcBorders>
              <w:top w:val="single" w:sz="8" w:color="auto"/>
            </w:tcBorders>
          </w:tcPr>
          <w:p>
            <w:pPr>
              <w:spacing w:after="0"/>
              <w:rPr>
                <w:sz w:val="12"/>
                <w:szCs w:val="12"/>
                <w:color w:val="auto"/>
              </w:rPr>
            </w:pPr>
          </w:p>
        </w:tc>
        <w:tc>
          <w:tcPr>
            <w:tcW w:w="18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31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Net income</w:t>
            </w:r>
          </w:p>
        </w:tc>
        <w:tc>
          <w:tcPr>
            <w:tcW w:w="1320" w:type="dxa"/>
            <w:vAlign w:val="bottom"/>
            <w:gridSpan w:val="2"/>
          </w:tcPr>
          <w:p>
            <w:pPr>
              <w:jc w:val="right"/>
              <w:ind w:right="80"/>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53,150</w:t>
            </w: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16,311</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12,259</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3,449</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interest rate swap termination fees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3,676</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329</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Ineffectiveness of derivative instruments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192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(586)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17</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(27,408)</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(4,818)</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 net</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(6,112)</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Decrease (increase) in interest receivable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1,732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(2,062)</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 in other assets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126</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Increase (decrease) in accrued interest payable</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258</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(2,236)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Decrease in due to Manager</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(819)</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(49)</w:t>
            </w:r>
          </w:p>
        </w:tc>
      </w:tr>
      <w:tr>
        <w:trPr>
          <w:trHeight w:val="223"/>
        </w:trPr>
        <w:tc>
          <w:tcPr>
            <w:tcW w:w="20" w:type="dxa"/>
            <w:vAlign w:val="bottom"/>
          </w:tcPr>
          <w:p>
            <w:pPr>
              <w:spacing w:after="0"/>
              <w:rPr>
                <w:sz w:val="19"/>
                <w:szCs w:val="19"/>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(Decrease) increase in accounts payable and other accrued liabilities</w:t>
            </w: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(773)</w:t>
            </w:r>
          </w:p>
        </w:tc>
        <w:tc>
          <w:tcPr>
            <w:tcW w:w="18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160" w:type="dxa"/>
            <w:vAlign w:val="bottom"/>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36,298</w:t>
            </w:r>
          </w:p>
        </w:tc>
        <w:tc>
          <w:tcPr>
            <w:tcW w:w="1020" w:type="dxa"/>
            <w:vAlign w:val="bottom"/>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10,580</w:t>
            </w:r>
          </w:p>
        </w:tc>
        <w:tc>
          <w:tcPr>
            <w:tcW w:w="100" w:type="dxa"/>
            <w:vAlign w:val="bottom"/>
            <w:shd w:val="clear" w:color="auto" w:fill="CCEEFF"/>
          </w:tcPr>
          <w:p>
            <w:pPr>
              <w:spacing w:after="0"/>
              <w:rPr>
                <w:sz w:val="18"/>
                <w:szCs w:val="18"/>
                <w:color w:val="auto"/>
              </w:rPr>
            </w:pPr>
          </w:p>
        </w:tc>
      </w:tr>
      <w:tr>
        <w:trPr>
          <w:trHeight w:val="222"/>
        </w:trPr>
        <w:tc>
          <w:tcPr>
            <w:tcW w:w="706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1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w w:val="97"/>
              </w:rPr>
              <w:t>(3,056,410)</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(1,631,281)</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1,916,207</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1,019,862</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derivative instruments not designated as qualifying hedges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794</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23"/>
        </w:trPr>
        <w:tc>
          <w:tcPr>
            <w:tcW w:w="20" w:type="dxa"/>
            <w:vAlign w:val="bottom"/>
          </w:tcPr>
          <w:p>
            <w:pPr>
              <w:spacing w:after="0"/>
              <w:rPr>
                <w:sz w:val="19"/>
                <w:szCs w:val="19"/>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1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175,205</w:t>
            </w: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126,492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(964,204)</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(484,927)</w:t>
            </w:r>
          </w:p>
        </w:tc>
      </w:tr>
      <w:tr>
        <w:trPr>
          <w:trHeight w:val="222"/>
        </w:trPr>
        <w:tc>
          <w:tcPr>
            <w:tcW w:w="706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11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860" w:type="dxa"/>
            <w:vAlign w:val="bottom"/>
            <w:tcBorders>
              <w:top w:val="single" w:sz="8" w:color="auto"/>
            </w:tcBorders>
          </w:tcPr>
          <w:p>
            <w:pPr>
              <w:spacing w:after="0"/>
              <w:rPr>
                <w:sz w:val="19"/>
                <w:szCs w:val="19"/>
                <w:color w:val="auto"/>
              </w:rPr>
            </w:pPr>
          </w:p>
        </w:tc>
        <w:tc>
          <w:tcPr>
            <w:tcW w:w="10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8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dividends paid</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(34,050)</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(18,006)</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Increase in restricted cash</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960"/>
              <w:spacing w:after="0"/>
              <w:rPr>
                <w:sz w:val="20"/>
                <w:szCs w:val="20"/>
                <w:color w:val="auto"/>
              </w:rPr>
            </w:pPr>
            <w:r>
              <w:rPr>
                <w:rFonts w:ascii="Arial" w:cs="Arial" w:eastAsia="Arial" w:hAnsi="Arial"/>
                <w:sz w:val="18"/>
                <w:szCs w:val="18"/>
                <w:color w:val="auto"/>
              </w:rPr>
              <w:t>(7,002)</w:t>
            </w:r>
          </w:p>
        </w:tc>
        <w:tc>
          <w:tcPr>
            <w:tcW w:w="18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Arial" w:cs="Arial" w:eastAsia="Arial" w:hAnsi="Arial"/>
                <w:sz w:val="18"/>
                <w:szCs w:val="18"/>
                <w:color w:val="auto"/>
              </w:rPr>
              <w:t>(6,476)</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Payments made on interest rate swap terminations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11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(6,617)</w:t>
            </w:r>
          </w:p>
        </w:tc>
      </w:tr>
      <w:tr>
        <w:trPr>
          <w:trHeight w:val="216"/>
        </w:trPr>
        <w:tc>
          <w:tcPr>
            <w:tcW w:w="20" w:type="dxa"/>
            <w:vAlign w:val="bottom"/>
          </w:tcPr>
          <w:p>
            <w:pPr>
              <w:spacing w:after="0"/>
              <w:rPr>
                <w:sz w:val="18"/>
                <w:szCs w:val="18"/>
                <w:color w:val="auto"/>
              </w:rPr>
            </w:pPr>
          </w:p>
        </w:tc>
        <w:tc>
          <w:tcPr>
            <w:tcW w:w="7040" w:type="dxa"/>
            <w:vAlign w:val="bottom"/>
          </w:tcPr>
          <w:p>
            <w:pPr>
              <w:ind w:left="420"/>
              <w:spacing w:after="0"/>
              <w:rPr>
                <w:sz w:val="20"/>
                <w:szCs w:val="20"/>
                <w:color w:val="auto"/>
              </w:rPr>
            </w:pPr>
            <w:r>
              <w:rPr>
                <w:rFonts w:ascii="Arial" w:cs="Arial" w:eastAsia="Arial" w:hAnsi="Arial"/>
                <w:sz w:val="18"/>
                <w:szCs w:val="18"/>
                <w:color w:val="auto"/>
              </w:rPr>
              <w:t>Proceeds from repurchase arrangements, net</w:t>
            </w:r>
          </w:p>
        </w:tc>
        <w:tc>
          <w:tcPr>
            <w:tcW w:w="1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80" w:type="dxa"/>
            <w:vAlign w:val="bottom"/>
            <w:gridSpan w:val="2"/>
          </w:tcPr>
          <w:p>
            <w:pPr>
              <w:jc w:val="right"/>
              <w:ind w:right="1020"/>
              <w:spacing w:after="0"/>
              <w:rPr>
                <w:sz w:val="20"/>
                <w:szCs w:val="20"/>
                <w:color w:val="auto"/>
              </w:rPr>
            </w:pPr>
            <w:r>
              <w:rPr>
                <w:rFonts w:ascii="Arial" w:cs="Arial" w:eastAsia="Arial" w:hAnsi="Arial"/>
                <w:sz w:val="18"/>
                <w:szCs w:val="18"/>
                <w:color w:val="auto"/>
              </w:rPr>
              <w:t>809,281</w:t>
            </w:r>
          </w:p>
        </w:tc>
        <w:tc>
          <w:tcPr>
            <w:tcW w:w="18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503,208</w:t>
            </w: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proceeds from common stock issuances</w:t>
            </w:r>
          </w:p>
        </w:tc>
        <w:tc>
          <w:tcPr>
            <w:tcW w:w="11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62,138</w:t>
            </w:r>
          </w:p>
        </w:tc>
        <w:tc>
          <w:tcPr>
            <w:tcW w:w="10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30"/>
        </w:trPr>
        <w:tc>
          <w:tcPr>
            <w:tcW w:w="7060" w:type="dxa"/>
            <w:vAlign w:val="bottom"/>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1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830,367</w:t>
            </w:r>
          </w:p>
        </w:tc>
        <w:tc>
          <w:tcPr>
            <w:tcW w:w="102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472,109</w:t>
            </w:r>
          </w:p>
        </w:tc>
        <w:tc>
          <w:tcPr>
            <w:tcW w:w="1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Net change in cash and cash equivalents</w:t>
            </w: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(97,539)</w:t>
            </w:r>
          </w:p>
        </w:tc>
        <w:tc>
          <w:tcPr>
            <w:tcW w:w="18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(2,238)</w:t>
            </w:r>
          </w:p>
        </w:tc>
      </w:tr>
      <w:tr>
        <w:trPr>
          <w:trHeight w:val="223"/>
        </w:trPr>
        <w:tc>
          <w:tcPr>
            <w:tcW w:w="20" w:type="dxa"/>
            <w:vAlign w:val="bottom"/>
          </w:tcPr>
          <w:p>
            <w:pPr>
              <w:spacing w:after="0"/>
              <w:rPr>
                <w:sz w:val="19"/>
                <w:szCs w:val="19"/>
                <w:color w:val="auto"/>
              </w:rPr>
            </w:pPr>
          </w:p>
        </w:tc>
        <w:tc>
          <w:tcPr>
            <w:tcW w:w="704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16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202,803</w:t>
            </w:r>
          </w:p>
        </w:tc>
        <w:tc>
          <w:tcPr>
            <w:tcW w:w="10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56,012</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end of period</w:t>
            </w:r>
          </w:p>
        </w:tc>
        <w:tc>
          <w:tcPr>
            <w:tcW w:w="13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1020"/>
              <w:spacing w:after="0"/>
              <w:rPr>
                <w:sz w:val="20"/>
                <w:szCs w:val="20"/>
                <w:color w:val="auto"/>
              </w:rPr>
            </w:pPr>
            <w:r>
              <w:rPr>
                <w:rFonts w:ascii="Arial" w:cs="Arial" w:eastAsia="Arial" w:hAnsi="Arial"/>
                <w:sz w:val="18"/>
                <w:szCs w:val="18"/>
                <w:color w:val="auto"/>
              </w:rPr>
              <w:t>105,264</w:t>
            </w: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53,774</w:t>
            </w: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(together with its consolidated subsidiary,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 have been included. The current period’s results of operations are not necessarily indicative of results that ultimately may be achieved for the year. There has been no activity in American Capital Agency TRS, LLC during the three months ended March 31, 2010 and 2009.</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We were organized in Delaware on January 7, 2008, and commenced operations on May 20, 2008 following the completion of our initial public offering (“IPO”). Our common stock is traded on The NASDAQ Global Select Market under the symbol “AGNC”.</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have elected to be taxed as a real estate investment trust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managed by American Capital Agency Management, LLC (our “Manager”), a subsidiary of a wholly-owned portfolio company of American Capital, Ltd. (“American Capital”).</w:t>
      </w:r>
    </w:p>
    <w:p>
      <w:pPr>
        <w:spacing w:after="0" w:line="99"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earn income primarily from investing in residential mortgage pass-through securities and collateralized mortgage obligations (“CMOs”) on a leveraged basis. These investments consist of securities for which the principal and interest payments are guaranteed by U.S.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9"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Our principal goal is to generate net income for distribution to our stockholders through regular quarterly dividends from our net interest income, which is the spread between the interest income earned on our interest earning assets and the interest costs of our borrowings and hedging activities, and realized gains on our investments. We fund our investments primarily through short-term borrowings structured as repurchase agreements.</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 xml:space="preserve">Accounting Standards Codification (“ASC”) Topic 320,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xml:space="preserve"> (“ASC 320”), requires that at the time of purchase, we designate a security as held-to-maturity, available-for-sale or trading depending on our ability and intent to hold such security to maturity. Securities classified as trading and</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80"/>
          </w:cols>
          <w:pgMar w:left="240" w:top="459" w:right="27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excluded from earnings and reported in other comprehensive income (loss) (“OCI”), a component of stockholders’ equity. We determine the cost of the security and the amount to reclassify out of accumulated OCI into earnings based on the specific identification method.</w:t>
      </w:r>
    </w:p>
    <w:p>
      <w:pPr>
        <w:spacing w:after="0" w:line="102" w:lineRule="exact"/>
        <w:rPr>
          <w:sz w:val="20"/>
          <w:szCs w:val="20"/>
          <w:color w:val="auto"/>
        </w:rPr>
      </w:pPr>
    </w:p>
    <w:p>
      <w:pPr>
        <w:ind w:right="200" w:firstLine="456"/>
        <w:spacing w:after="0" w:line="335" w:lineRule="auto"/>
        <w:rPr>
          <w:sz w:val="20"/>
          <w:szCs w:val="20"/>
          <w:color w:val="auto"/>
        </w:rPr>
      </w:pPr>
      <w:r>
        <w:rPr>
          <w:rFonts w:ascii="Arial" w:cs="Arial" w:eastAsia="Arial" w:hAnsi="Arial"/>
          <w:sz w:val="15"/>
          <w:szCs w:val="15"/>
          <w:color w:val="auto"/>
        </w:rPr>
        <w:t>Interest-only strips represent our right to receive a specified proportion of the contractual interest flows of specific agency and CMO securities. Interest-only strips are measured at fair value through earnings in gain (loss) on derivative instruments, net in our consolidated statements of operations and comprehensive income. Our investments in interest-only strips are included in agency securities, at fair value on the accompanying consolidated balance sheet.</w:t>
      </w:r>
    </w:p>
    <w:p>
      <w:pPr>
        <w:spacing w:after="0" w:line="75"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evaluate securities for other-than-temporary impairment (“OTTI”) on at least a quarterly basis, and more frequently when economic or market conditions warrant such evaluation. Based on the criteria in ASC 320, the determination of whether a security is other-than-temporarily impaired involves judgments and assumptions based on subjective and objective factors. When an agency security is impaired, an OTTI is considered to have occurred if (i) we intend to sell the agency security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is recognized in earnings as an unrealized loss and the cost basis of the security is adjusted.</w:t>
      </w:r>
    </w:p>
    <w:p>
      <w:pPr>
        <w:spacing w:after="0" w:line="107" w:lineRule="exact"/>
        <w:rPr>
          <w:sz w:val="20"/>
          <w:szCs w:val="20"/>
          <w:color w:val="auto"/>
        </w:rPr>
      </w:pPr>
    </w:p>
    <w:p>
      <w:pPr>
        <w:ind w:right="2040" w:firstLine="456"/>
        <w:spacing w:after="0" w:line="375" w:lineRule="auto"/>
        <w:rPr>
          <w:sz w:val="20"/>
          <w:szCs w:val="20"/>
          <w:color w:val="auto"/>
        </w:rPr>
      </w:pPr>
      <w:r>
        <w:rPr>
          <w:rFonts w:ascii="Arial" w:cs="Arial" w:eastAsia="Arial" w:hAnsi="Arial"/>
          <w:sz w:val="18"/>
          <w:szCs w:val="18"/>
          <w:color w:val="auto"/>
        </w:rPr>
        <w:t xml:space="preserve">We did not recognize any OTTI charges on any of our agency securities for the three months ended March 31, 2010 and 2009. </w:t>
      </w:r>
      <w:r>
        <w:rPr>
          <w:rFonts w:ascii="Arial" w:cs="Arial" w:eastAsia="Arial" w:hAnsi="Arial"/>
          <w:sz w:val="18"/>
          <w:szCs w:val="18"/>
          <w:b w:val="1"/>
          <w:bCs w:val="1"/>
          <w:i w:val="1"/>
          <w:iCs w:val="1"/>
          <w:color w:val="auto"/>
        </w:rPr>
        <w:t>Derivative Instruments</w:t>
      </w:r>
    </w:p>
    <w:p>
      <w:pPr>
        <w:spacing w:after="0" w:line="1"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 xml:space="preserve">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options to enter into interest rate swap agreements (“interest rate swaptions”), to-be-announced agency securities (“TBAs”), options and futures. We account for derivatives in accordance with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 ASC 815 requires an entity to recognize all derivatives as either assets or liabilities in the balance sheet and to measure those instruments at fair value.</w:t>
      </w:r>
    </w:p>
    <w:p>
      <w:pPr>
        <w:spacing w:after="0" w:line="107"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OCI (a component of stockholders’ equity) and reclassified to income at the time that the hedged transactions affect earnings. The ineffective portion of the fair value adjustments is recognized in gain (loss) on derivative instruments, net immediately. When the underlying hedged transaction ceases to exist, all changes in the fair value of the instrument are included in gain (loss) on derivative instruments, net for each period until the derivative instrument matures or is settled. Any amounts that have been previously recorded in accumulated OCI may need to be reclassified to net income. For derivatives not designated in hedging relationships under ASC 815, the fair value adjustments are</w:t>
      </w:r>
    </w:p>
    <w:p>
      <w:pPr>
        <w:spacing w:after="0" w:line="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80"/>
          </w:cols>
          <w:pgMar w:left="240" w:top="459" w:right="27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recorded in gain (loss) on derivative instruments, net. Derivatives in a gain position are reported as derivative assets at fair value, and derivatives in a loss position are reported as derivative liabilities at fair value in our consolidated balance sheet. Any gain (loss) on derivative instruments is included in the operating section in our consolidated statement of cash flows.</w:t>
      </w:r>
    </w:p>
    <w:p>
      <w:pPr>
        <w:spacing w:after="0" w:line="127"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w:t>
      </w:r>
    </w:p>
    <w:p>
      <w:pPr>
        <w:spacing w:after="0" w:line="118"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large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The difference between the premium and the fair value of the swaption is reported in gain (loss) on derivative instruments, net in our consolidated statement of operations and comprehensive income. When a swaption expires unexercised, a realized loss is reported in our consolidated statement of operations and comprehensive income equal to the premium paid. When we exercise a swaption, a realized gain or loss is reported in our consolidated statement of operations and comprehensive income equal to the difference between the fair value of the underlying interest rate swap and the premium paid.</w:t>
      </w:r>
    </w:p>
    <w:p>
      <w:pPr>
        <w:spacing w:after="0" w:line="105"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if there is no other way to purchase or sell that security, delivery of that security and settlement will occur within the shortest period possible for that type of security and it is probable at inception and throughout the term of the individual contract that physical delivery of the security will occur. For the TBA security contracts that we have entered into, we have not asserted that physical settlement is probable and therefore, we did not designate such forward commitments as hedging instruments. Accordingly, all realized and unrealized gains and losses are recognized in our consolidated statement of operations in the line item gain (loss) on derivative instruments, net.</w:t>
      </w:r>
    </w:p>
    <w:p>
      <w:pPr>
        <w:spacing w:after="0" w:line="105" w:lineRule="exact"/>
        <w:rPr>
          <w:sz w:val="20"/>
          <w:szCs w:val="20"/>
          <w:color w:val="auto"/>
        </w:rPr>
      </w:pPr>
    </w:p>
    <w:p>
      <w:pPr>
        <w:ind w:right="20" w:firstLine="456"/>
        <w:spacing w:after="0" w:line="287"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may also write put and call options on TBA securities to hedge against short-term changes in interest rates.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in the line item gain (loss) on derivative instruments, net.</w:t>
      </w:r>
    </w:p>
    <w:p>
      <w:pPr>
        <w:spacing w:after="0" w:line="107" w:lineRule="exact"/>
        <w:rPr>
          <w:sz w:val="20"/>
          <w:szCs w:val="20"/>
          <w:color w:val="auto"/>
        </w:rPr>
      </w:pPr>
    </w:p>
    <w:p>
      <w:pPr>
        <w:ind w:right="160" w:firstLine="456"/>
        <w:spacing w:after="0" w:line="318" w:lineRule="auto"/>
        <w:rPr>
          <w:sz w:val="20"/>
          <w:szCs w:val="20"/>
          <w:color w:val="auto"/>
        </w:rPr>
      </w:pPr>
      <w:r>
        <w:rPr>
          <w:rFonts w:ascii="Arial" w:cs="Arial" w:eastAsia="Arial" w:hAnsi="Arial"/>
          <w:sz w:val="15"/>
          <w:szCs w:val="15"/>
          <w:color w:val="auto"/>
        </w:rPr>
        <w:t>We estimate the fair value of interest rate swaps and interest rate swaptions based on the estimated net present value of the future cash flows using a forward interest rate yield curve in effect as of the measurement period, adjusted for non-performance risk based on our credit risk and our counterparty’s credit risk. We consider the impact of any collateral requirements, credit enhancements or netting arrangements on credit risk. TBA securities and forward settling contracts to purchase or sell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86" w:lineRule="exact"/>
        <w:rPr>
          <w:sz w:val="20"/>
          <w:szCs w:val="20"/>
          <w:color w:val="auto"/>
        </w:rPr>
      </w:pPr>
    </w:p>
    <w:p>
      <w:pPr>
        <w:ind w:right="54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In June 2009, the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In December 2009, the FASB issued Accounting Standards Update (“ASU”) 2009-17, </w:t>
      </w:r>
      <w:r>
        <w:rPr>
          <w:rFonts w:ascii="Arial" w:cs="Arial" w:eastAsia="Arial" w:hAnsi="Arial"/>
          <w:sz w:val="16"/>
          <w:szCs w:val="16"/>
          <w:i w:val="1"/>
          <w:iCs w:val="1"/>
          <w:color w:val="auto"/>
        </w:rPr>
        <w:t>Improvements to Financial Reporting by Enterprises Involved with Variable Interest Entities</w:t>
      </w:r>
      <w:r>
        <w:rPr>
          <w:rFonts w:ascii="Arial" w:cs="Arial" w:eastAsia="Arial" w:hAnsi="Arial"/>
          <w:sz w:val="16"/>
          <w:szCs w:val="16"/>
          <w:color w:val="auto"/>
        </w:rPr>
        <w:t xml:space="preserve">, which codified SFAS No. 167 in FASB ASC Topic 810, </w:t>
      </w:r>
      <w:r>
        <w:rPr>
          <w:rFonts w:ascii="Arial" w:cs="Arial" w:eastAsia="Arial" w:hAnsi="Arial"/>
          <w:sz w:val="16"/>
          <w:szCs w:val="16"/>
          <w:i w:val="1"/>
          <w:iCs w:val="1"/>
          <w:color w:val="auto"/>
        </w:rPr>
        <w:t>Consolidation</w:t>
      </w:r>
      <w:r>
        <w:rPr>
          <w:rFonts w:ascii="Arial" w:cs="Arial" w:eastAsia="Arial" w:hAnsi="Arial"/>
          <w:sz w:val="16"/>
          <w:szCs w:val="16"/>
          <w:color w:val="auto"/>
        </w:rPr>
        <w:t xml:space="preserve"> (“ASC 810”)</w:t>
      </w:r>
      <w:r>
        <w:rPr>
          <w:rFonts w:ascii="Arial" w:cs="Arial" w:eastAsia="Arial" w:hAnsi="Arial"/>
          <w:sz w:val="16"/>
          <w:szCs w:val="16"/>
          <w:i w:val="1"/>
          <w:iCs w:val="1"/>
          <w:color w:val="auto"/>
        </w:rPr>
        <w:t>.</w:t>
      </w:r>
      <w:r>
        <w:rPr>
          <w:rFonts w:ascii="Arial" w:cs="Arial" w:eastAsia="Arial" w:hAnsi="Arial"/>
          <w:sz w:val="16"/>
          <w:szCs w:val="16"/>
          <w:color w:val="auto"/>
        </w:rPr>
        <w:t xml:space="preserve"> ASC 810, as amended by ASU 2009-17, revises the evaluation of whether entities represent variable interest entities (“VIEs”) and requires a qualitative assessment in determining the primary beneficiary of a VIE. Further, ASC 2009-17 requires ongoing assessments of control over such entities as well as additional disclosures for entities that have variable interests in VIEs. The amendments significantly affect the overall consolidation analysis under ASC 810 and changes the way entities</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account for securitizations and special purpose entities as a result of the elimination of the qualifying special purpose entity (“QSPE”) scope exemption from ASC 810. The requirements of ASC 810 as they relate to ASU 2009-17 were effective for us as of January 1, 2010.</w:t>
      </w:r>
    </w:p>
    <w:p>
      <w:pPr>
        <w:spacing w:after="0" w:line="118"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Prior to our adoption of ASC 810, as amended by ASU 2009-17, the CMO trusts we invested in were exempt from consolidation. Upon our adoption of ASC 810, as amended by ASU 2009-17, we evaluated such CMO trusts and determined that they are VIEs and our investments are variable interests. We consolidate a CMO trust if we are its primary beneficiary, that is, if we have a variable interest (or combination of variable interests) that provides us with a controlling financial interest in the CMO trust. An entity is deemed to have a controlling financial interest if the entity has the power to direct the activities of a VIE that most significantly impacts the VIE’s economic performance and the obligation to absorb losses of or right to receive benefits from the VIE that could potentially be significant to the VIE. In determining if we have a controlling financial interest, we evaluate whether we share the power to control the selection of financial assets transferred to the CMO trust with an unrelated party. While we believe there is shared power in the selection of the assets (i.e. both us and the unrelated party must consent to the transfer of such assets to the CMO trust), if our economic interest in the CMO trust is disproportionate to the shared power, we would be deemed to be the primary beneficiary.</w:t>
      </w:r>
    </w:p>
    <w:p>
      <w:pPr>
        <w:spacing w:after="0" w:line="106"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As of and during the three months ended March 31, 2010, we were the primary beneficiary of certain CMO trusts in which we hold a variable interest. However, the impact of consolidating such CMO trusts was immaterial to our financial states as of and for the period then ended. Our investments in CMO trusts are included in agency securities on the accompanying consolidated balance sheets.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 xml:space="preserve">In June 2009, the FASB issued SFAS No. 166, </w:t>
      </w:r>
      <w:r>
        <w:rPr>
          <w:rFonts w:ascii="Arial" w:cs="Arial" w:eastAsia="Arial" w:hAnsi="Arial"/>
          <w:sz w:val="16"/>
          <w:szCs w:val="16"/>
          <w:i w:val="1"/>
          <w:iCs w:val="1"/>
          <w:color w:val="auto"/>
        </w:rPr>
        <w:t>Accounting for Transfers of Financial Assets—an amendment of FASB Statement No. 140</w:t>
      </w:r>
      <w:r>
        <w:rPr>
          <w:rFonts w:ascii="Arial" w:cs="Arial" w:eastAsia="Arial" w:hAnsi="Arial"/>
          <w:sz w:val="16"/>
          <w:szCs w:val="16"/>
          <w:color w:val="auto"/>
        </w:rPr>
        <w:t xml:space="preserve"> (“SFAS No. 166”). In December 2009, the FASB issued Accounting Standards Update (“ASU”) 2009-16, </w:t>
      </w:r>
      <w:r>
        <w:rPr>
          <w:rFonts w:ascii="Arial" w:cs="Arial" w:eastAsia="Arial" w:hAnsi="Arial"/>
          <w:sz w:val="16"/>
          <w:szCs w:val="16"/>
          <w:i w:val="1"/>
          <w:iCs w:val="1"/>
          <w:color w:val="auto"/>
        </w:rPr>
        <w:t>Accounting for Transfers of Financial Assets</w:t>
      </w:r>
      <w:r>
        <w:rPr>
          <w:rFonts w:ascii="Arial" w:cs="Arial" w:eastAsia="Arial" w:hAnsi="Arial"/>
          <w:sz w:val="16"/>
          <w:szCs w:val="16"/>
          <w:color w:val="auto"/>
        </w:rPr>
        <w:t xml:space="preserve"> which codified SFAS No. 166 in FASB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w:t>
      </w:r>
      <w:r>
        <w:rPr>
          <w:rFonts w:ascii="Arial" w:cs="Arial" w:eastAsia="Arial" w:hAnsi="Arial"/>
          <w:sz w:val="16"/>
          <w:szCs w:val="16"/>
          <w:i w:val="1"/>
          <w:iCs w:val="1"/>
          <w:color w:val="auto"/>
        </w:rPr>
        <w:t>.</w:t>
      </w:r>
      <w:r>
        <w:rPr>
          <w:rFonts w:ascii="Arial" w:cs="Arial" w:eastAsia="Arial" w:hAnsi="Arial"/>
          <w:sz w:val="16"/>
          <w:szCs w:val="16"/>
          <w:color w:val="auto"/>
        </w:rPr>
        <w:t xml:space="preserve"> SFAS No. 166 amends the derecognition guidance in SFAS No. 140, </w:t>
      </w:r>
      <w:r>
        <w:rPr>
          <w:rFonts w:ascii="Arial" w:cs="Arial" w:eastAsia="Arial" w:hAnsi="Arial"/>
          <w:sz w:val="16"/>
          <w:szCs w:val="16"/>
          <w:i w:val="1"/>
          <w:iCs w:val="1"/>
          <w:color w:val="auto"/>
        </w:rPr>
        <w:t>Accounting for</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Transfers and Servicing of Financial Assets and Extinguishments of Liabilities, </w:t>
      </w:r>
      <w:r>
        <w:rPr>
          <w:rFonts w:ascii="Arial" w:cs="Arial" w:eastAsia="Arial" w:hAnsi="Arial"/>
          <w:sz w:val="16"/>
          <w:szCs w:val="16"/>
          <w:color w:val="auto"/>
        </w:rPr>
        <w:t>eliminates the concept of a “qualifying special-purpose entity” (“QSPE”) and</w:t>
      </w:r>
      <w:r>
        <w:rPr>
          <w:rFonts w:ascii="Arial" w:cs="Arial" w:eastAsia="Arial" w:hAnsi="Arial"/>
          <w:sz w:val="16"/>
          <w:szCs w:val="16"/>
          <w:i w:val="1"/>
          <w:iCs w:val="1"/>
          <w:color w:val="auto"/>
        </w:rPr>
        <w:t xml:space="preserve"> </w:t>
      </w:r>
      <w:r>
        <w:rPr>
          <w:rFonts w:ascii="Arial" w:cs="Arial" w:eastAsia="Arial" w:hAnsi="Arial"/>
          <w:sz w:val="16"/>
          <w:szCs w:val="16"/>
          <w:color w:val="auto"/>
        </w:rPr>
        <w:t>requires more information about transfers of financial assets, including securitization transactions as well as a company’s continuing exposure to the risks related to transferred financial assets. AGNC adopted the requirements of ASC 860, as they relate to SFAS No. 166, on January 1, 2010. The requirements will be effective for financial asset transfers occurring after January 1, 2010 and for substantive changes to transfers of financial assets that occurred prior to January 1, 2010.</w:t>
      </w:r>
    </w:p>
    <w:p>
      <w:pPr>
        <w:spacing w:after="0" w:line="105"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 xml:space="preserve">In January 2010, the FASB issued ASU No 2010-06, </w:t>
      </w:r>
      <w:r>
        <w:rPr>
          <w:rFonts w:ascii="Arial" w:cs="Arial" w:eastAsia="Arial" w:hAnsi="Arial"/>
          <w:sz w:val="16"/>
          <w:szCs w:val="16"/>
          <w:i w:val="1"/>
          <w:iCs w:val="1"/>
          <w:color w:val="auto"/>
        </w:rPr>
        <w:t>Improving Disclosures about Fair Value Measurements</w:t>
      </w:r>
      <w:r>
        <w:rPr>
          <w:rFonts w:ascii="Arial" w:cs="Arial" w:eastAsia="Arial" w:hAnsi="Arial"/>
          <w:sz w:val="16"/>
          <w:szCs w:val="16"/>
          <w:color w:val="auto"/>
        </w:rPr>
        <w:t xml:space="preserve"> (“ASU 2010-06”), which amended FASB ASC Topic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xml:space="preserve"> (“ASC 820”), to require a number of additional disclosures regarding fair value measurements, including the amount of transfers between Levels 1 and 2 of the fair value hierarchy, the reasons for transfers in or out of Level 3 of the fair value hierarchy and activity for recurring Level 3 measures. ASU 2010-06 also clarifies certain existing disclosure requirements related to the level at which fair value disclosures should be disaggregated and the requirement to provide disclosures about the valuation techniques and inputs used in determining the fair value of assets or liabilities classified as Levels 2 or 3. The ASU is effective for interim and annual reporting periods beginning after December 15, 2009, except for the disclosures related to the activity in Level 3 fair value measurements which are effective for fiscal years beginning after December 15, 2010 and for interim periods within those fiscal years. Early adoption is permitted. We adopted the requirements of ASU 2010-06 in the first quarter of 2010 and the adoption did not have a material effect on our consolidated financial statements.</w:t>
      </w:r>
    </w:p>
    <w:p>
      <w:pPr>
        <w:spacing w:after="0" w:line="106"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 xml:space="preserve">In February 2010, the FASB issued ASU No. 2010-09, </w:t>
      </w:r>
      <w:r>
        <w:rPr>
          <w:rFonts w:ascii="Arial" w:cs="Arial" w:eastAsia="Arial" w:hAnsi="Arial"/>
          <w:sz w:val="18"/>
          <w:szCs w:val="18"/>
          <w:i w:val="1"/>
          <w:iCs w:val="1"/>
          <w:color w:val="auto"/>
        </w:rPr>
        <w:t>Amendments to Certain Recognition and Disclosure Requirements</w:t>
      </w:r>
      <w:r>
        <w:rPr>
          <w:rFonts w:ascii="Arial" w:cs="Arial" w:eastAsia="Arial" w:hAnsi="Arial"/>
          <w:sz w:val="18"/>
          <w:szCs w:val="18"/>
          <w:color w:val="auto"/>
        </w:rPr>
        <w:t xml:space="preserve"> (“ASU 2010-09”), which amends FASB ASC Topic 855, </w:t>
      </w:r>
      <w:r>
        <w:rPr>
          <w:rFonts w:ascii="Arial" w:cs="Arial" w:eastAsia="Arial" w:hAnsi="Arial"/>
          <w:sz w:val="18"/>
          <w:szCs w:val="18"/>
          <w:i w:val="1"/>
          <w:iCs w:val="1"/>
          <w:color w:val="auto"/>
        </w:rPr>
        <w:t>Subsequent Events</w:t>
      </w:r>
      <w:r>
        <w:rPr>
          <w:rFonts w:ascii="Arial" w:cs="Arial" w:eastAsia="Arial" w:hAnsi="Arial"/>
          <w:sz w:val="18"/>
          <w:szCs w:val="18"/>
          <w:color w:val="auto"/>
        </w:rPr>
        <w:t xml:space="preserve"> (“ASC 855”). ASU</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color w:val="auto"/>
        </w:rPr>
        <w:t>No. 2010-09 removes the requirement for an SEC filer (as defined in ASU 2010-09) to disclose the date, in both issued and revised financial statements, through which it has evaluated subsequent events. This change alleviates potential conflicts with current SEC guidance. ASU No. 2010-09 is effective upon issuance for all entities other than conduit bond obligors. We adopted the requirements of ASU No. 2010-09 on the effective date. We do not have any material subsequent events that impact our consolidated financial statements.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Certain prior period amounts in the notes to the consolidated financial statements have been reclassified to conform to the current period presentation.</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summarize our investments in agency securities as of March 31, 2010 and December 31, 2009 (dollars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3"/>
          </w:tcPr>
          <w:p>
            <w:pPr>
              <w:ind w:left="480"/>
              <w:spacing w:after="0"/>
              <w:rPr>
                <w:sz w:val="20"/>
                <w:szCs w:val="20"/>
                <w:color w:val="auto"/>
              </w:rPr>
            </w:pPr>
            <w:r>
              <w:rPr>
                <w:rFonts w:ascii="Arial" w:cs="Arial" w:eastAsia="Arial" w:hAnsi="Arial"/>
                <w:sz w:val="14"/>
                <w:szCs w:val="14"/>
                <w:b w:val="1"/>
                <w:bCs w:val="1"/>
                <w:color w:val="auto"/>
                <w:w w:val="89"/>
              </w:rPr>
              <w:t>As of March 31, 2010</w:t>
            </w:r>
          </w:p>
        </w:tc>
        <w:tc>
          <w:tcPr>
            <w:tcW w:w="42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7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0" w:type="dxa"/>
            <w:vAlign w:val="bottom"/>
            <w:gridSpan w:val="2"/>
          </w:tcPr>
          <w:p>
            <w:pPr>
              <w:jc w:val="right"/>
              <w:ind w:right="460"/>
              <w:spacing w:after="0" w:line="142" w:lineRule="exact"/>
              <w:rPr>
                <w:sz w:val="20"/>
                <w:szCs w:val="20"/>
                <w:color w:val="auto"/>
              </w:rPr>
            </w:pPr>
            <w:r>
              <w:rPr>
                <w:rFonts w:ascii="Arial" w:cs="Arial" w:eastAsia="Arial" w:hAnsi="Arial"/>
                <w:sz w:val="14"/>
                <w:szCs w:val="14"/>
                <w:b w:val="1"/>
                <w:bCs w:val="1"/>
                <w:color w:val="auto"/>
                <w:w w:val="94"/>
              </w:rPr>
              <w:t>Fannie Mae</w:t>
            </w:r>
          </w:p>
        </w:tc>
        <w:tc>
          <w:tcPr>
            <w:tcW w:w="260" w:type="dxa"/>
            <w:vAlign w:val="bottom"/>
          </w:tcPr>
          <w:p>
            <w:pPr>
              <w:spacing w:after="0"/>
              <w:rPr>
                <w:sz w:val="12"/>
                <w:szCs w:val="12"/>
                <w:color w:val="auto"/>
              </w:rPr>
            </w:pPr>
          </w:p>
        </w:tc>
        <w:tc>
          <w:tcPr>
            <w:tcW w:w="1480" w:type="dxa"/>
            <w:vAlign w:val="bottom"/>
            <w:gridSpan w:val="2"/>
          </w:tcPr>
          <w:p>
            <w:pPr>
              <w:jc w:val="right"/>
              <w:ind w:right="70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13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right"/>
              <w:ind w:right="173"/>
              <w:spacing w:after="0" w:line="142"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Agency securities, par</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$3,035,735</w:t>
            </w:r>
          </w:p>
        </w:tc>
        <w:tc>
          <w:tcPr>
            <w:tcW w:w="420" w:type="dxa"/>
            <w:vAlign w:val="bottom"/>
          </w:tcPr>
          <w:p>
            <w:pPr>
              <w:spacing w:after="0"/>
              <w:rPr>
                <w:sz w:val="18"/>
                <w:szCs w:val="18"/>
                <w:color w:val="auto"/>
              </w:rPr>
            </w:pPr>
          </w:p>
        </w:tc>
        <w:tc>
          <w:tcPr>
            <w:tcW w:w="1740" w:type="dxa"/>
            <w:vAlign w:val="bottom"/>
            <w:gridSpan w:val="3"/>
          </w:tcPr>
          <w:p>
            <w:pPr>
              <w:jc w:val="right"/>
              <w:ind w:right="680"/>
              <w:spacing w:after="0"/>
              <w:rPr>
                <w:sz w:val="20"/>
                <w:szCs w:val="20"/>
                <w:color w:val="auto"/>
              </w:rPr>
            </w:pPr>
            <w:r>
              <w:rPr>
                <w:rFonts w:ascii="Arial" w:cs="Arial" w:eastAsia="Arial" w:hAnsi="Arial"/>
                <w:sz w:val="18"/>
                <w:szCs w:val="18"/>
                <w:color w:val="auto"/>
              </w:rPr>
              <w:t>$1,913,115</w:t>
            </w: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7,827</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$4,956,677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Unamortized discount</w:t>
            </w:r>
          </w:p>
        </w:tc>
        <w:tc>
          <w:tcPr>
            <w:tcW w:w="1540" w:type="dxa"/>
            <w:vAlign w:val="bottom"/>
            <w:gridSpan w:val="3"/>
            <w:shd w:val="clear" w:color="auto" w:fill="CCEEFF"/>
          </w:tcPr>
          <w:p>
            <w:pPr>
              <w:jc w:val="right"/>
              <w:ind w:right="360"/>
              <w:spacing w:after="0"/>
              <w:rPr>
                <w:sz w:val="20"/>
                <w:szCs w:val="20"/>
                <w:color w:val="auto"/>
              </w:rPr>
            </w:pPr>
            <w:r>
              <w:rPr>
                <w:rFonts w:ascii="Arial" w:cs="Arial" w:eastAsia="Arial" w:hAnsi="Arial"/>
                <w:sz w:val="18"/>
                <w:szCs w:val="18"/>
                <w:color w:val="auto"/>
              </w:rPr>
              <w:t>(91)</w:t>
            </w:r>
          </w:p>
        </w:tc>
        <w:tc>
          <w:tcPr>
            <w:tcW w:w="26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Unamortized premium</w:t>
            </w:r>
          </w:p>
        </w:tc>
        <w:tc>
          <w:tcPr>
            <w:tcW w:w="3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115,239</w:t>
            </w:r>
          </w:p>
        </w:tc>
        <w:tc>
          <w:tcPr>
            <w:tcW w:w="4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92,500</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rPr>
              <w:t>324</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208,063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760" w:type="dxa"/>
            <w:vAlign w:val="bottom"/>
          </w:tcPr>
          <w:p>
            <w:pPr>
              <w:spacing w:after="0"/>
              <w:rPr>
                <w:sz w:val="2"/>
                <w:szCs w:val="2"/>
                <w:color w:val="auto"/>
              </w:rPr>
            </w:pPr>
          </w:p>
        </w:tc>
        <w:tc>
          <w:tcPr>
            <w:tcW w:w="34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Amortized cost</w:t>
            </w:r>
          </w:p>
        </w:tc>
        <w:tc>
          <w:tcPr>
            <w:tcW w:w="3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3,150,883</w:t>
            </w: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2,005,615</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88"/>
              </w:rPr>
              <w:t>8,151</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5,164,649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Gross unrealized gains</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27,857</w:t>
            </w:r>
          </w:p>
        </w:tc>
        <w:tc>
          <w:tcPr>
            <w:tcW w:w="4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14,298</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rPr>
              <w:t>219</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42,374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losses</w:t>
            </w:r>
          </w:p>
        </w:tc>
        <w:tc>
          <w:tcPr>
            <w:tcW w:w="3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(3,494)</w:t>
            </w:r>
          </w:p>
        </w:tc>
        <w:tc>
          <w:tcPr>
            <w:tcW w:w="1740" w:type="dxa"/>
            <w:vAlign w:val="bottom"/>
            <w:gridSpan w:val="3"/>
            <w:shd w:val="clear" w:color="auto" w:fill="CCEEFF"/>
          </w:tcPr>
          <w:p>
            <w:pPr>
              <w:jc w:val="right"/>
              <w:ind w:right="620"/>
              <w:spacing w:after="0"/>
              <w:rPr>
                <w:sz w:val="20"/>
                <w:szCs w:val="20"/>
                <w:color w:val="auto"/>
              </w:rPr>
            </w:pPr>
            <w:r>
              <w:rPr>
                <w:rFonts w:ascii="Arial" w:cs="Arial" w:eastAsia="Arial" w:hAnsi="Arial"/>
                <w:sz w:val="18"/>
                <w:szCs w:val="18"/>
                <w:color w:val="auto"/>
              </w:rPr>
              <w:t>(929)</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vMerge w:val="restart"/>
          </w:tcPr>
          <w:p>
            <w:pPr>
              <w:ind w:left="420"/>
              <w:spacing w:after="0"/>
              <w:rPr>
                <w:sz w:val="20"/>
                <w:szCs w:val="20"/>
                <w:color w:val="auto"/>
              </w:rPr>
            </w:pPr>
            <w:r>
              <w:rPr>
                <w:rFonts w:ascii="Arial" w:cs="Arial" w:eastAsia="Arial" w:hAnsi="Arial"/>
                <w:sz w:val="18"/>
                <w:szCs w:val="18"/>
                <w:color w:val="auto"/>
              </w:rPr>
              <w:t>Available-for-sale securities, at fair value</w:t>
            </w:r>
          </w:p>
        </w:tc>
        <w:tc>
          <w:tcPr>
            <w:tcW w:w="34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5760" w:type="dxa"/>
            <w:vAlign w:val="bottom"/>
            <w:vMerge w:val="continue"/>
          </w:tcPr>
          <w:p>
            <w:pPr>
              <w:spacing w:after="0"/>
              <w:rPr>
                <w:sz w:val="20"/>
                <w:szCs w:val="20"/>
                <w:color w:val="auto"/>
              </w:rPr>
            </w:pPr>
          </w:p>
        </w:tc>
        <w:tc>
          <w:tcPr>
            <w:tcW w:w="34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3,175,246</w:t>
            </w:r>
          </w:p>
        </w:tc>
        <w:tc>
          <w:tcPr>
            <w:tcW w:w="4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2,018,984</w:t>
            </w: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8,370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5,202,600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Interest-only strips, amortized cost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3,072</w:t>
            </w:r>
          </w:p>
        </w:tc>
        <w:tc>
          <w:tcPr>
            <w:tcW w:w="420" w:type="dxa"/>
            <w:vAlign w:val="bottom"/>
          </w:tcPr>
          <w:p>
            <w:pPr>
              <w:spacing w:after="0"/>
              <w:rPr>
                <w:sz w:val="18"/>
                <w:szCs w:val="18"/>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32,495</w:t>
            </w: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00" w:type="dxa"/>
            <w:vAlign w:val="bottom"/>
            <w:gridSpan w:val="2"/>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35,567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gains</w:t>
            </w:r>
          </w:p>
        </w:tc>
        <w:tc>
          <w:tcPr>
            <w:tcW w:w="3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2,698</w:t>
            </w: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2,698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760" w:type="dxa"/>
            <w:vAlign w:val="bottom"/>
          </w:tcPr>
          <w:p>
            <w:pPr>
              <w:ind w:left="860"/>
              <w:spacing w:after="0"/>
              <w:rPr>
                <w:sz w:val="20"/>
                <w:szCs w:val="20"/>
                <w:color w:val="auto"/>
              </w:rPr>
            </w:pPr>
            <w:r>
              <w:rPr>
                <w:rFonts w:ascii="Arial" w:cs="Arial" w:eastAsia="Arial" w:hAnsi="Arial"/>
                <w:sz w:val="18"/>
                <w:szCs w:val="18"/>
                <w:color w:val="auto"/>
              </w:rPr>
              <w:t>Gross unrealized losses</w:t>
            </w:r>
          </w:p>
        </w:tc>
        <w:tc>
          <w:tcPr>
            <w:tcW w:w="340" w:type="dxa"/>
            <w:vAlign w:val="bottom"/>
          </w:tcPr>
          <w:p>
            <w:pPr>
              <w:spacing w:after="0"/>
              <w:rPr>
                <w:sz w:val="19"/>
                <w:szCs w:val="19"/>
                <w:color w:val="auto"/>
              </w:rPr>
            </w:pPr>
          </w:p>
        </w:tc>
        <w:tc>
          <w:tcPr>
            <w:tcW w:w="1200" w:type="dxa"/>
            <w:vAlign w:val="bottom"/>
            <w:gridSpan w:val="2"/>
          </w:tcPr>
          <w:p>
            <w:pPr>
              <w:jc w:val="right"/>
              <w:ind w:right="360"/>
              <w:spacing w:after="0"/>
              <w:rPr>
                <w:sz w:val="20"/>
                <w:szCs w:val="20"/>
                <w:color w:val="auto"/>
              </w:rPr>
            </w:pPr>
            <w:r>
              <w:rPr>
                <w:rFonts w:ascii="Arial" w:cs="Arial" w:eastAsia="Arial" w:hAnsi="Arial"/>
                <w:sz w:val="18"/>
                <w:szCs w:val="18"/>
                <w:color w:val="auto"/>
              </w:rPr>
              <w:t>(601)</w:t>
            </w:r>
          </w:p>
        </w:tc>
        <w:tc>
          <w:tcPr>
            <w:tcW w:w="1740" w:type="dxa"/>
            <w:vAlign w:val="bottom"/>
            <w:gridSpan w:val="3"/>
          </w:tcPr>
          <w:p>
            <w:pPr>
              <w:jc w:val="right"/>
              <w:ind w:right="620"/>
              <w:spacing w:after="0"/>
              <w:rPr>
                <w:sz w:val="20"/>
                <w:szCs w:val="20"/>
                <w:color w:val="auto"/>
              </w:rPr>
            </w:pPr>
            <w:r>
              <w:rPr>
                <w:rFonts w:ascii="Arial" w:cs="Arial" w:eastAsia="Arial" w:hAnsi="Arial"/>
                <w:sz w:val="18"/>
                <w:szCs w:val="18"/>
                <w:color w:val="auto"/>
              </w:rPr>
              <w:t>(10)</w:t>
            </w:r>
          </w:p>
        </w:tc>
        <w:tc>
          <w:tcPr>
            <w:tcW w:w="260" w:type="dxa"/>
            <w:vAlign w:val="bottom"/>
          </w:tcPr>
          <w:p>
            <w:pPr>
              <w:spacing w:after="0"/>
              <w:rPr>
                <w:sz w:val="19"/>
                <w:szCs w:val="19"/>
                <w:color w:val="auto"/>
              </w:rPr>
            </w:pPr>
          </w:p>
        </w:tc>
        <w:tc>
          <w:tcPr>
            <w:tcW w:w="1100" w:type="dxa"/>
            <w:vAlign w:val="bottom"/>
            <w:gridSpan w:val="2"/>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(611)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3"/>
              </w:rPr>
              <w:t>Agency securities measured at fair value through earnings, at fair value</w:t>
            </w:r>
          </w:p>
        </w:tc>
        <w:tc>
          <w:tcPr>
            <w:tcW w:w="340" w:type="dxa"/>
            <w:vAlign w:val="bottom"/>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2,471</w:t>
            </w: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35,183</w:t>
            </w:r>
          </w:p>
        </w:tc>
        <w:tc>
          <w:tcPr>
            <w:tcW w:w="680" w:type="dxa"/>
            <w:vAlign w:val="bottom"/>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37,654</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780" w:type="dxa"/>
            <w:vAlign w:val="bottom"/>
            <w:gridSpan w:val="2"/>
          </w:tcPr>
          <w:p>
            <w:pPr>
              <w:spacing w:after="0"/>
              <w:rPr>
                <w:sz w:val="20"/>
                <w:szCs w:val="20"/>
                <w:color w:val="auto"/>
              </w:rPr>
            </w:pPr>
            <w:r>
              <w:rPr>
                <w:rFonts w:ascii="Arial" w:cs="Arial" w:eastAsia="Arial" w:hAnsi="Arial"/>
                <w:sz w:val="18"/>
                <w:szCs w:val="18"/>
                <w:color w:val="auto"/>
              </w:rPr>
              <w:t>Total agency securities, at fair value</w:t>
            </w:r>
          </w:p>
        </w:tc>
        <w:tc>
          <w:tcPr>
            <w:tcW w:w="112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3,177,717</w:t>
            </w:r>
          </w:p>
        </w:tc>
        <w:tc>
          <w:tcPr>
            <w:tcW w:w="420" w:type="dxa"/>
            <w:vAlign w:val="bottom"/>
          </w:tcPr>
          <w:p>
            <w:pPr>
              <w:spacing w:after="0"/>
              <w:rPr>
                <w:sz w:val="19"/>
                <w:szCs w:val="19"/>
                <w:color w:val="auto"/>
              </w:rPr>
            </w:pPr>
          </w:p>
        </w:tc>
        <w:tc>
          <w:tcPr>
            <w:tcW w:w="10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2,054,167</w:t>
            </w:r>
          </w:p>
        </w:tc>
        <w:tc>
          <w:tcPr>
            <w:tcW w:w="680" w:type="dxa"/>
            <w:vAlign w:val="bottom"/>
          </w:tcPr>
          <w:p>
            <w:pPr>
              <w:spacing w:after="0"/>
              <w:rPr>
                <w:sz w:val="19"/>
                <w:szCs w:val="19"/>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680"/>
              <w:spacing w:after="0"/>
              <w:rPr>
                <w:sz w:val="20"/>
                <w:szCs w:val="20"/>
                <w:color w:val="auto"/>
              </w:rPr>
            </w:pPr>
            <w:r>
              <w:rPr>
                <w:rFonts w:ascii="Arial" w:cs="Arial" w:eastAsia="Arial" w:hAnsi="Arial"/>
                <w:sz w:val="18"/>
                <w:szCs w:val="18"/>
                <w:color w:val="auto"/>
                <w:w w:val="88"/>
              </w:rPr>
              <w:t>8,370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5,240,254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coupon</w:t>
            </w:r>
          </w:p>
        </w:tc>
        <w:tc>
          <w:tcPr>
            <w:tcW w:w="15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5.09%</w:t>
            </w:r>
          </w:p>
        </w:tc>
        <w:tc>
          <w:tcPr>
            <w:tcW w:w="17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5.74%</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tcPr>
          <w:p>
            <w:pPr>
              <w:spacing w:after="0"/>
              <w:rPr>
                <w:sz w:val="20"/>
                <w:szCs w:val="20"/>
                <w:color w:val="auto"/>
              </w:rPr>
            </w:pPr>
            <w:r>
              <w:rPr>
                <w:rFonts w:ascii="Arial" w:cs="Arial" w:eastAsia="Arial" w:hAnsi="Arial"/>
                <w:sz w:val="18"/>
                <w:szCs w:val="18"/>
                <w:color w:val="auto"/>
              </w:rPr>
              <w:t>Weighted average yield as of March 31, 2010(1)</w:t>
            </w:r>
          </w:p>
        </w:tc>
        <w:tc>
          <w:tcPr>
            <w:tcW w:w="1540" w:type="dxa"/>
            <w:vAlign w:val="bottom"/>
            <w:gridSpan w:val="3"/>
          </w:tcPr>
          <w:p>
            <w:pPr>
              <w:jc w:val="right"/>
              <w:ind w:right="260"/>
              <w:spacing w:after="0"/>
              <w:rPr>
                <w:sz w:val="20"/>
                <w:szCs w:val="20"/>
                <w:color w:val="auto"/>
              </w:rPr>
            </w:pPr>
            <w:r>
              <w:rPr>
                <w:rFonts w:ascii="Arial" w:cs="Arial" w:eastAsia="Arial" w:hAnsi="Arial"/>
                <w:sz w:val="18"/>
                <w:szCs w:val="18"/>
                <w:color w:val="auto"/>
              </w:rPr>
              <w:t>3.74%</w:t>
            </w:r>
          </w:p>
        </w:tc>
        <w:tc>
          <w:tcPr>
            <w:tcW w:w="1740" w:type="dxa"/>
            <w:vAlign w:val="bottom"/>
            <w:gridSpan w:val="3"/>
          </w:tcPr>
          <w:p>
            <w:pPr>
              <w:jc w:val="right"/>
              <w:ind w:right="540"/>
              <w:spacing w:after="0"/>
              <w:rPr>
                <w:sz w:val="20"/>
                <w:szCs w:val="20"/>
                <w:color w:val="auto"/>
              </w:rPr>
            </w:pPr>
            <w:r>
              <w:rPr>
                <w:rFonts w:ascii="Arial" w:cs="Arial" w:eastAsia="Arial" w:hAnsi="Arial"/>
                <w:sz w:val="18"/>
                <w:szCs w:val="18"/>
                <w:color w:val="auto"/>
              </w:rPr>
              <w:t>3.55%</w:t>
            </w:r>
          </w:p>
        </w:tc>
        <w:tc>
          <w:tcPr>
            <w:tcW w:w="260" w:type="dxa"/>
            <w:vAlign w:val="bottom"/>
          </w:tcPr>
          <w:p>
            <w:pPr>
              <w:spacing w:after="0"/>
              <w:rPr>
                <w:sz w:val="18"/>
                <w:szCs w:val="18"/>
                <w:color w:val="auto"/>
              </w:rPr>
            </w:pPr>
          </w:p>
        </w:tc>
        <w:tc>
          <w:tcPr>
            <w:tcW w:w="1100" w:type="dxa"/>
            <w:vAlign w:val="bottom"/>
            <w:gridSpan w:val="2"/>
          </w:tcPr>
          <w:p>
            <w:pPr>
              <w:jc w:val="right"/>
              <w:ind w:right="520"/>
              <w:spacing w:after="0"/>
              <w:rPr>
                <w:sz w:val="20"/>
                <w:szCs w:val="20"/>
                <w:color w:val="auto"/>
              </w:rPr>
            </w:pPr>
            <w:r>
              <w:rPr>
                <w:rFonts w:ascii="Arial" w:cs="Arial" w:eastAsia="Arial" w:hAnsi="Arial"/>
                <w:sz w:val="18"/>
                <w:szCs w:val="18"/>
                <w:color w:val="auto"/>
              </w:rPr>
              <w:t>5.12%</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7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 for the three months ended March 31, 2010(1)</w:t>
            </w:r>
          </w:p>
        </w:tc>
        <w:tc>
          <w:tcPr>
            <w:tcW w:w="15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3.92%</w:t>
            </w:r>
          </w:p>
        </w:tc>
        <w:tc>
          <w:tcPr>
            <w:tcW w:w="17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3.50%</w:t>
            </w:r>
          </w:p>
        </w:tc>
        <w:tc>
          <w:tcPr>
            <w:tcW w:w="2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3.27%</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8"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Incorporates future prepayment assumptions and forward rates.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jc w:val="center"/>
              <w:spacing w:after="0"/>
              <w:rPr>
                <w:sz w:val="20"/>
                <w:szCs w:val="20"/>
                <w:color w:val="auto"/>
              </w:rPr>
            </w:pPr>
            <w:r>
              <w:rPr>
                <w:rFonts w:ascii="Arial" w:cs="Arial" w:eastAsia="Arial" w:hAnsi="Arial"/>
                <w:sz w:val="14"/>
                <w:szCs w:val="14"/>
                <w:b w:val="1"/>
                <w:bCs w:val="1"/>
                <w:color w:val="auto"/>
                <w:w w:val="78"/>
              </w:rPr>
              <w:t>Gross</w:t>
            </w: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83"/>
              </w:rPr>
              <w:t>Gross</w:t>
            </w: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80" w:type="dxa"/>
            <w:vAlign w:val="bottom"/>
          </w:tcPr>
          <w:p>
            <w:pPr>
              <w:spacing w:after="0"/>
              <w:rPr>
                <w:sz w:val="12"/>
                <w:szCs w:val="12"/>
                <w:color w:val="auto"/>
              </w:rPr>
            </w:pPr>
          </w:p>
        </w:tc>
        <w:tc>
          <w:tcPr>
            <w:tcW w:w="3920" w:type="dxa"/>
            <w:vAlign w:val="bottom"/>
          </w:tcPr>
          <w:p>
            <w:pPr>
              <w:spacing w:after="0"/>
              <w:rPr>
                <w:sz w:val="12"/>
                <w:szCs w:val="12"/>
                <w:color w:val="auto"/>
              </w:rPr>
            </w:pPr>
          </w:p>
        </w:tc>
        <w:tc>
          <w:tcPr>
            <w:tcW w:w="11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0"/>
              </w:rPr>
              <w:t>Amortized</w:t>
            </w:r>
          </w:p>
        </w:tc>
        <w:tc>
          <w:tcPr>
            <w:tcW w:w="6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Unrealized</w:t>
            </w:r>
          </w:p>
        </w:tc>
        <w:tc>
          <w:tcPr>
            <w:tcW w:w="340" w:type="dxa"/>
            <w:vAlign w:val="bottom"/>
          </w:tcPr>
          <w:p>
            <w:pPr>
              <w:spacing w:after="0"/>
              <w:rPr>
                <w:sz w:val="12"/>
                <w:szCs w:val="12"/>
                <w:color w:val="auto"/>
              </w:rPr>
            </w:pPr>
          </w:p>
        </w:tc>
        <w:tc>
          <w:tcPr>
            <w:tcW w:w="10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Unrealized</w:t>
            </w:r>
          </w:p>
        </w:tc>
        <w:tc>
          <w:tcPr>
            <w:tcW w:w="8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48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34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Gain</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79"/>
              </w:rPr>
              <w:t>Loss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Fair Value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$1,823,809</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$ 13,832</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4"/>
              </w:rPr>
              <w:t>(2,717)</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$ 1,834,924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Adjustable-Rate</w:t>
            </w:r>
          </w:p>
        </w:tc>
        <w:tc>
          <w:tcPr>
            <w:tcW w:w="5060" w:type="dxa"/>
            <w:vAlign w:val="bottom"/>
            <w:gridSpan w:val="3"/>
          </w:tcPr>
          <w:p>
            <w:pPr>
              <w:jc w:val="right"/>
              <w:ind w:right="340"/>
              <w:spacing w:after="0"/>
              <w:rPr>
                <w:sz w:val="20"/>
                <w:szCs w:val="20"/>
                <w:color w:val="auto"/>
              </w:rPr>
            </w:pPr>
            <w:r>
              <w:rPr>
                <w:rFonts w:ascii="Arial" w:cs="Arial" w:eastAsia="Arial" w:hAnsi="Arial"/>
                <w:sz w:val="18"/>
                <w:szCs w:val="18"/>
                <w:color w:val="auto"/>
              </w:rPr>
              <w:t>2,694,280</w:t>
            </w:r>
          </w:p>
        </w:tc>
        <w:tc>
          <w:tcPr>
            <w:tcW w:w="640" w:type="dxa"/>
            <w:vAlign w:val="bottom"/>
          </w:tcPr>
          <w:p>
            <w:pPr>
              <w:jc w:val="right"/>
              <w:spacing w:after="0"/>
              <w:rPr>
                <w:sz w:val="20"/>
                <w:szCs w:val="20"/>
                <w:color w:val="auto"/>
              </w:rPr>
            </w:pPr>
            <w:r>
              <w:rPr>
                <w:rFonts w:ascii="Arial" w:cs="Arial" w:eastAsia="Arial" w:hAnsi="Arial"/>
                <w:sz w:val="18"/>
                <w:szCs w:val="18"/>
                <w:color w:val="auto"/>
              </w:rPr>
              <w:t>17,641</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w w:val="94"/>
              </w:rPr>
              <w:t>(1,364)</w:t>
            </w:r>
          </w:p>
        </w:tc>
        <w:tc>
          <w:tcPr>
            <w:tcW w:w="820" w:type="dxa"/>
            <w:vAlign w:val="bottom"/>
          </w:tcPr>
          <w:p>
            <w:pPr>
              <w:jc w:val="right"/>
              <w:spacing w:after="0"/>
              <w:rPr>
                <w:sz w:val="20"/>
                <w:szCs w:val="20"/>
                <w:color w:val="auto"/>
              </w:rPr>
            </w:pPr>
            <w:r>
              <w:rPr>
                <w:rFonts w:ascii="Arial" w:cs="Arial" w:eastAsia="Arial" w:hAnsi="Arial"/>
                <w:sz w:val="18"/>
                <w:szCs w:val="18"/>
                <w:color w:val="auto"/>
                <w:w w:val="99"/>
              </w:rPr>
              <w:t>2,710,557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506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646,560</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10,901</w:t>
            </w: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(342)</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80" w:type="dxa"/>
            <w:vAlign w:val="bottom"/>
          </w:tcPr>
          <w:p>
            <w:pPr>
              <w:spacing w:after="0"/>
              <w:rPr>
                <w:sz w:val="20"/>
                <w:szCs w:val="20"/>
                <w:color w:val="auto"/>
              </w:rPr>
            </w:pPr>
            <w:r>
              <w:rPr>
                <w:rFonts w:ascii="Arial" w:cs="Arial" w:eastAsia="Arial" w:hAnsi="Arial"/>
                <w:sz w:val="18"/>
                <w:szCs w:val="18"/>
                <w:color w:val="auto"/>
              </w:rPr>
              <w:t>Interest-only strips</w:t>
            </w:r>
          </w:p>
        </w:tc>
        <w:tc>
          <w:tcPr>
            <w:tcW w:w="3920" w:type="dxa"/>
            <w:vAlign w:val="bottom"/>
          </w:tcPr>
          <w:p>
            <w:pPr>
              <w:spacing w:after="0"/>
              <w:rPr>
                <w:sz w:val="18"/>
                <w:szCs w:val="18"/>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8"/>
                <w:szCs w:val="18"/>
                <w:color w:val="auto"/>
              </w:rPr>
              <w:t>35,567</w:t>
            </w:r>
          </w:p>
        </w:tc>
        <w:tc>
          <w:tcPr>
            <w:tcW w:w="640" w:type="dxa"/>
            <w:vAlign w:val="bottom"/>
          </w:tcPr>
          <w:p>
            <w:pPr>
              <w:jc w:val="right"/>
              <w:spacing w:after="0"/>
              <w:rPr>
                <w:sz w:val="20"/>
                <w:szCs w:val="20"/>
                <w:color w:val="auto"/>
              </w:rPr>
            </w:pPr>
            <w:r>
              <w:rPr>
                <w:rFonts w:ascii="Arial" w:cs="Arial" w:eastAsia="Arial" w:hAnsi="Arial"/>
                <w:sz w:val="18"/>
                <w:szCs w:val="18"/>
                <w:color w:val="auto"/>
              </w:rPr>
              <w:t>2,698</w:t>
            </w: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Arial" w:cs="Arial" w:eastAsia="Arial" w:hAnsi="Arial"/>
                <w:sz w:val="18"/>
                <w:szCs w:val="18"/>
                <w:color w:val="auto"/>
              </w:rPr>
              <w:t>(611)</w:t>
            </w:r>
          </w:p>
        </w:tc>
        <w:tc>
          <w:tcPr>
            <w:tcW w:w="820" w:type="dxa"/>
            <w:vAlign w:val="bottom"/>
          </w:tcPr>
          <w:p>
            <w:pPr>
              <w:jc w:val="right"/>
              <w:spacing w:after="0"/>
              <w:rPr>
                <w:sz w:val="20"/>
                <w:szCs w:val="20"/>
                <w:color w:val="auto"/>
              </w:rPr>
            </w:pPr>
            <w:r>
              <w:rPr>
                <w:rFonts w:ascii="Arial" w:cs="Arial" w:eastAsia="Arial" w:hAnsi="Arial"/>
                <w:sz w:val="18"/>
                <w:szCs w:val="18"/>
                <w:color w:val="auto"/>
              </w:rPr>
              <w:t>37,654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80" w:type="dxa"/>
            <w:vAlign w:val="bottom"/>
          </w:tcPr>
          <w:p>
            <w:pPr>
              <w:spacing w:after="0"/>
              <w:rPr>
                <w:sz w:val="2"/>
                <w:szCs w:val="2"/>
                <w:color w:val="auto"/>
              </w:rPr>
            </w:pPr>
          </w:p>
        </w:tc>
        <w:tc>
          <w:tcPr>
            <w:tcW w:w="39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480" w:type="dxa"/>
            <w:vAlign w:val="bottom"/>
            <w:shd w:val="clear" w:color="auto" w:fill="CCEEFF"/>
          </w:tcPr>
          <w:p>
            <w:pPr>
              <w:spacing w:after="0"/>
              <w:rPr>
                <w:sz w:val="18"/>
                <w:szCs w:val="18"/>
                <w:color w:val="auto"/>
              </w:rPr>
            </w:pPr>
          </w:p>
        </w:tc>
        <w:tc>
          <w:tcPr>
            <w:tcW w:w="39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5,200,216</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$ 45,072</w:t>
            </w:r>
          </w:p>
        </w:tc>
        <w:tc>
          <w:tcPr>
            <w:tcW w:w="4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99"/>
              </w:rPr>
              <w:t>$</w:t>
            </w:r>
          </w:p>
        </w:tc>
        <w:tc>
          <w:tcPr>
            <w:tcW w:w="9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4"/>
              </w:rPr>
              <w:t>(5,034)</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$ 5,240,254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480" w:type="dxa"/>
            <w:vAlign w:val="bottom"/>
          </w:tcPr>
          <w:p>
            <w:pPr>
              <w:spacing w:after="0" w:line="20" w:lineRule="exact"/>
              <w:rPr>
                <w:sz w:val="1"/>
                <w:szCs w:val="1"/>
                <w:color w:val="auto"/>
              </w:rPr>
            </w:pPr>
          </w:p>
        </w:tc>
        <w:tc>
          <w:tcPr>
            <w:tcW w:w="3920" w:type="dxa"/>
            <w:vAlign w:val="bottom"/>
            <w:vMerge w:val="restart"/>
          </w:tcPr>
          <w:p>
            <w:pPr>
              <w:jc w:val="right"/>
              <w:ind w:right="1512"/>
              <w:spacing w:after="0"/>
              <w:rPr>
                <w:sz w:val="20"/>
                <w:szCs w:val="20"/>
                <w:color w:val="auto"/>
              </w:rPr>
            </w:pPr>
            <w:r>
              <w:rPr>
                <w:rFonts w:ascii="Arial" w:cs="Arial" w:eastAsia="Arial" w:hAnsi="Arial"/>
                <w:sz w:val="18"/>
                <w:szCs w:val="18"/>
                <w:color w:val="auto"/>
              </w:rPr>
              <w:t>11</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3480" w:type="dxa"/>
            <w:vAlign w:val="bottom"/>
          </w:tcPr>
          <w:p>
            <w:pPr>
              <w:spacing w:after="0"/>
              <w:rPr>
                <w:sz w:val="24"/>
                <w:szCs w:val="24"/>
                <w:color w:val="auto"/>
              </w:rPr>
            </w:pPr>
          </w:p>
        </w:tc>
        <w:tc>
          <w:tcPr>
            <w:tcW w:w="392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580" w:type="dxa"/>
            <w:vAlign w:val="bottom"/>
            <w:tcBorders>
              <w:bottom w:val="single" w:sz="8" w:color="auto"/>
            </w:tcBorders>
            <w:gridSpan w:val="5"/>
          </w:tcPr>
          <w:p>
            <w:pPr>
              <w:jc w:val="right"/>
              <w:ind w:right="920"/>
              <w:spacing w:after="0"/>
              <w:rPr>
                <w:sz w:val="20"/>
                <w:szCs w:val="20"/>
                <w:color w:val="auto"/>
              </w:rPr>
            </w:pPr>
            <w:r>
              <w:rPr>
                <w:rFonts w:ascii="Arial" w:cs="Arial" w:eastAsia="Arial" w:hAnsi="Arial"/>
                <w:sz w:val="14"/>
                <w:szCs w:val="14"/>
                <w:b w:val="1"/>
                <w:bCs w:val="1"/>
                <w:color w:val="auto"/>
                <w:w w:val="99"/>
              </w:rPr>
              <w:t>As of December 31, 2009</w:t>
            </w:r>
          </w:p>
        </w:tc>
        <w:tc>
          <w:tcPr>
            <w:tcW w:w="8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1380" w:type="dxa"/>
            <w:vAlign w:val="bottom"/>
            <w:gridSpan w:val="2"/>
          </w:tcPr>
          <w:p>
            <w:pPr>
              <w:jc w:val="center"/>
              <w:ind w:right="580"/>
              <w:spacing w:after="0" w:line="142" w:lineRule="exact"/>
              <w:rPr>
                <w:sz w:val="20"/>
                <w:szCs w:val="20"/>
                <w:color w:val="auto"/>
              </w:rPr>
            </w:pPr>
            <w:r>
              <w:rPr>
                <w:rFonts w:ascii="Arial" w:cs="Arial" w:eastAsia="Arial" w:hAnsi="Arial"/>
                <w:sz w:val="14"/>
                <w:szCs w:val="14"/>
                <w:b w:val="1"/>
                <w:bCs w:val="1"/>
                <w:color w:val="auto"/>
                <w:w w:val="89"/>
              </w:rPr>
              <w:t>Fannie Mae</w:t>
            </w:r>
          </w:p>
        </w:tc>
        <w:tc>
          <w:tcPr>
            <w:tcW w:w="1400" w:type="dxa"/>
            <w:vAlign w:val="bottom"/>
            <w:gridSpan w:val="3"/>
          </w:tcPr>
          <w:p>
            <w:pPr>
              <w:jc w:val="center"/>
              <w:ind w:right="580"/>
              <w:spacing w:after="0" w:line="142" w:lineRule="exact"/>
              <w:rPr>
                <w:sz w:val="20"/>
                <w:szCs w:val="20"/>
                <w:color w:val="auto"/>
              </w:rPr>
            </w:pPr>
            <w:r>
              <w:rPr>
                <w:rFonts w:ascii="Arial" w:cs="Arial" w:eastAsia="Arial" w:hAnsi="Arial"/>
                <w:sz w:val="14"/>
                <w:szCs w:val="14"/>
                <w:b w:val="1"/>
                <w:bCs w:val="1"/>
                <w:color w:val="auto"/>
                <w:w w:val="90"/>
              </w:rPr>
              <w:t>Freddie Mac</w:t>
            </w:r>
          </w:p>
        </w:tc>
        <w:tc>
          <w:tcPr>
            <w:tcW w:w="12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800" w:type="dxa"/>
            <w:vAlign w:val="bottom"/>
          </w:tcPr>
          <w:p>
            <w:pPr>
              <w:jc w:val="right"/>
              <w:ind w:right="175"/>
              <w:spacing w:after="0" w:line="142"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tcBorders>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Agency securities, par</w:t>
            </w:r>
          </w:p>
        </w:tc>
        <w:tc>
          <w:tcPr>
            <w:tcW w:w="800" w:type="dxa"/>
            <w:vAlign w:val="bottom"/>
          </w:tcPr>
          <w:p>
            <w:pPr>
              <w:jc w:val="right"/>
              <w:spacing w:after="0"/>
              <w:rPr>
                <w:sz w:val="20"/>
                <w:szCs w:val="20"/>
                <w:color w:val="auto"/>
              </w:rPr>
            </w:pPr>
            <w:r>
              <w:rPr>
                <w:rFonts w:ascii="Arial" w:cs="Arial" w:eastAsia="Arial" w:hAnsi="Arial"/>
                <w:sz w:val="18"/>
                <w:szCs w:val="18"/>
                <w:color w:val="auto"/>
                <w:w w:val="86"/>
              </w:rPr>
              <w:t>$2,853,278</w:t>
            </w:r>
          </w:p>
        </w:tc>
        <w:tc>
          <w:tcPr>
            <w:tcW w:w="5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w w:val="84"/>
              </w:rPr>
              <w:t>1,248,698</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12,456</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86"/>
              </w:rPr>
              <w:t>$4,114,432</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Unamortized discount</w:t>
            </w:r>
          </w:p>
        </w:tc>
        <w:tc>
          <w:tcPr>
            <w:tcW w:w="13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(92)</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Unamortized premium</w:t>
            </w:r>
          </w:p>
        </w:tc>
        <w:tc>
          <w:tcPr>
            <w:tcW w:w="800" w:type="dxa"/>
            <w:vAlign w:val="bottom"/>
          </w:tcPr>
          <w:p>
            <w:pPr>
              <w:jc w:val="right"/>
              <w:spacing w:after="0"/>
              <w:rPr>
                <w:sz w:val="20"/>
                <w:szCs w:val="20"/>
                <w:color w:val="auto"/>
              </w:rPr>
            </w:pPr>
            <w:r>
              <w:rPr>
                <w:rFonts w:ascii="Arial" w:cs="Arial" w:eastAsia="Arial" w:hAnsi="Arial"/>
                <w:sz w:val="18"/>
                <w:szCs w:val="18"/>
                <w:color w:val="auto"/>
              </w:rPr>
              <w:t>99,709</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49,662</w:t>
            </w:r>
          </w:p>
        </w:tc>
        <w:tc>
          <w:tcPr>
            <w:tcW w:w="12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386</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149,757</w:t>
            </w: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52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3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Amortized cost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2,952,895</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84"/>
              </w:rPr>
              <w:t>1,298,360</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8"/>
              </w:rPr>
              <w:t>12,842</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7"/>
              </w:rPr>
              <w:t>4,264,097</w:t>
            </w:r>
          </w:p>
        </w:tc>
        <w:tc>
          <w:tcPr>
            <w:tcW w:w="0" w:type="dxa"/>
            <w:vAlign w:val="bottom"/>
          </w:tcPr>
          <w:p>
            <w:pPr>
              <w:spacing w:after="0"/>
              <w:rPr>
                <w:sz w:val="1"/>
                <w:szCs w:val="1"/>
                <w:color w:val="auto"/>
              </w:rPr>
            </w:pPr>
          </w:p>
        </w:tc>
      </w:tr>
      <w:tr>
        <w:trPr>
          <w:trHeight w:val="216"/>
        </w:trPr>
        <w:tc>
          <w:tcPr>
            <w:tcW w:w="6360" w:type="dxa"/>
            <w:vAlign w:val="bottom"/>
            <w:gridSpan w:val="2"/>
          </w:tcPr>
          <w:p>
            <w:pPr>
              <w:ind w:left="440"/>
              <w:spacing w:after="0"/>
              <w:rPr>
                <w:sz w:val="20"/>
                <w:szCs w:val="20"/>
                <w:color w:val="auto"/>
              </w:rPr>
            </w:pPr>
            <w:r>
              <w:rPr>
                <w:rFonts w:ascii="Arial" w:cs="Arial" w:eastAsia="Arial" w:hAnsi="Arial"/>
                <w:sz w:val="18"/>
                <w:szCs w:val="18"/>
                <w:color w:val="auto"/>
              </w:rPr>
              <w:t>Gross unrealized gains</w:t>
            </w:r>
          </w:p>
        </w:tc>
        <w:tc>
          <w:tcPr>
            <w:tcW w:w="800" w:type="dxa"/>
            <w:vAlign w:val="bottom"/>
          </w:tcPr>
          <w:p>
            <w:pPr>
              <w:jc w:val="right"/>
              <w:spacing w:after="0"/>
              <w:rPr>
                <w:sz w:val="20"/>
                <w:szCs w:val="20"/>
                <w:color w:val="auto"/>
              </w:rPr>
            </w:pPr>
            <w:r>
              <w:rPr>
                <w:rFonts w:ascii="Arial" w:cs="Arial" w:eastAsia="Arial" w:hAnsi="Arial"/>
                <w:sz w:val="18"/>
                <w:szCs w:val="18"/>
                <w:color w:val="auto"/>
              </w:rPr>
              <w:t>36,750</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8,965</w:t>
            </w:r>
          </w:p>
        </w:tc>
        <w:tc>
          <w:tcPr>
            <w:tcW w:w="120" w:type="dxa"/>
            <w:vAlign w:val="bottom"/>
          </w:tcPr>
          <w:p>
            <w:pPr>
              <w:spacing w:after="0"/>
              <w:rPr>
                <w:sz w:val="18"/>
                <w:szCs w:val="18"/>
                <w:color w:val="auto"/>
              </w:rPr>
            </w:pP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rPr>
              <w:t>340</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46,055</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Gross unrealized losses</w:t>
            </w:r>
          </w:p>
        </w:tc>
        <w:tc>
          <w:tcPr>
            <w:tcW w:w="13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(6,335)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(3,702)</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(10,037)</w:t>
            </w:r>
          </w:p>
        </w:tc>
        <w:tc>
          <w:tcPr>
            <w:tcW w:w="0" w:type="dxa"/>
            <w:vAlign w:val="bottom"/>
          </w:tcPr>
          <w:p>
            <w:pPr>
              <w:spacing w:after="0"/>
              <w:rPr>
                <w:sz w:val="1"/>
                <w:szCs w:val="1"/>
                <w:color w:val="auto"/>
              </w:rPr>
            </w:pPr>
          </w:p>
        </w:tc>
      </w:tr>
      <w:tr>
        <w:trPr>
          <w:trHeight w:val="20"/>
        </w:trPr>
        <w:tc>
          <w:tcPr>
            <w:tcW w:w="6360" w:type="dxa"/>
            <w:vAlign w:val="bottom"/>
            <w:gridSpan w:val="2"/>
            <w:vMerge w:val="restart"/>
          </w:tcPr>
          <w:p>
            <w:pPr>
              <w:spacing w:after="0"/>
              <w:rPr>
                <w:sz w:val="20"/>
                <w:szCs w:val="20"/>
                <w:color w:val="auto"/>
              </w:rPr>
            </w:pPr>
            <w:r>
              <w:rPr>
                <w:rFonts w:ascii="Arial" w:cs="Arial" w:eastAsia="Arial" w:hAnsi="Arial"/>
                <w:sz w:val="18"/>
                <w:szCs w:val="18"/>
                <w:color w:val="auto"/>
              </w:rPr>
              <w:t>Agency securities, at fair value</w:t>
            </w:r>
          </w:p>
        </w:tc>
        <w:tc>
          <w:tcPr>
            <w:tcW w:w="80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360" w:type="dxa"/>
            <w:vAlign w:val="bottom"/>
            <w:gridSpan w:val="2"/>
            <w:vMerge w:val="continue"/>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2,983,310</w:t>
            </w:r>
          </w:p>
        </w:tc>
        <w:tc>
          <w:tcPr>
            <w:tcW w:w="5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w w:val="84"/>
              </w:rPr>
              <w:t>1,303,623</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tcPr>
          <w:p>
            <w:pPr>
              <w:jc w:val="right"/>
              <w:ind w:right="600"/>
              <w:spacing w:after="0"/>
              <w:rPr>
                <w:sz w:val="20"/>
                <w:szCs w:val="20"/>
                <w:color w:val="auto"/>
              </w:rPr>
            </w:pPr>
            <w:r>
              <w:rPr>
                <w:rFonts w:ascii="Arial" w:cs="Arial" w:eastAsia="Arial" w:hAnsi="Arial"/>
                <w:sz w:val="18"/>
                <w:szCs w:val="18"/>
                <w:color w:val="auto"/>
                <w:w w:val="98"/>
              </w:rPr>
              <w:t>13,182</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coupon</w:t>
            </w:r>
          </w:p>
        </w:tc>
        <w:tc>
          <w:tcPr>
            <w:tcW w:w="13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5.26%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5.31%</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6.00%</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16"/>
        </w:trPr>
        <w:tc>
          <w:tcPr>
            <w:tcW w:w="6360" w:type="dxa"/>
            <w:vAlign w:val="bottom"/>
            <w:gridSpan w:val="2"/>
          </w:tcPr>
          <w:p>
            <w:pPr>
              <w:spacing w:after="0"/>
              <w:rPr>
                <w:sz w:val="20"/>
                <w:szCs w:val="20"/>
                <w:color w:val="auto"/>
              </w:rPr>
            </w:pPr>
            <w:r>
              <w:rPr>
                <w:rFonts w:ascii="Arial" w:cs="Arial" w:eastAsia="Arial" w:hAnsi="Arial"/>
                <w:sz w:val="18"/>
                <w:szCs w:val="18"/>
                <w:color w:val="auto"/>
              </w:rPr>
              <w:t>Weighted average yield as of December 31, 2009(1)</w:t>
            </w:r>
          </w:p>
        </w:tc>
        <w:tc>
          <w:tcPr>
            <w:tcW w:w="1380" w:type="dxa"/>
            <w:vAlign w:val="bottom"/>
            <w:gridSpan w:val="2"/>
          </w:tcPr>
          <w:p>
            <w:pPr>
              <w:jc w:val="right"/>
              <w:ind w:right="440"/>
              <w:spacing w:after="0"/>
              <w:rPr>
                <w:sz w:val="20"/>
                <w:szCs w:val="20"/>
                <w:color w:val="auto"/>
              </w:rPr>
            </w:pPr>
            <w:r>
              <w:rPr>
                <w:rFonts w:ascii="Arial" w:cs="Arial" w:eastAsia="Arial" w:hAnsi="Arial"/>
                <w:sz w:val="18"/>
                <w:szCs w:val="18"/>
                <w:color w:val="auto"/>
              </w:rPr>
              <w:t>4.20%</w:t>
            </w:r>
          </w:p>
        </w:tc>
        <w:tc>
          <w:tcPr>
            <w:tcW w:w="100" w:type="dxa"/>
            <w:vAlign w:val="bottom"/>
          </w:tcPr>
          <w:p>
            <w:pPr>
              <w:spacing w:after="0"/>
              <w:rPr>
                <w:sz w:val="18"/>
                <w:szCs w:val="18"/>
                <w:color w:val="auto"/>
              </w:rPr>
            </w:pPr>
          </w:p>
        </w:tc>
        <w:tc>
          <w:tcPr>
            <w:tcW w:w="1300" w:type="dxa"/>
            <w:vAlign w:val="bottom"/>
            <w:gridSpan w:val="2"/>
          </w:tcPr>
          <w:p>
            <w:pPr>
              <w:jc w:val="right"/>
              <w:ind w:right="460"/>
              <w:spacing w:after="0"/>
              <w:rPr>
                <w:sz w:val="20"/>
                <w:szCs w:val="20"/>
                <w:color w:val="auto"/>
              </w:rPr>
            </w:pPr>
            <w:r>
              <w:rPr>
                <w:rFonts w:ascii="Arial" w:cs="Arial" w:eastAsia="Arial" w:hAnsi="Arial"/>
                <w:sz w:val="18"/>
                <w:szCs w:val="18"/>
                <w:color w:val="auto"/>
              </w:rPr>
              <w:t>3.50%</w:t>
            </w:r>
          </w:p>
        </w:tc>
        <w:tc>
          <w:tcPr>
            <w:tcW w:w="120" w:type="dxa"/>
            <w:vAlign w:val="bottom"/>
          </w:tcPr>
          <w:p>
            <w:pPr>
              <w:spacing w:after="0"/>
              <w:rPr>
                <w:sz w:val="18"/>
                <w:szCs w:val="18"/>
                <w:color w:val="auto"/>
              </w:rPr>
            </w:pPr>
          </w:p>
        </w:tc>
        <w:tc>
          <w:tcPr>
            <w:tcW w:w="1160" w:type="dxa"/>
            <w:vAlign w:val="bottom"/>
            <w:gridSpan w:val="2"/>
          </w:tcPr>
          <w:p>
            <w:pPr>
              <w:jc w:val="right"/>
              <w:ind w:right="440"/>
              <w:spacing w:after="0"/>
              <w:rPr>
                <w:sz w:val="20"/>
                <w:szCs w:val="20"/>
                <w:color w:val="auto"/>
              </w:rPr>
            </w:pPr>
            <w:r>
              <w:rPr>
                <w:rFonts w:ascii="Arial" w:cs="Arial" w:eastAsia="Arial" w:hAnsi="Arial"/>
                <w:sz w:val="18"/>
                <w:szCs w:val="18"/>
                <w:color w:val="auto"/>
              </w:rPr>
              <w:t>5.33%</w:t>
            </w:r>
          </w:p>
        </w:tc>
        <w:tc>
          <w:tcPr>
            <w:tcW w:w="1000" w:type="dxa"/>
            <w:vAlign w:val="bottom"/>
            <w:gridSpan w:val="2"/>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Weighted average yield for the year ended December 31, 2009(1)</w:t>
            </w:r>
          </w:p>
        </w:tc>
        <w:tc>
          <w:tcPr>
            <w:tcW w:w="138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4.78%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4.27%</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4.88%</w:t>
            </w:r>
          </w:p>
        </w:tc>
        <w:tc>
          <w:tcPr>
            <w:tcW w:w="10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4.64%</w:t>
            </w:r>
          </w:p>
        </w:tc>
        <w:tc>
          <w:tcPr>
            <w:tcW w:w="0" w:type="dxa"/>
            <w:vAlign w:val="bottom"/>
          </w:tcPr>
          <w:p>
            <w:pPr>
              <w:spacing w:after="0"/>
              <w:rPr>
                <w:sz w:val="1"/>
                <w:szCs w:val="1"/>
                <w:color w:val="auto"/>
              </w:rPr>
            </w:pPr>
          </w:p>
        </w:tc>
      </w:tr>
      <w:tr>
        <w:trPr>
          <w:trHeight w:val="352"/>
        </w:trPr>
        <w:tc>
          <w:tcPr>
            <w:tcW w:w="1160" w:type="dxa"/>
            <w:vAlign w:val="bottom"/>
          </w:tcPr>
          <w:p>
            <w:pPr>
              <w:spacing w:after="0"/>
              <w:rPr>
                <w:sz w:val="24"/>
                <w:szCs w:val="24"/>
                <w:color w:val="auto"/>
              </w:rPr>
            </w:pPr>
          </w:p>
        </w:tc>
        <w:tc>
          <w:tcPr>
            <w:tcW w:w="5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83"/>
              </w:rPr>
              <w:t>Gross</w:t>
            </w:r>
          </w:p>
        </w:tc>
        <w:tc>
          <w:tcPr>
            <w:tcW w:w="120" w:type="dxa"/>
            <w:vAlign w:val="bottom"/>
          </w:tcPr>
          <w:p>
            <w:pPr>
              <w:spacing w:after="0"/>
              <w:rPr>
                <w:sz w:val="24"/>
                <w:szCs w:val="24"/>
                <w:color w:val="auto"/>
              </w:rPr>
            </w:pPr>
          </w:p>
        </w:tc>
        <w:tc>
          <w:tcPr>
            <w:tcW w:w="1160" w:type="dxa"/>
            <w:vAlign w:val="bottom"/>
            <w:gridSpan w:val="2"/>
          </w:tcPr>
          <w:p>
            <w:pPr>
              <w:jc w:val="center"/>
              <w:ind w:right="720"/>
              <w:spacing w:after="0"/>
              <w:rPr>
                <w:sz w:val="20"/>
                <w:szCs w:val="20"/>
                <w:color w:val="auto"/>
              </w:rPr>
            </w:pPr>
            <w:r>
              <w:rPr>
                <w:rFonts w:ascii="Arial" w:cs="Arial" w:eastAsia="Arial" w:hAnsi="Arial"/>
                <w:sz w:val="14"/>
                <w:szCs w:val="14"/>
                <w:b w:val="1"/>
                <w:bCs w:val="1"/>
                <w:color w:val="auto"/>
                <w:w w:val="78"/>
              </w:rPr>
              <w:t>Gross</w:t>
            </w: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138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Amortized</w:t>
            </w:r>
          </w:p>
        </w:tc>
        <w:tc>
          <w:tcPr>
            <w:tcW w:w="1400" w:type="dxa"/>
            <w:vAlign w:val="bottom"/>
            <w:gridSpan w:val="3"/>
          </w:tcPr>
          <w:p>
            <w:pPr>
              <w:jc w:val="center"/>
              <w:ind w:right="580"/>
              <w:spacing w:after="0" w:line="149" w:lineRule="exact"/>
              <w:rPr>
                <w:sz w:val="20"/>
                <w:szCs w:val="20"/>
                <w:color w:val="auto"/>
              </w:rPr>
            </w:pPr>
            <w:r>
              <w:rPr>
                <w:rFonts w:ascii="Arial" w:cs="Arial" w:eastAsia="Arial" w:hAnsi="Arial"/>
                <w:sz w:val="14"/>
                <w:szCs w:val="14"/>
                <w:b w:val="1"/>
                <w:bCs w:val="1"/>
                <w:color w:val="auto"/>
                <w:w w:val="87"/>
              </w:rPr>
              <w:t>Unrealized</w:t>
            </w:r>
          </w:p>
        </w:tc>
        <w:tc>
          <w:tcPr>
            <w:tcW w:w="1280" w:type="dxa"/>
            <w:vAlign w:val="bottom"/>
            <w:gridSpan w:val="3"/>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Unrealized</w:t>
            </w: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Cost</w:t>
            </w:r>
          </w:p>
        </w:tc>
        <w:tc>
          <w:tcPr>
            <w:tcW w:w="5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9"/>
              </w:rPr>
              <w:t>Gain</w:t>
            </w:r>
          </w:p>
        </w:tc>
        <w:tc>
          <w:tcPr>
            <w:tcW w:w="6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79"/>
              </w:rPr>
              <w:t>Loss</w:t>
            </w:r>
          </w:p>
        </w:tc>
        <w:tc>
          <w:tcPr>
            <w:tcW w:w="600" w:type="dxa"/>
            <w:vAlign w:val="bottom"/>
          </w:tcPr>
          <w:p>
            <w:pPr>
              <w:spacing w:after="0"/>
              <w:rPr>
                <w:sz w:val="14"/>
                <w:szCs w:val="14"/>
                <w:color w:val="auto"/>
              </w:rPr>
            </w:pPr>
          </w:p>
        </w:tc>
        <w:tc>
          <w:tcPr>
            <w:tcW w:w="800" w:type="dxa"/>
            <w:vAlign w:val="bottom"/>
            <w:tcBorders>
              <w:bottom w:val="single" w:sz="8" w:color="auto"/>
            </w:tcBorders>
          </w:tcPr>
          <w:p>
            <w:pPr>
              <w:jc w:val="right"/>
              <w:ind w:right="15"/>
              <w:spacing w:after="0"/>
              <w:rPr>
                <w:sz w:val="20"/>
                <w:szCs w:val="20"/>
                <w:color w:val="auto"/>
              </w:rPr>
            </w:pPr>
            <w:r>
              <w:rPr>
                <w:rFonts w:ascii="Arial" w:cs="Arial" w:eastAsia="Arial" w:hAnsi="Arial"/>
                <w:sz w:val="14"/>
                <w:szCs w:val="14"/>
                <w:b w:val="1"/>
                <w:bCs w:val="1"/>
                <w:color w:val="auto"/>
              </w:rPr>
              <w:t>Fair Value</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Fixed-Rate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$1,863,261</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28,210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(4,067)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6"/>
              </w:rPr>
              <w:t>$1,887,404</w:t>
            </w:r>
          </w:p>
        </w:tc>
        <w:tc>
          <w:tcPr>
            <w:tcW w:w="0" w:type="dxa"/>
            <w:vAlign w:val="bottom"/>
          </w:tcPr>
          <w:p>
            <w:pPr>
              <w:spacing w:after="0"/>
              <w:rPr>
                <w:sz w:val="1"/>
                <w:szCs w:val="1"/>
                <w:color w:val="auto"/>
              </w:rPr>
            </w:pPr>
          </w:p>
        </w:tc>
      </w:tr>
      <w:tr>
        <w:trPr>
          <w:trHeight w:val="216"/>
        </w:trPr>
        <w:tc>
          <w:tcPr>
            <w:tcW w:w="6360" w:type="dxa"/>
            <w:vAlign w:val="bottom"/>
            <w:gridSpan w:val="2"/>
          </w:tcPr>
          <w:p>
            <w:pPr>
              <w:spacing w:after="0"/>
              <w:rPr>
                <w:sz w:val="20"/>
                <w:szCs w:val="20"/>
                <w:color w:val="auto"/>
              </w:rPr>
            </w:pPr>
            <w:r>
              <w:rPr>
                <w:rFonts w:ascii="Arial" w:cs="Arial" w:eastAsia="Arial" w:hAnsi="Arial"/>
                <w:sz w:val="18"/>
                <w:szCs w:val="18"/>
                <w:color w:val="auto"/>
              </w:rPr>
              <w:t>Adjustable-Rate</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1,699,513</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9,447</w:t>
            </w:r>
          </w:p>
        </w:tc>
        <w:tc>
          <w:tcPr>
            <w:tcW w:w="120" w:type="dxa"/>
            <w:vAlign w:val="bottom"/>
          </w:tcPr>
          <w:p>
            <w:pPr>
              <w:spacing w:after="0"/>
              <w:rPr>
                <w:sz w:val="18"/>
                <w:szCs w:val="18"/>
                <w:color w:val="auto"/>
              </w:rPr>
            </w:pP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(3,473)</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w w:val="97"/>
              </w:rPr>
              <w:t>1,705,487</w:t>
            </w:r>
          </w:p>
        </w:tc>
        <w:tc>
          <w:tcPr>
            <w:tcW w:w="0" w:type="dxa"/>
            <w:vAlign w:val="bottom"/>
          </w:tcPr>
          <w:p>
            <w:pPr>
              <w:spacing w:after="0"/>
              <w:rPr>
                <w:sz w:val="1"/>
                <w:szCs w:val="1"/>
                <w:color w:val="auto"/>
              </w:rPr>
            </w:pPr>
          </w:p>
        </w:tc>
      </w:tr>
      <w:tr>
        <w:trPr>
          <w:trHeight w:val="216"/>
        </w:trPr>
        <w:tc>
          <w:tcPr>
            <w:tcW w:w="63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CMO</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8,398</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(2,497)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707,224</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80" w:type="dxa"/>
            <w:vAlign w:val="bottom"/>
            <w:gridSpan w:val="2"/>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160" w:type="dxa"/>
            <w:vAlign w:val="bottom"/>
          </w:tcPr>
          <w:p>
            <w:pPr>
              <w:spacing w:after="0"/>
              <w:rPr>
                <w:sz w:val="19"/>
                <w:szCs w:val="19"/>
                <w:color w:val="auto"/>
              </w:rPr>
            </w:pPr>
          </w:p>
        </w:tc>
        <w:tc>
          <w:tcPr>
            <w:tcW w:w="52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58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00" w:type="dxa"/>
            <w:vAlign w:val="bottom"/>
            <w:gridSpan w:val="2"/>
          </w:tcPr>
          <w:p>
            <w:pPr>
              <w:jc w:val="right"/>
              <w:ind w:right="600"/>
              <w:spacing w:after="0"/>
              <w:rPr>
                <w:sz w:val="20"/>
                <w:szCs w:val="20"/>
                <w:color w:val="auto"/>
              </w:rPr>
            </w:pPr>
            <w:r>
              <w:rPr>
                <w:rFonts w:ascii="Arial" w:cs="Arial" w:eastAsia="Arial" w:hAnsi="Arial"/>
                <w:sz w:val="18"/>
                <w:szCs w:val="18"/>
                <w:color w:val="auto"/>
              </w:rPr>
              <w:t>46,055</w:t>
            </w:r>
          </w:p>
        </w:tc>
        <w:tc>
          <w:tcPr>
            <w:tcW w:w="1280" w:type="dxa"/>
            <w:vAlign w:val="bottom"/>
            <w:gridSpan w:val="3"/>
          </w:tcPr>
          <w:p>
            <w:pPr>
              <w:jc w:val="right"/>
              <w:ind w:right="540"/>
              <w:spacing w:after="0"/>
              <w:rPr>
                <w:sz w:val="20"/>
                <w:szCs w:val="20"/>
                <w:color w:val="auto"/>
              </w:rPr>
            </w:pPr>
            <w:r>
              <w:rPr>
                <w:rFonts w:ascii="Arial" w:cs="Arial" w:eastAsia="Arial" w:hAnsi="Arial"/>
                <w:sz w:val="18"/>
                <w:szCs w:val="18"/>
                <w:color w:val="auto"/>
                <w:w w:val="87"/>
              </w:rPr>
              <w:t>$ (10,037)</w:t>
            </w:r>
          </w:p>
        </w:tc>
        <w:tc>
          <w:tcPr>
            <w:tcW w:w="1000" w:type="dxa"/>
            <w:vAlign w:val="bottom"/>
            <w:gridSpan w:val="2"/>
          </w:tcPr>
          <w:p>
            <w:pPr>
              <w:jc w:val="right"/>
              <w:ind w:right="2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4,300,115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5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6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Incorporates future prepayment assumptions and forward rates.</w:t>
      </w:r>
    </w:p>
    <w:p>
      <w:pPr>
        <w:spacing w:after="0" w:line="139" w:lineRule="exact"/>
        <w:rPr>
          <w:sz w:val="20"/>
          <w:szCs w:val="20"/>
          <w:color w:val="auto"/>
        </w:rPr>
      </w:pPr>
    </w:p>
    <w:p>
      <w:pPr>
        <w:ind w:right="340" w:firstLine="456"/>
        <w:spacing w:after="0" w:line="256" w:lineRule="auto"/>
        <w:rPr>
          <w:sz w:val="20"/>
          <w:szCs w:val="20"/>
          <w:color w:val="auto"/>
        </w:rPr>
      </w:pPr>
      <w:r>
        <w:rPr>
          <w:rFonts w:ascii="Arial" w:cs="Arial" w:eastAsia="Arial" w:hAnsi="Arial"/>
          <w:sz w:val="18"/>
          <w:szCs w:val="18"/>
          <w:color w:val="auto"/>
        </w:rPr>
        <w:t>For the three months ended March 31, 2010, we recognized an unrealized gain of $2.1 million in gain (loss) on derivative instruments, net in our consolidated statements of operations and comprehensive income for the change in value of investments in interest-only strips, which represent our right to receive a specified proportion of the contractual interest flows of specific agency and CMO securities. We did not have any investments in interest-only strips during the three months ended March 31, 2009.</w:t>
      </w:r>
    </w:p>
    <w:p>
      <w:pPr>
        <w:spacing w:after="0" w:line="130" w:lineRule="exact"/>
        <w:rPr>
          <w:sz w:val="20"/>
          <w:szCs w:val="20"/>
          <w:color w:val="auto"/>
        </w:rPr>
      </w:pPr>
    </w:p>
    <w:p>
      <w:pPr>
        <w:jc w:val="both"/>
        <w:ind w:right="16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are affected by the contractual lives of the underlying mortgages, periodic principal payments and principal prepayments. The following table summarizes our agency securities as of March 31, 2010 and December 31, 2009,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2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As of March 31, 2010</w:t>
            </w:r>
          </w:p>
        </w:tc>
        <w:tc>
          <w:tcPr>
            <w:tcW w:w="580" w:type="dxa"/>
            <w:vAlign w:val="bottom"/>
            <w:tcBorders>
              <w:bottom w:val="single" w:sz="8" w:color="auto"/>
            </w:tcBorders>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gridSpan w:val="5"/>
          </w:tcPr>
          <w:p>
            <w:pPr>
              <w:ind w:left="660"/>
              <w:spacing w:after="0"/>
              <w:rPr>
                <w:sz w:val="20"/>
                <w:szCs w:val="20"/>
                <w:color w:val="auto"/>
              </w:rPr>
            </w:pPr>
            <w:r>
              <w:rPr>
                <w:rFonts w:ascii="Arial" w:cs="Arial" w:eastAsia="Arial" w:hAnsi="Arial"/>
                <w:sz w:val="14"/>
                <w:szCs w:val="14"/>
                <w:b w:val="1"/>
                <w:bCs w:val="1"/>
                <w:color w:val="auto"/>
                <w:w w:val="95"/>
              </w:rPr>
              <w:t>As of December 31, 2009</w:t>
            </w:r>
          </w:p>
        </w:tc>
        <w:tc>
          <w:tcPr>
            <w:tcW w:w="6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520" w:type="dxa"/>
            <w:vAlign w:val="bottom"/>
          </w:tcPr>
          <w:p>
            <w:pPr>
              <w:spacing w:after="0"/>
              <w:rPr>
                <w:sz w:val="11"/>
                <w:szCs w:val="11"/>
                <w:color w:val="auto"/>
              </w:rPr>
            </w:pPr>
          </w:p>
        </w:tc>
        <w:tc>
          <w:tcPr>
            <w:tcW w:w="14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52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jc w:val="right"/>
              <w:ind w:right="600"/>
              <w:spacing w:after="0" w:line="149"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Amortized</w:t>
            </w:r>
          </w:p>
        </w:tc>
        <w:tc>
          <w:tcPr>
            <w:tcW w:w="820" w:type="dxa"/>
            <w:vAlign w:val="bottom"/>
            <w:gridSpan w:val="2"/>
          </w:tcPr>
          <w:p>
            <w:pPr>
              <w:jc w:val="right"/>
              <w:ind w:right="30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61"/>
        </w:trPr>
        <w:tc>
          <w:tcPr>
            <w:tcW w:w="1520" w:type="dxa"/>
            <w:vAlign w:val="bottom"/>
          </w:tcPr>
          <w:p>
            <w:pPr>
              <w:spacing w:after="0"/>
              <w:rPr>
                <w:sz w:val="14"/>
                <w:szCs w:val="14"/>
                <w:color w:val="auto"/>
              </w:rPr>
            </w:pPr>
          </w:p>
        </w:tc>
        <w:tc>
          <w:tcPr>
            <w:tcW w:w="1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8"/>
              </w:rPr>
              <w:t>Weighted Average Life</w:t>
            </w:r>
          </w:p>
        </w:tc>
        <w:tc>
          <w:tcPr>
            <w:tcW w:w="11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19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38"/>
              <w:spacing w:after="0"/>
              <w:rPr>
                <w:sz w:val="20"/>
                <w:szCs w:val="20"/>
                <w:color w:val="auto"/>
              </w:rPr>
            </w:pPr>
            <w:r>
              <w:rPr>
                <w:rFonts w:ascii="Arial" w:cs="Arial" w:eastAsia="Arial" w:hAnsi="Arial"/>
                <w:sz w:val="14"/>
                <w:szCs w:val="14"/>
                <w:b w:val="1"/>
                <w:bCs w:val="1"/>
                <w:color w:val="auto"/>
                <w:w w:val="89"/>
              </w:rPr>
              <w:t>Fair Value</w:t>
            </w: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Coupon</w:t>
            </w: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4,620</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4,954</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16.29%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428</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16"/>
        </w:trPr>
        <w:tc>
          <w:tcPr>
            <w:tcW w:w="4080" w:type="dxa"/>
            <w:vAlign w:val="bottom"/>
            <w:gridSpan w:val="3"/>
          </w:tcPr>
          <w:p>
            <w:pPr>
              <w:spacing w:after="0"/>
              <w:rPr>
                <w:sz w:val="20"/>
                <w:szCs w:val="20"/>
                <w:color w:val="auto"/>
              </w:rPr>
            </w:pPr>
            <w:r>
              <w:rPr>
                <w:rFonts w:ascii="Arial" w:cs="Arial" w:eastAsia="Arial" w:hAnsi="Arial"/>
                <w:sz w:val="18"/>
                <w:szCs w:val="18"/>
                <w:color w:val="auto"/>
              </w:rPr>
              <w:t>Greater than one year and less than three years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803,228</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797,555</w:t>
            </w: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5.46%</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281,721</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rPr>
              <w:t>281,143</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16"/>
        </w:trPr>
        <w:tc>
          <w:tcPr>
            <w:tcW w:w="4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2,050,046</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2,035,995</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5.30%</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1,340,665</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1,337,777</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5.14%</w:t>
            </w:r>
          </w:p>
        </w:tc>
        <w:tc>
          <w:tcPr>
            <w:tcW w:w="0" w:type="dxa"/>
            <w:vAlign w:val="bottom"/>
          </w:tcPr>
          <w:p>
            <w:pPr>
              <w:spacing w:after="0"/>
              <w:rPr>
                <w:sz w:val="1"/>
                <w:szCs w:val="1"/>
                <w:color w:val="auto"/>
              </w:rPr>
            </w:pPr>
          </w:p>
        </w:tc>
      </w:tr>
      <w:tr>
        <w:trPr>
          <w:trHeight w:val="216"/>
        </w:trPr>
        <w:tc>
          <w:tcPr>
            <w:tcW w:w="4080" w:type="dxa"/>
            <w:vAlign w:val="bottom"/>
            <w:gridSpan w:val="3"/>
          </w:tcPr>
          <w:p>
            <w:pPr>
              <w:spacing w:after="0"/>
              <w:rPr>
                <w:sz w:val="20"/>
                <w:szCs w:val="20"/>
                <w:color w:val="auto"/>
              </w:rPr>
            </w:pPr>
            <w:r>
              <w:rPr>
                <w:rFonts w:ascii="Arial" w:cs="Arial" w:eastAsia="Arial" w:hAnsi="Arial"/>
                <w:sz w:val="18"/>
                <w:szCs w:val="18"/>
                <w:color w:val="auto"/>
              </w:rPr>
              <w:t>Greater than or equal to five years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2,382,360</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2,361,712</w:t>
            </w:r>
          </w:p>
        </w:tc>
        <w:tc>
          <w:tcPr>
            <w:tcW w:w="34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5.31%</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2,677,297</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40"/>
              <w:spacing w:after="0"/>
              <w:rPr>
                <w:sz w:val="20"/>
                <w:szCs w:val="20"/>
                <w:color w:val="auto"/>
              </w:rPr>
            </w:pPr>
            <w:r>
              <w:rPr>
                <w:rFonts w:ascii="Arial" w:cs="Arial" w:eastAsia="Arial" w:hAnsi="Arial"/>
                <w:sz w:val="18"/>
                <w:szCs w:val="18"/>
                <w:color w:val="auto"/>
                <w:w w:val="89"/>
              </w:rPr>
              <w:t>2,644,749</w:t>
            </w:r>
          </w:p>
        </w:tc>
        <w:tc>
          <w:tcPr>
            <w:tcW w:w="820" w:type="dxa"/>
            <w:vAlign w:val="bottom"/>
            <w:gridSpan w:val="2"/>
          </w:tcPr>
          <w:p>
            <w:pPr>
              <w:jc w:val="right"/>
              <w:ind w:right="8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7"/>
        </w:trPr>
        <w:tc>
          <w:tcPr>
            <w:tcW w:w="15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08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5,240,254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5,200,216</w:t>
            </w: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5.34%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4,300,115</w:t>
            </w:r>
          </w:p>
        </w:tc>
        <w:tc>
          <w:tcPr>
            <w:tcW w:w="4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4,264,097</w:t>
            </w:r>
          </w:p>
        </w:tc>
        <w:tc>
          <w:tcPr>
            <w:tcW w:w="8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0"/>
        </w:trPr>
        <w:tc>
          <w:tcPr>
            <w:tcW w:w="15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vMerge w:val="restart"/>
          </w:tcPr>
          <w:p>
            <w:pPr>
              <w:spacing w:after="0"/>
              <w:rPr>
                <w:sz w:val="20"/>
                <w:szCs w:val="20"/>
                <w:color w:val="auto"/>
              </w:rPr>
            </w:pPr>
            <w:r>
              <w:rPr>
                <w:rFonts w:ascii="Arial" w:cs="Arial" w:eastAsia="Arial" w:hAnsi="Arial"/>
                <w:sz w:val="18"/>
                <w:szCs w:val="18"/>
                <w:color w:val="auto"/>
              </w:rPr>
              <w:t>12</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15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vMerge w:val="continue"/>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weighted average lives of the agency securities as of March 31, 2010 and December 31, 2009 in the table above incorporates anticipated future prepayment assumptions. As of March 31, 2010, our expected constant prepayment rate (“CPR”) over the remaining life of our aggregate investment portfolio is 18%. Our estimates differ materially for different types of securities and thus individual holdings have a wide range of projected CPRs. We estimate long-term prepayment assumptions for different securities using third-party services, market data and internal estimates. These third-party services estimate prepayment speeds using models that incorporate the forward yield curve, current mortgage rates, mortgage rates of the outstanding loans, loan age, volatility and other factors. As market conditions are changing rapidly, we use our judgment in making adjustments to our models for different securities. Various market participants could use materially different assumptions.</w:t>
      </w:r>
    </w:p>
    <w:p>
      <w:pPr>
        <w:spacing w:after="0" w:line="105"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following table presents the gross unrealized loss and fair values of our available-for-sale agency securities by length of time that such securities have been in a continuous unrealized loss position as of March 31, 2010 and December 31, 2009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20" w:type="dxa"/>
            <w:vAlign w:val="bottom"/>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w w:val="86"/>
              </w:rPr>
              <w:t>Unrealized Loss Position For</w:t>
            </w:r>
          </w:p>
        </w:tc>
        <w:tc>
          <w:tcPr>
            <w:tcW w:w="3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142"/>
        </w:trPr>
        <w:tc>
          <w:tcPr>
            <w:tcW w:w="5120" w:type="dxa"/>
            <w:vAlign w:val="bottom"/>
          </w:tcPr>
          <w:p>
            <w:pPr>
              <w:spacing w:after="0"/>
              <w:rPr>
                <w:sz w:val="12"/>
                <w:szCs w:val="12"/>
                <w:color w:val="auto"/>
              </w:rPr>
            </w:pPr>
          </w:p>
        </w:tc>
        <w:tc>
          <w:tcPr>
            <w:tcW w:w="2080" w:type="dxa"/>
            <w:vAlign w:val="bottom"/>
            <w:gridSpan w:val="5"/>
          </w:tcPr>
          <w:p>
            <w:pPr>
              <w:jc w:val="right"/>
              <w:ind w:right="540"/>
              <w:spacing w:after="0" w:line="142" w:lineRule="exact"/>
              <w:rPr>
                <w:sz w:val="20"/>
                <w:szCs w:val="20"/>
                <w:color w:val="auto"/>
              </w:rPr>
            </w:pPr>
            <w:r>
              <w:rPr>
                <w:rFonts w:ascii="Arial" w:cs="Arial" w:eastAsia="Arial" w:hAnsi="Arial"/>
                <w:sz w:val="14"/>
                <w:szCs w:val="14"/>
                <w:b w:val="1"/>
                <w:bCs w:val="1"/>
                <w:color w:val="auto"/>
              </w:rPr>
              <w:t>Less than 12 Months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60" w:type="dxa"/>
            <w:vAlign w:val="bottom"/>
            <w:gridSpan w:val="4"/>
          </w:tcPr>
          <w:p>
            <w:pPr>
              <w:ind w:left="80"/>
              <w:spacing w:after="0" w:line="142" w:lineRule="exact"/>
              <w:rPr>
                <w:sz w:val="20"/>
                <w:szCs w:val="20"/>
                <w:color w:val="auto"/>
              </w:rPr>
            </w:pPr>
            <w:r>
              <w:rPr>
                <w:rFonts w:ascii="Arial" w:cs="Arial" w:eastAsia="Arial" w:hAnsi="Arial"/>
                <w:sz w:val="14"/>
                <w:szCs w:val="14"/>
                <w:b w:val="1"/>
                <w:bCs w:val="1"/>
                <w:color w:val="auto"/>
              </w:rPr>
              <w:t>12 Months or More</w:t>
            </w:r>
          </w:p>
        </w:tc>
        <w:tc>
          <w:tcPr>
            <w:tcW w:w="340" w:type="dxa"/>
            <w:vAlign w:val="bottom"/>
          </w:tcPr>
          <w:p>
            <w:pPr>
              <w:spacing w:after="0"/>
              <w:rPr>
                <w:sz w:val="12"/>
                <w:szCs w:val="12"/>
                <w:color w:val="auto"/>
              </w:rPr>
            </w:pPr>
          </w:p>
        </w:tc>
        <w:tc>
          <w:tcPr>
            <w:tcW w:w="1140" w:type="dxa"/>
            <w:vAlign w:val="bottom"/>
            <w:gridSpan w:val="2"/>
          </w:tcPr>
          <w:p>
            <w:pPr>
              <w:ind w:left="800"/>
              <w:spacing w:after="0" w:line="142" w:lineRule="exact"/>
              <w:rPr>
                <w:sz w:val="20"/>
                <w:szCs w:val="20"/>
                <w:color w:val="auto"/>
              </w:rPr>
            </w:pPr>
            <w:r>
              <w:rPr>
                <w:rFonts w:ascii="Arial" w:cs="Arial" w:eastAsia="Arial" w:hAnsi="Arial"/>
                <w:sz w:val="14"/>
                <w:szCs w:val="14"/>
                <w:b w:val="1"/>
                <w:bCs w:val="1"/>
                <w:color w:val="auto"/>
                <w:w w:val="95"/>
              </w:rPr>
              <w:t>Total</w:t>
            </w: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r>
      <w:tr>
        <w:trPr>
          <w:trHeight w:val="129"/>
        </w:trPr>
        <w:tc>
          <w:tcPr>
            <w:tcW w:w="5120" w:type="dxa"/>
            <w:vAlign w:val="bottom"/>
          </w:tcPr>
          <w:p>
            <w:pPr>
              <w:spacing w:after="0"/>
              <w:rPr>
                <w:sz w:val="11"/>
                <w:szCs w:val="11"/>
                <w:color w:val="auto"/>
              </w:rPr>
            </w:pPr>
          </w:p>
        </w:tc>
        <w:tc>
          <w:tcPr>
            <w:tcW w:w="84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6"/>
              </w:rPr>
              <w:t>Estimated</w:t>
            </w:r>
          </w:p>
        </w:tc>
        <w:tc>
          <w:tcPr>
            <w:tcW w:w="340" w:type="dxa"/>
            <w:vAlign w:val="bottom"/>
            <w:tcBorders>
              <w:top w:val="single" w:sz="8" w:color="auto"/>
            </w:tcBorders>
          </w:tcPr>
          <w:p>
            <w:pPr>
              <w:spacing w:after="0"/>
              <w:rPr>
                <w:sz w:val="11"/>
                <w:szCs w:val="11"/>
                <w:color w:val="auto"/>
              </w:rPr>
            </w:pPr>
          </w:p>
        </w:tc>
        <w:tc>
          <w:tcPr>
            <w:tcW w:w="68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90"/>
              </w:rPr>
              <w:t>Unrealized</w:t>
            </w: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9"/>
              </w:rPr>
              <w:t>Estimated</w:t>
            </w:r>
          </w:p>
        </w:tc>
        <w:tc>
          <w:tcPr>
            <w:tcW w:w="34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gridSpan w:val="2"/>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340" w:type="dxa"/>
            <w:vAlign w:val="bottom"/>
          </w:tcPr>
          <w:p>
            <w:pPr>
              <w:spacing w:after="0"/>
              <w:rPr>
                <w:sz w:val="11"/>
                <w:szCs w:val="11"/>
                <w:color w:val="auto"/>
              </w:rPr>
            </w:pPr>
          </w:p>
        </w:tc>
        <w:tc>
          <w:tcPr>
            <w:tcW w:w="1140" w:type="dxa"/>
            <w:vAlign w:val="bottom"/>
            <w:tcBorders>
              <w:top w:val="single" w:sz="8" w:color="auto"/>
            </w:tcBorders>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9"/>
              </w:rPr>
              <w:t>Estimated</w:t>
            </w:r>
          </w:p>
        </w:tc>
        <w:tc>
          <w:tcPr>
            <w:tcW w:w="40" w:type="dxa"/>
            <w:vAlign w:val="bottom"/>
            <w:tcBorders>
              <w:top w:val="single" w:sz="8" w:color="auto"/>
            </w:tcBorders>
          </w:tcPr>
          <w:p>
            <w:pPr>
              <w:spacing w:after="0"/>
              <w:rPr>
                <w:sz w:val="11"/>
                <w:szCs w:val="11"/>
                <w:color w:val="auto"/>
              </w:rPr>
            </w:pPr>
          </w:p>
        </w:tc>
        <w:tc>
          <w:tcPr>
            <w:tcW w:w="72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90"/>
              </w:rPr>
              <w:t>Unrealized</w:t>
            </w:r>
          </w:p>
        </w:tc>
        <w:tc>
          <w:tcPr>
            <w:tcW w:w="120" w:type="dxa"/>
            <w:vAlign w:val="bottom"/>
          </w:tcPr>
          <w:p>
            <w:pPr>
              <w:spacing w:after="0"/>
              <w:rPr>
                <w:sz w:val="11"/>
                <w:szCs w:val="11"/>
                <w:color w:val="auto"/>
              </w:rPr>
            </w:pPr>
          </w:p>
        </w:tc>
      </w:tr>
      <w:tr>
        <w:trPr>
          <w:trHeight w:val="161"/>
        </w:trPr>
        <w:tc>
          <w:tcPr>
            <w:tcW w:w="512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Loss</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9"/>
              </w:rPr>
              <w:t>Fair Value</w:t>
            </w:r>
          </w:p>
        </w:tc>
        <w:tc>
          <w:tcPr>
            <w:tcW w:w="3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Loss</w:t>
            </w:r>
          </w:p>
        </w:tc>
        <w:tc>
          <w:tcPr>
            <w:tcW w:w="34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3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85"/>
              </w:rPr>
              <w:t>Loss</w:t>
            </w:r>
          </w:p>
        </w:tc>
        <w:tc>
          <w:tcPr>
            <w:tcW w:w="120" w:type="dxa"/>
            <w:vAlign w:val="bottom"/>
          </w:tcPr>
          <w:p>
            <w:pPr>
              <w:spacing w:after="0"/>
              <w:rPr>
                <w:sz w:val="14"/>
                <w:szCs w:val="14"/>
                <w:color w:val="auto"/>
              </w:rPr>
            </w:pPr>
          </w:p>
        </w:tc>
      </w:tr>
      <w:tr>
        <w:trPr>
          <w:trHeight w:val="210"/>
        </w:trPr>
        <w:tc>
          <w:tcPr>
            <w:tcW w:w="5120" w:type="dxa"/>
            <w:vAlign w:val="bottom"/>
            <w:shd w:val="clear" w:color="auto" w:fill="CCEEFF"/>
          </w:tcPr>
          <w:p>
            <w:pPr>
              <w:spacing w:after="0"/>
              <w:rPr>
                <w:sz w:val="20"/>
                <w:szCs w:val="20"/>
                <w:color w:val="auto"/>
              </w:rPr>
            </w:pPr>
            <w:r>
              <w:rPr>
                <w:rFonts w:ascii="Arial" w:cs="Arial" w:eastAsia="Arial" w:hAnsi="Arial"/>
                <w:sz w:val="18"/>
                <w:szCs w:val="18"/>
                <w:color w:val="auto"/>
              </w:rPr>
              <w:t>March 31, 2010</w:t>
            </w: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$ 1,310,306</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(4,423)</w:t>
            </w:r>
          </w:p>
        </w:tc>
        <w:tc>
          <w:tcPr>
            <w:tcW w:w="40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center"/>
              <w:ind w:left="252"/>
              <w:spacing w:after="0"/>
              <w:rPr>
                <w:sz w:val="20"/>
                <w:szCs w:val="20"/>
                <w:color w:val="auto"/>
              </w:rPr>
            </w:pPr>
            <w:r>
              <w:rPr>
                <w:rFonts w:ascii="Arial" w:cs="Arial" w:eastAsia="Arial" w:hAnsi="Arial"/>
                <w:sz w:val="18"/>
                <w:szCs w:val="18"/>
                <w:color w:val="auto"/>
                <w:w w:val="88"/>
              </w:rPr>
              <w:t>$ 1,310,306</w:t>
            </w:r>
          </w:p>
        </w:tc>
        <w:tc>
          <w:tcPr>
            <w:tcW w:w="3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(4,423)</w:t>
            </w:r>
          </w:p>
        </w:tc>
      </w:tr>
      <w:tr>
        <w:trPr>
          <w:trHeight w:val="222"/>
        </w:trPr>
        <w:tc>
          <w:tcPr>
            <w:tcW w:w="5120" w:type="dxa"/>
            <w:vAlign w:val="bottom"/>
          </w:tcPr>
          <w:p>
            <w:pPr>
              <w:spacing w:after="0"/>
              <w:rPr>
                <w:sz w:val="20"/>
                <w:szCs w:val="20"/>
                <w:color w:val="auto"/>
              </w:rPr>
            </w:pPr>
            <w:r>
              <w:rPr>
                <w:rFonts w:ascii="Arial" w:cs="Arial" w:eastAsia="Arial" w:hAnsi="Arial"/>
                <w:sz w:val="18"/>
                <w:szCs w:val="18"/>
                <w:color w:val="auto"/>
              </w:rPr>
              <w:t>December 31, 2009</w:t>
            </w:r>
          </w:p>
        </w:tc>
        <w:tc>
          <w:tcPr>
            <w:tcW w:w="840" w:type="dxa"/>
            <w:vAlign w:val="bottom"/>
          </w:tcPr>
          <w:p>
            <w:pPr>
              <w:jc w:val="center"/>
              <w:spacing w:after="0"/>
              <w:rPr>
                <w:sz w:val="20"/>
                <w:szCs w:val="20"/>
                <w:color w:val="auto"/>
              </w:rPr>
            </w:pPr>
            <w:r>
              <w:rPr>
                <w:rFonts w:ascii="Arial" w:cs="Arial" w:eastAsia="Arial" w:hAnsi="Arial"/>
                <w:sz w:val="18"/>
                <w:szCs w:val="18"/>
                <w:color w:val="auto"/>
                <w:w w:val="88"/>
              </w:rPr>
              <w:t>$ 1,683,452</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(10,037)</w:t>
            </w:r>
          </w:p>
        </w:tc>
        <w:tc>
          <w:tcPr>
            <w:tcW w:w="40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460" w:type="dxa"/>
            <w:vAlign w:val="bottom"/>
          </w:tcPr>
          <w:p>
            <w:pPr>
              <w:ind w:left="20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340"/>
              <w:spacing w:after="0"/>
              <w:rPr>
                <w:sz w:val="20"/>
                <w:szCs w:val="20"/>
                <w:color w:val="auto"/>
              </w:rPr>
            </w:pPr>
            <w:r>
              <w:rPr>
                <w:rFonts w:ascii="Arial" w:cs="Arial" w:eastAsia="Arial" w:hAnsi="Arial"/>
                <w:sz w:val="18"/>
                <w:szCs w:val="18"/>
                <w:color w:val="auto"/>
              </w:rPr>
              <w:t>$</w:t>
            </w: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center"/>
              <w:ind w:left="252"/>
              <w:spacing w:after="0"/>
              <w:rPr>
                <w:sz w:val="20"/>
                <w:szCs w:val="20"/>
                <w:color w:val="auto"/>
              </w:rPr>
            </w:pPr>
            <w:r>
              <w:rPr>
                <w:rFonts w:ascii="Arial" w:cs="Arial" w:eastAsia="Arial" w:hAnsi="Arial"/>
                <w:sz w:val="18"/>
                <w:szCs w:val="18"/>
                <w:color w:val="auto"/>
                <w:w w:val="88"/>
              </w:rPr>
              <w:t>$ 1,683,452</w:t>
            </w:r>
          </w:p>
        </w:tc>
        <w:tc>
          <w:tcPr>
            <w:tcW w:w="30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w w:val="92"/>
              </w:rPr>
              <w:t>(10,037)</w:t>
            </w:r>
          </w:p>
        </w:tc>
      </w:tr>
    </w:tbl>
    <w:p>
      <w:pPr>
        <w:spacing w:after="0" w:line="134" w:lineRule="exact"/>
        <w:rPr>
          <w:sz w:val="20"/>
          <w:szCs w:val="20"/>
          <w:color w:val="auto"/>
        </w:rPr>
      </w:pPr>
    </w:p>
    <w:p>
      <w:pPr>
        <w:jc w:val="both"/>
        <w:ind w:right="220" w:firstLine="456"/>
        <w:spacing w:after="0" w:line="259" w:lineRule="auto"/>
        <w:rPr>
          <w:sz w:val="20"/>
          <w:szCs w:val="20"/>
          <w:color w:val="auto"/>
        </w:rPr>
      </w:pPr>
      <w:r>
        <w:rPr>
          <w:rFonts w:ascii="Arial" w:cs="Arial" w:eastAsia="Arial" w:hAnsi="Arial"/>
          <w:sz w:val="18"/>
          <w:szCs w:val="18"/>
          <w:color w:val="auto"/>
        </w:rPr>
        <w:t>As of March 31, 2010, we did not intend to sell any of these agency securities and we believe it is not more likely than not we will be required to sell the agency securities before recovery of their amortized cost basis. We do not believe the unrealized losses on these agency securities are due to credit losses given the GSE guarantees but are rather due to changes in interest rates and prepayment expectations.</w:t>
      </w:r>
    </w:p>
    <w:p>
      <w:pPr>
        <w:spacing w:after="0" w:line="12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During the three months ended March 31, 2010, we sold agency securities with a cost basis of $2,117.5 million for proceeds of $2,144.9 million (including a receivable for sold agency securities of $273.8 million, excluding sold interest of $1.5 million), realizing a gross gain of $30.1 million and a gross loss of $2.7 million, for a net gain of $27.4 million. During the three months ended March 31, 2009, we sold agency securities with a cost basis of $1,051.6 million for proceeds of $1,056.4 million (including a receivable for sold agency securities of $38.1 million, excluding sold interest of $1.6 million), realizing a gross gain of $5.1 million and a gross loss of $0.3 million, for a net gain of $4.8 million.</w:t>
      </w:r>
    </w:p>
    <w:p>
      <w:pPr>
        <w:spacing w:after="0" w:line="102" w:lineRule="exact"/>
        <w:rPr>
          <w:sz w:val="20"/>
          <w:szCs w:val="20"/>
          <w:color w:val="auto"/>
        </w:rPr>
      </w:pPr>
    </w:p>
    <w:p>
      <w:pPr>
        <w:jc w:val="both"/>
        <w:ind w:right="340" w:firstLine="456"/>
        <w:spacing w:after="0" w:line="259" w:lineRule="auto"/>
        <w:rPr>
          <w:sz w:val="20"/>
          <w:szCs w:val="20"/>
          <w:color w:val="auto"/>
        </w:rPr>
      </w:pPr>
      <w:r>
        <w:rPr>
          <w:rFonts w:ascii="Arial" w:cs="Arial" w:eastAsia="Arial" w:hAnsi="Arial"/>
          <w:sz w:val="18"/>
          <w:szCs w:val="18"/>
          <w:color w:val="auto"/>
        </w:rPr>
        <w:t>Our agency securities classified as available-for-sale are reported at fair value, with unrealized gains and losses excluded from earnings and reported in OCI, a component of stockholders’ equity. The following table summarizes changes in accumulated OCI for available-for-sale agency securities for the three months ended March 31, 2010 and 2009 (in thousands):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2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7"/>
              </w:rPr>
              <w:t>Reversal of</w:t>
            </w: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9"/>
              </w:rPr>
              <w:t>Prior Period</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0" w:type="dxa"/>
            <w:vAlign w:val="bottom"/>
            <w:gridSpan w:val="3"/>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(Appreciation)</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6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1"/>
              </w:rPr>
              <w:t>Beginning</w:t>
            </w:r>
          </w:p>
        </w:tc>
        <w:tc>
          <w:tcPr>
            <w:tcW w:w="540" w:type="dxa"/>
            <w:vAlign w:val="bottom"/>
          </w:tcPr>
          <w:p>
            <w:pPr>
              <w:spacing w:after="0"/>
              <w:rPr>
                <w:sz w:val="12"/>
                <w:szCs w:val="12"/>
                <w:color w:val="auto"/>
              </w:rPr>
            </w:pPr>
          </w:p>
        </w:tc>
        <w:tc>
          <w:tcPr>
            <w:tcW w:w="13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Appreciation/</w:t>
            </w:r>
          </w:p>
        </w:tc>
        <w:tc>
          <w:tcPr>
            <w:tcW w:w="1200" w:type="dxa"/>
            <w:vAlign w:val="bottom"/>
            <w:gridSpan w:val="3"/>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/Depreciation</w:t>
            </w:r>
          </w:p>
        </w:tc>
        <w:tc>
          <w:tcPr>
            <w:tcW w:w="300" w:type="dxa"/>
            <w:vAlign w:val="bottom"/>
          </w:tcPr>
          <w:p>
            <w:pPr>
              <w:spacing w:after="0"/>
              <w:rPr>
                <w:sz w:val="12"/>
                <w:szCs w:val="12"/>
                <w:color w:val="auto"/>
              </w:rPr>
            </w:pPr>
          </w:p>
        </w:tc>
        <w:tc>
          <w:tcPr>
            <w:tcW w:w="60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8"/>
              </w:rPr>
              <w:t>Ending</w:t>
            </w:r>
          </w:p>
        </w:tc>
        <w:tc>
          <w:tcPr>
            <w:tcW w:w="0" w:type="dxa"/>
            <w:vAlign w:val="bottom"/>
          </w:tcPr>
          <w:p>
            <w:pPr>
              <w:spacing w:after="0"/>
              <w:rPr>
                <w:sz w:val="1"/>
                <w:szCs w:val="1"/>
                <w:color w:val="auto"/>
              </w:rPr>
            </w:pPr>
          </w:p>
        </w:tc>
      </w:tr>
      <w:tr>
        <w:trPr>
          <w:trHeight w:val="161"/>
        </w:trPr>
        <w:tc>
          <w:tcPr>
            <w:tcW w:w="412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600" w:type="dxa"/>
            <w:vAlign w:val="bottom"/>
            <w:tcBorders>
              <w:bottom w:val="single" w:sz="8" w:color="auto"/>
            </w:tcBorders>
            <w:gridSpan w:val="2"/>
          </w:tcPr>
          <w:p>
            <w:pPr>
              <w:ind w:left="80"/>
              <w:spacing w:after="0"/>
              <w:rPr>
                <w:sz w:val="20"/>
                <w:szCs w:val="20"/>
                <w:color w:val="auto"/>
              </w:rPr>
            </w:pPr>
            <w:r>
              <w:rPr>
                <w:rFonts w:ascii="Arial" w:cs="Arial" w:eastAsia="Arial" w:hAnsi="Arial"/>
                <w:sz w:val="14"/>
                <w:szCs w:val="14"/>
                <w:b w:val="1"/>
                <w:bCs w:val="1"/>
                <w:color w:val="auto"/>
                <w:w w:val="93"/>
              </w:rPr>
              <w:t>Balance</w:t>
            </w:r>
          </w:p>
        </w:tc>
        <w:tc>
          <w:tcPr>
            <w:tcW w:w="540" w:type="dxa"/>
            <w:vAlign w:val="bottom"/>
          </w:tcPr>
          <w:p>
            <w:pPr>
              <w:spacing w:after="0"/>
              <w:rPr>
                <w:sz w:val="14"/>
                <w:szCs w:val="14"/>
                <w:color w:val="auto"/>
              </w:rPr>
            </w:pPr>
          </w:p>
        </w:tc>
        <w:tc>
          <w:tcPr>
            <w:tcW w:w="8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7"/>
              </w:rPr>
              <w:t>(Depreciation)</w:t>
            </w:r>
          </w:p>
        </w:tc>
        <w:tc>
          <w:tcPr>
            <w:tcW w:w="540" w:type="dxa"/>
            <w:vAlign w:val="bottom"/>
          </w:tcPr>
          <w:p>
            <w:pPr>
              <w:spacing w:after="0"/>
              <w:rPr>
                <w:sz w:val="14"/>
                <w:szCs w:val="14"/>
                <w:color w:val="auto"/>
              </w:rPr>
            </w:pPr>
          </w:p>
        </w:tc>
        <w:tc>
          <w:tcPr>
            <w:tcW w:w="8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on Realization</w:t>
            </w: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Balance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120" w:type="dxa"/>
            <w:vAlign w:val="bottom"/>
            <w:shd w:val="clear" w:color="auto" w:fill="CCEEFF"/>
          </w:tcPr>
          <w:p>
            <w:pPr>
              <w:spacing w:after="0"/>
              <w:rPr>
                <w:sz w:val="20"/>
                <w:szCs w:val="20"/>
                <w:color w:val="auto"/>
              </w:rPr>
            </w:pPr>
            <w:r>
              <w:rPr>
                <w:rFonts w:ascii="Arial" w:cs="Arial" w:eastAsia="Arial" w:hAnsi="Arial"/>
                <w:sz w:val="18"/>
                <w:szCs w:val="18"/>
                <w:color w:val="auto"/>
              </w:rPr>
              <w:t>Three months ended March 31, 2010</w:t>
            </w:r>
          </w:p>
        </w:tc>
        <w:tc>
          <w:tcPr>
            <w:tcW w:w="2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36,018</w:t>
            </w: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29,341</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(27,408)</w:t>
            </w:r>
          </w:p>
        </w:tc>
        <w:tc>
          <w:tcPr>
            <w:tcW w:w="880" w:type="dxa"/>
            <w:vAlign w:val="bottom"/>
            <w:gridSpan w:val="2"/>
            <w:shd w:val="clear" w:color="auto" w:fill="CCEEFF"/>
          </w:tcPr>
          <w:p>
            <w:pPr>
              <w:jc w:val="center"/>
              <w:ind w:left="212"/>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37,951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20" w:type="dxa"/>
            <w:vAlign w:val="bottom"/>
            <w:vMerge w:val="restart"/>
          </w:tcPr>
          <w:p>
            <w:pPr>
              <w:spacing w:after="0"/>
              <w:rPr>
                <w:sz w:val="20"/>
                <w:szCs w:val="20"/>
                <w:color w:val="auto"/>
              </w:rPr>
            </w:pPr>
            <w:r>
              <w:rPr>
                <w:rFonts w:ascii="Arial" w:cs="Arial" w:eastAsia="Arial" w:hAnsi="Arial"/>
                <w:sz w:val="18"/>
                <w:szCs w:val="18"/>
                <w:color w:val="auto"/>
              </w:rPr>
              <w:t>Three months ended March 31, 2009</w:t>
            </w:r>
          </w:p>
        </w:tc>
        <w:tc>
          <w:tcPr>
            <w:tcW w:w="2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120" w:type="dxa"/>
            <w:vAlign w:val="bottom"/>
            <w:vMerge w:val="continue"/>
          </w:tcPr>
          <w:p>
            <w:pPr>
              <w:spacing w:after="0"/>
              <w:rPr>
                <w:sz w:val="18"/>
                <w:szCs w:val="18"/>
                <w:color w:val="auto"/>
              </w:rPr>
            </w:pPr>
          </w:p>
        </w:tc>
        <w:tc>
          <w:tcPr>
            <w:tcW w:w="2800" w:type="dxa"/>
            <w:vAlign w:val="bottom"/>
            <w:gridSpan w:val="2"/>
          </w:tcPr>
          <w:p>
            <w:pPr>
              <w:ind w:left="270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3,304</w:t>
            </w:r>
          </w:p>
        </w:tc>
        <w:tc>
          <w:tcPr>
            <w:tcW w:w="760" w:type="dxa"/>
            <w:vAlign w:val="bottom"/>
            <w:gridSpan w:val="2"/>
          </w:tcPr>
          <w:p>
            <w:pPr>
              <w:ind w:left="54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40"/>
              <w:spacing w:after="0"/>
              <w:rPr>
                <w:sz w:val="20"/>
                <w:szCs w:val="20"/>
                <w:color w:val="auto"/>
              </w:rPr>
            </w:pPr>
            <w:r>
              <w:rPr>
                <w:rFonts w:ascii="Arial" w:cs="Arial" w:eastAsia="Arial" w:hAnsi="Arial"/>
                <w:sz w:val="18"/>
                <w:szCs w:val="18"/>
                <w:color w:val="auto"/>
              </w:rPr>
              <w:t>34,102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300"/>
              <w:spacing w:after="0"/>
              <w:rPr>
                <w:sz w:val="20"/>
                <w:szCs w:val="20"/>
                <w:color w:val="auto"/>
              </w:rPr>
            </w:pPr>
            <w:r>
              <w:rPr>
                <w:rFonts w:ascii="Arial" w:cs="Arial" w:eastAsia="Arial" w:hAnsi="Arial"/>
                <w:sz w:val="18"/>
                <w:szCs w:val="18"/>
                <w:color w:val="auto"/>
              </w:rPr>
              <w:t>(4,818)</w:t>
            </w:r>
          </w:p>
        </w:tc>
        <w:tc>
          <w:tcPr>
            <w:tcW w:w="900" w:type="dxa"/>
            <w:vAlign w:val="bottom"/>
            <w:gridSpan w:val="3"/>
          </w:tcPr>
          <w:p>
            <w:pPr>
              <w:jc w:val="center"/>
              <w:ind w:left="192"/>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32,588</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2700" w:type="dxa"/>
            <w:vAlign w:val="bottom"/>
            <w:vMerge w:val="restart"/>
          </w:tcPr>
          <w:p>
            <w:pPr>
              <w:jc w:val="right"/>
              <w:ind w:right="932"/>
              <w:spacing w:after="0"/>
              <w:rPr>
                <w:sz w:val="20"/>
                <w:szCs w:val="20"/>
                <w:color w:val="auto"/>
              </w:rPr>
            </w:pPr>
            <w:r>
              <w:rPr>
                <w:rFonts w:ascii="Arial" w:cs="Arial" w:eastAsia="Arial" w:hAnsi="Arial"/>
                <w:sz w:val="18"/>
                <w:szCs w:val="18"/>
                <w:color w:val="auto"/>
              </w:rPr>
              <w:t>13</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4120" w:type="dxa"/>
            <w:vAlign w:val="bottom"/>
          </w:tcPr>
          <w:p>
            <w:pPr>
              <w:spacing w:after="0"/>
              <w:rPr>
                <w:sz w:val="24"/>
                <w:szCs w:val="24"/>
                <w:color w:val="auto"/>
              </w:rPr>
            </w:pPr>
          </w:p>
        </w:tc>
        <w:tc>
          <w:tcPr>
            <w:tcW w:w="270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700" w:firstLine="456"/>
        <w:spacing w:after="0" w:line="268" w:lineRule="auto"/>
        <w:rPr>
          <w:sz w:val="20"/>
          <w:szCs w:val="20"/>
          <w:color w:val="auto"/>
        </w:rPr>
      </w:pPr>
      <w:r>
        <w:rPr>
          <w:rFonts w:ascii="Arial" w:cs="Arial" w:eastAsia="Arial" w:hAnsi="Arial"/>
          <w:sz w:val="18"/>
          <w:szCs w:val="18"/>
          <w:color w:val="auto"/>
        </w:rPr>
        <w:t>The following tables summarize our agency securities pledged as collateral under repurchase agreements, derivative agreements and prime broker agreements by type as of March 31, 2010 and December 31,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80" w:type="dxa"/>
            <w:vAlign w:val="bottom"/>
          </w:tcPr>
          <w:p>
            <w:pPr>
              <w:spacing w:after="0"/>
              <w:rPr>
                <w:sz w:val="14"/>
                <w:szCs w:val="14"/>
                <w:color w:val="auto"/>
              </w:rPr>
            </w:pPr>
          </w:p>
        </w:tc>
        <w:tc>
          <w:tcPr>
            <w:tcW w:w="160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85"/>
              </w:rPr>
              <w:t>Agency Securities Pledged</w:t>
            </w:r>
          </w:p>
        </w:tc>
        <w:tc>
          <w:tcPr>
            <w:tcW w:w="1340" w:type="dxa"/>
            <w:vAlign w:val="bottom"/>
            <w:gridSpan w:val="2"/>
            <w:vMerge w:val="restart"/>
          </w:tcPr>
          <w:p>
            <w:pPr>
              <w:spacing w:after="0"/>
              <w:rPr>
                <w:sz w:val="14"/>
                <w:szCs w:val="14"/>
                <w:color w:val="auto"/>
              </w:rPr>
            </w:pPr>
          </w:p>
        </w:tc>
        <w:tc>
          <w:tcPr>
            <w:tcW w:w="15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7"/>
          </w:tcPr>
          <w:p>
            <w:pPr>
              <w:ind w:left="260"/>
              <w:spacing w:after="0"/>
              <w:rPr>
                <w:sz w:val="20"/>
                <w:szCs w:val="20"/>
                <w:color w:val="auto"/>
              </w:rPr>
            </w:pPr>
            <w:r>
              <w:rPr>
                <w:rFonts w:ascii="Arial" w:cs="Arial" w:eastAsia="Arial" w:hAnsi="Arial"/>
                <w:sz w:val="14"/>
                <w:szCs w:val="14"/>
                <w:b w:val="1"/>
                <w:bCs w:val="1"/>
                <w:color w:val="auto"/>
              </w:rPr>
              <w:t>As of March 31, 2010</w:t>
            </w: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600" w:type="dxa"/>
            <w:vAlign w:val="bottom"/>
            <w:tcBorders>
              <w:bottom w:val="single" w:sz="8" w:color="auto"/>
            </w:tcBorders>
            <w:gridSpan w:val="2"/>
            <w:vMerge w:val="continue"/>
          </w:tcPr>
          <w:p>
            <w:pPr>
              <w:spacing w:after="0"/>
              <w:rPr>
                <w:sz w:val="12"/>
                <w:szCs w:val="12"/>
                <w:color w:val="auto"/>
              </w:rPr>
            </w:pPr>
          </w:p>
        </w:tc>
        <w:tc>
          <w:tcPr>
            <w:tcW w:w="1340" w:type="dxa"/>
            <w:vAlign w:val="bottom"/>
            <w:gridSpan w:val="2"/>
            <w:vMerge w:val="continue"/>
          </w:tcPr>
          <w:p>
            <w:pPr>
              <w:spacing w:after="0"/>
              <w:rPr>
                <w:sz w:val="12"/>
                <w:szCs w:val="12"/>
                <w:color w:val="auto"/>
              </w:rPr>
            </w:pPr>
          </w:p>
        </w:tc>
        <w:tc>
          <w:tcPr>
            <w:tcW w:w="1500" w:type="dxa"/>
            <w:vAlign w:val="bottom"/>
          </w:tcPr>
          <w:p>
            <w:pPr>
              <w:spacing w:after="0"/>
              <w:rPr>
                <w:sz w:val="12"/>
                <w:szCs w:val="12"/>
                <w:color w:val="auto"/>
              </w:rPr>
            </w:pPr>
          </w:p>
        </w:tc>
        <w:tc>
          <w:tcPr>
            <w:tcW w:w="82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6"/>
              </w:rPr>
              <w:t>Fannie Mae</w:t>
            </w:r>
          </w:p>
        </w:tc>
        <w:tc>
          <w:tcPr>
            <w:tcW w:w="460" w:type="dxa"/>
            <w:vAlign w:val="bottom"/>
            <w:gridSpan w:val="2"/>
          </w:tcPr>
          <w:p>
            <w:pPr>
              <w:spacing w:after="0"/>
              <w:rPr>
                <w:sz w:val="12"/>
                <w:szCs w:val="12"/>
                <w:color w:val="auto"/>
              </w:rPr>
            </w:pPr>
          </w:p>
        </w:tc>
        <w:tc>
          <w:tcPr>
            <w:tcW w:w="820" w:type="dxa"/>
            <w:vAlign w:val="bottom"/>
            <w:tcBorders>
              <w:bottom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500" w:type="dxa"/>
            <w:vAlign w:val="bottom"/>
            <w:gridSpan w:val="2"/>
          </w:tcPr>
          <w:p>
            <w:pPr>
              <w:spacing w:after="0"/>
              <w:rPr>
                <w:sz w:val="12"/>
                <w:szCs w:val="12"/>
                <w:color w:val="auto"/>
              </w:rPr>
            </w:pPr>
          </w:p>
        </w:tc>
        <w:tc>
          <w:tcPr>
            <w:tcW w:w="66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5"/>
              </w:rPr>
              <w:t>Ginnie Mae</w:t>
            </w:r>
          </w:p>
        </w:tc>
        <w:tc>
          <w:tcPr>
            <w:tcW w:w="260" w:type="dxa"/>
            <w:vAlign w:val="bottom"/>
            <w:gridSpan w:val="2"/>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9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$ 2,895,468</w:t>
            </w:r>
          </w:p>
        </w:tc>
        <w:tc>
          <w:tcPr>
            <w:tcW w:w="20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w w:val="84"/>
              </w:rPr>
              <w:t>$ 1,906,359</w:t>
            </w:r>
          </w:p>
        </w:tc>
        <w:tc>
          <w:tcPr>
            <w:tcW w:w="3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8,371</w:t>
            </w:r>
          </w:p>
        </w:tc>
        <w:tc>
          <w:tcPr>
            <w:tcW w:w="160" w:type="dxa"/>
            <w:vAlign w:val="bottom"/>
          </w:tcPr>
          <w:p>
            <w:pPr>
              <w:spacing w:after="0"/>
              <w:rPr>
                <w:sz w:val="18"/>
                <w:szCs w:val="18"/>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4,810,198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5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2,875,560</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w w:val="99"/>
              </w:rPr>
              <w:t>1,990,638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8,152</w:t>
            </w: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4,874,350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11,339</w:t>
            </w:r>
          </w:p>
        </w:tc>
        <w:tc>
          <w:tcPr>
            <w:tcW w:w="200" w:type="dxa"/>
            <w:vAlign w:val="bottom"/>
          </w:tcPr>
          <w:p>
            <w:pPr>
              <w:spacing w:after="0"/>
              <w:rPr>
                <w:sz w:val="19"/>
                <w:szCs w:val="19"/>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7,256</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gridSpan w:val="2"/>
          </w:tcPr>
          <w:p>
            <w:pPr>
              <w:jc w:val="right"/>
              <w:ind w:right="80"/>
              <w:spacing w:after="0"/>
              <w:rPr>
                <w:sz w:val="20"/>
                <w:szCs w:val="20"/>
                <w:color w:val="auto"/>
              </w:rPr>
            </w:pPr>
            <w:r>
              <w:rPr>
                <w:rFonts w:ascii="Arial" w:cs="Arial" w:eastAsia="Arial" w:hAnsi="Arial"/>
                <w:sz w:val="18"/>
                <w:szCs w:val="18"/>
                <w:color w:val="auto"/>
              </w:rPr>
              <w:t>39</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18,634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3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15,709</w:t>
            </w:r>
          </w:p>
        </w:tc>
        <w:tc>
          <w:tcPr>
            <w:tcW w:w="200" w:type="dxa"/>
            <w:vAlign w:val="bottom"/>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13,774</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29,483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5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15,707</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13,608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580" w:type="dxa"/>
            <w:vAlign w:val="bottom"/>
            <w:gridSpan w:val="4"/>
          </w:tcPr>
          <w:p>
            <w:pPr>
              <w:jc w:val="right"/>
              <w:ind w:right="260"/>
              <w:spacing w:after="0"/>
              <w:rPr>
                <w:sz w:val="20"/>
                <w:szCs w:val="20"/>
                <w:color w:val="auto"/>
              </w:rPr>
            </w:pPr>
            <w:r>
              <w:rPr>
                <w:rFonts w:ascii="Arial" w:cs="Arial" w:eastAsia="Arial" w:hAnsi="Arial"/>
                <w:sz w:val="18"/>
                <w:szCs w:val="18"/>
                <w:color w:val="auto"/>
              </w:rPr>
              <w:t>66</w:t>
            </w:r>
          </w:p>
        </w:tc>
        <w:tc>
          <w:tcPr>
            <w:tcW w:w="200" w:type="dxa"/>
            <w:vAlign w:val="bottom"/>
          </w:tcPr>
          <w:p>
            <w:pPr>
              <w:spacing w:after="0"/>
              <w:rPr>
                <w:sz w:val="19"/>
                <w:szCs w:val="19"/>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61</w:t>
            </w:r>
          </w:p>
        </w:tc>
        <w:tc>
          <w:tcPr>
            <w:tcW w:w="3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38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15,952</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15,952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15,838</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15,838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5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tcPr>
          <w:p>
            <w:pPr>
              <w:spacing w:after="0"/>
              <w:rPr>
                <w:sz w:val="18"/>
                <w:szCs w:val="18"/>
                <w:color w:val="auto"/>
              </w:rPr>
            </w:pPr>
          </w:p>
        </w:tc>
        <w:tc>
          <w:tcPr>
            <w:tcW w:w="1000" w:type="dxa"/>
            <w:vAlign w:val="bottom"/>
            <w:gridSpan w:val="3"/>
          </w:tcPr>
          <w:p>
            <w:pPr>
              <w:jc w:val="right"/>
              <w:ind w:right="180"/>
              <w:spacing w:after="0"/>
              <w:rPr>
                <w:sz w:val="20"/>
                <w:szCs w:val="20"/>
                <w:color w:val="auto"/>
              </w:rPr>
            </w:pPr>
            <w:r>
              <w:rPr>
                <w:rFonts w:ascii="Arial" w:cs="Arial" w:eastAsia="Arial" w:hAnsi="Arial"/>
                <w:sz w:val="18"/>
                <w:szCs w:val="18"/>
                <w:color w:val="auto"/>
              </w:rPr>
              <w:t>65</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20" w:type="dxa"/>
            <w:vAlign w:val="bottom"/>
            <w:tcBorders>
              <w:right w:val="single" w:sz="8" w:color="auto"/>
            </w:tcBorders>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150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b w:val="1"/>
                <w:bCs w:val="1"/>
                <w:color w:val="auto"/>
                <w:w w:val="84"/>
              </w:rPr>
              <w:t>$ 2,922,582</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b w:val="1"/>
                <w:bCs w:val="1"/>
                <w:color w:val="auto"/>
                <w:w w:val="84"/>
              </w:rPr>
              <w:t>$ 1,943,467</w:t>
            </w: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5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8,410</w:t>
            </w:r>
          </w:p>
        </w:tc>
        <w:tc>
          <w:tcPr>
            <w:tcW w:w="1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4,874,459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5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84"/>
              </w:rPr>
              <w:t>Agency Securities Pledged</w:t>
            </w:r>
          </w:p>
        </w:tc>
        <w:tc>
          <w:tcPr>
            <w:tcW w:w="1180" w:type="dxa"/>
            <w:vAlign w:val="bottom"/>
            <w:vMerge w:val="restart"/>
          </w:tcPr>
          <w:p>
            <w:pPr>
              <w:spacing w:after="0"/>
              <w:rPr>
                <w:sz w:val="24"/>
                <w:szCs w:val="24"/>
                <w:color w:val="auto"/>
              </w:rPr>
            </w:pPr>
          </w:p>
        </w:tc>
        <w:tc>
          <w:tcPr>
            <w:tcW w:w="15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gridSpan w:val="7"/>
          </w:tcPr>
          <w:p>
            <w:pPr>
              <w:ind w:left="280"/>
              <w:spacing w:after="0"/>
              <w:rPr>
                <w:sz w:val="20"/>
                <w:szCs w:val="20"/>
                <w:color w:val="auto"/>
              </w:rPr>
            </w:pPr>
            <w:r>
              <w:rPr>
                <w:rFonts w:ascii="Arial" w:cs="Arial" w:eastAsia="Arial" w:hAnsi="Arial"/>
                <w:sz w:val="14"/>
                <w:szCs w:val="14"/>
                <w:b w:val="1"/>
                <w:bCs w:val="1"/>
                <w:color w:val="auto"/>
              </w:rPr>
              <w:t>As of December 31, 2009</w:t>
            </w: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3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580" w:type="dxa"/>
            <w:vAlign w:val="bottom"/>
            <w:tcBorders>
              <w:bottom w:val="single" w:sz="8" w:color="auto"/>
            </w:tcBorders>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5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40" w:type="dxa"/>
            <w:vAlign w:val="bottom"/>
            <w:tcBorders>
              <w:bottom w:val="single" w:sz="8" w:color="auto"/>
            </w:tcBorders>
            <w:gridSpan w:val="2"/>
          </w:tcPr>
          <w:p>
            <w:pPr>
              <w:jc w:val="right"/>
              <w:ind w:right="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Borders>
              <w:bottom w:val="single" w:sz="8" w:color="auto"/>
            </w:tcBorders>
            <w:gridSpan w:val="2"/>
          </w:tcPr>
          <w:p>
            <w:pPr>
              <w:jc w:val="right"/>
              <w:ind w:right="60"/>
              <w:spacing w:after="0" w:line="142" w:lineRule="exact"/>
              <w:rPr>
                <w:sz w:val="20"/>
                <w:szCs w:val="20"/>
                <w:color w:val="auto"/>
              </w:rPr>
            </w:pPr>
            <w:r>
              <w:rPr>
                <w:rFonts w:ascii="Arial" w:cs="Arial" w:eastAsia="Arial" w:hAnsi="Arial"/>
                <w:sz w:val="14"/>
                <w:szCs w:val="14"/>
                <w:b w:val="1"/>
                <w:bCs w:val="1"/>
                <w:color w:val="auto"/>
                <w:w w:val="95"/>
              </w:rPr>
              <w:t>Freddie Mac</w:t>
            </w:r>
          </w:p>
        </w:tc>
        <w:tc>
          <w:tcPr>
            <w:tcW w:w="320" w:type="dxa"/>
            <w:vAlign w:val="bottom"/>
          </w:tcPr>
          <w:p>
            <w:pPr>
              <w:spacing w:after="0"/>
              <w:rPr>
                <w:sz w:val="12"/>
                <w:szCs w:val="12"/>
                <w:color w:val="auto"/>
              </w:rPr>
            </w:pPr>
          </w:p>
        </w:tc>
        <w:tc>
          <w:tcPr>
            <w:tcW w:w="760" w:type="dxa"/>
            <w:vAlign w:val="bottom"/>
            <w:tcBorders>
              <w:bottom w:val="single" w:sz="8" w:color="auto"/>
            </w:tcBorders>
            <w:gridSpan w:val="3"/>
          </w:tcPr>
          <w:p>
            <w:pPr>
              <w:jc w:val="right"/>
              <w:ind w:right="40"/>
              <w:spacing w:after="0" w:line="142" w:lineRule="exact"/>
              <w:rPr>
                <w:sz w:val="20"/>
                <w:szCs w:val="20"/>
                <w:color w:val="auto"/>
              </w:rPr>
            </w:pPr>
            <w:r>
              <w:rPr>
                <w:rFonts w:ascii="Arial" w:cs="Arial" w:eastAsia="Arial" w:hAnsi="Arial"/>
                <w:sz w:val="14"/>
                <w:szCs w:val="14"/>
                <w:b w:val="1"/>
                <w:bCs w:val="1"/>
                <w:color w:val="auto"/>
                <w:w w:val="93"/>
              </w:rPr>
              <w:t>Ginnie Mae</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4"/>
              <w:spacing w:after="0" w:line="142" w:lineRule="exact"/>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$ 2,851,735</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$ 1,240,830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rPr>
              <w:t>13,182</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4,105,747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2,821,792</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1,207,952</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12,843</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4,042,587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11,774</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4,799</w:t>
            </w:r>
          </w:p>
        </w:tc>
        <w:tc>
          <w:tcPr>
            <w:tcW w:w="180" w:type="dxa"/>
            <w:vAlign w:val="bottom"/>
          </w:tcPr>
          <w:p>
            <w:pPr>
              <w:spacing w:after="0"/>
              <w:rPr>
                <w:sz w:val="19"/>
                <w:szCs w:val="19"/>
                <w:color w:val="auto"/>
              </w:rPr>
            </w:pPr>
          </w:p>
        </w:tc>
        <w:tc>
          <w:tcPr>
            <w:tcW w:w="740" w:type="dxa"/>
            <w:vAlign w:val="bottom"/>
            <w:gridSpan w:val="3"/>
          </w:tcPr>
          <w:p>
            <w:pPr>
              <w:jc w:val="right"/>
              <w:ind w:right="160"/>
              <w:spacing w:after="0"/>
              <w:rPr>
                <w:sz w:val="20"/>
                <w:szCs w:val="20"/>
                <w:color w:val="auto"/>
              </w:rPr>
            </w:pPr>
            <w:r>
              <w:rPr>
                <w:rFonts w:ascii="Arial" w:cs="Arial" w:eastAsia="Arial" w:hAnsi="Arial"/>
                <w:sz w:val="18"/>
                <w:szCs w:val="18"/>
                <w:color w:val="auto"/>
              </w:rPr>
              <w:t>62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gridSpan w:val="2"/>
          </w:tcPr>
          <w:p>
            <w:pPr>
              <w:spacing w:after="0"/>
              <w:rPr>
                <w:sz w:val="8"/>
                <w:szCs w:val="8"/>
                <w:color w:val="auto"/>
              </w:rPr>
            </w:pPr>
          </w:p>
        </w:tc>
        <w:tc>
          <w:tcPr>
            <w:tcW w:w="1580" w:type="dxa"/>
            <w:vAlign w:val="bottom"/>
            <w:gridSpan w:val="2"/>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12,719</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2,651</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15,370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12,409</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2,567</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14,976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57</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12</w:t>
            </w:r>
          </w:p>
        </w:tc>
        <w:tc>
          <w:tcPr>
            <w:tcW w:w="180" w:type="dxa"/>
            <w:vAlign w:val="bottom"/>
          </w:tcPr>
          <w:p>
            <w:pPr>
              <w:spacing w:after="0"/>
              <w:rPr>
                <w:sz w:val="19"/>
                <w:szCs w:val="19"/>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2560" w:type="dxa"/>
            <w:vAlign w:val="bottom"/>
            <w:gridSpan w:val="2"/>
          </w:tcPr>
          <w:p>
            <w:pPr>
              <w:spacing w:after="0"/>
              <w:rPr>
                <w:sz w:val="8"/>
                <w:szCs w:val="8"/>
                <w:color w:val="auto"/>
              </w:rPr>
            </w:pPr>
          </w:p>
        </w:tc>
        <w:tc>
          <w:tcPr>
            <w:tcW w:w="1580" w:type="dxa"/>
            <w:vAlign w:val="bottom"/>
            <w:gridSpan w:val="2"/>
          </w:tcPr>
          <w:p>
            <w:pPr>
              <w:spacing w:after="0"/>
              <w:rPr>
                <w:sz w:val="8"/>
                <w:szCs w:val="8"/>
                <w:color w:val="auto"/>
              </w:rPr>
            </w:pPr>
          </w:p>
        </w:tc>
        <w:tc>
          <w:tcPr>
            <w:tcW w:w="1180" w:type="dxa"/>
            <w:vAlign w:val="bottom"/>
          </w:tcPr>
          <w:p>
            <w:pPr>
              <w:spacing w:after="0"/>
              <w:rPr>
                <w:sz w:val="8"/>
                <w:szCs w:val="8"/>
                <w:color w:val="auto"/>
              </w:rPr>
            </w:pPr>
          </w:p>
        </w:tc>
        <w:tc>
          <w:tcPr>
            <w:tcW w:w="1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680" w:type="dxa"/>
            <w:vAlign w:val="bottom"/>
          </w:tcPr>
          <w:p>
            <w:pPr>
              <w:spacing w:after="0"/>
              <w:rPr>
                <w:sz w:val="8"/>
                <w:szCs w:val="8"/>
                <w:color w:val="auto"/>
              </w:rPr>
            </w:pPr>
          </w:p>
        </w:tc>
        <w:tc>
          <w:tcPr>
            <w:tcW w:w="1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80" w:type="dxa"/>
            <w:vAlign w:val="bottom"/>
          </w:tcPr>
          <w:p>
            <w:pPr>
              <w:spacing w:after="0"/>
              <w:rPr>
                <w:sz w:val="8"/>
                <w:szCs w:val="8"/>
                <w:color w:val="auto"/>
              </w:rPr>
            </w:pPr>
          </w:p>
        </w:tc>
        <w:tc>
          <w:tcPr>
            <w:tcW w:w="4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5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20" w:type="dxa"/>
            <w:vAlign w:val="bottom"/>
            <w:tcBorders>
              <w:right w:val="single" w:sz="8" w:color="CCEEFF"/>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Fair value</w:t>
            </w:r>
          </w:p>
        </w:tc>
        <w:tc>
          <w:tcPr>
            <w:tcW w:w="2780" w:type="dxa"/>
            <w:vAlign w:val="bottom"/>
            <w:gridSpan w:val="5"/>
          </w:tcPr>
          <w:p>
            <w:pPr>
              <w:jc w:val="right"/>
              <w:ind w:right="200"/>
              <w:spacing w:after="0"/>
              <w:rPr>
                <w:sz w:val="20"/>
                <w:szCs w:val="20"/>
                <w:color w:val="auto"/>
              </w:rPr>
            </w:pPr>
            <w:r>
              <w:rPr>
                <w:rFonts w:ascii="Arial" w:cs="Arial" w:eastAsia="Arial" w:hAnsi="Arial"/>
                <w:sz w:val="18"/>
                <w:szCs w:val="18"/>
                <w:color w:val="auto"/>
              </w:rPr>
              <w:t>2,360</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13,119</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15,479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color w:val="auto"/>
              </w:rPr>
              <w:t>2,270</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color w:val="auto"/>
              </w:rPr>
              <w:t>13,270</w:t>
            </w:r>
          </w:p>
        </w:tc>
        <w:tc>
          <w:tcPr>
            <w:tcW w:w="180" w:type="dxa"/>
            <w:vAlign w:val="bottom"/>
            <w:shd w:val="clear" w:color="auto" w:fill="CCEEFF"/>
          </w:tcPr>
          <w:p>
            <w:pPr>
              <w:spacing w:after="0"/>
              <w:rPr>
                <w:sz w:val="18"/>
                <w:szCs w:val="18"/>
                <w:color w:val="auto"/>
              </w:rPr>
            </w:pP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5"/>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740" w:type="dxa"/>
            <w:vAlign w:val="bottom"/>
            <w:gridSpan w:val="2"/>
          </w:tcPr>
          <w:p>
            <w:pPr>
              <w:spacing w:after="0"/>
              <w:rPr>
                <w:sz w:val="18"/>
                <w:szCs w:val="18"/>
                <w:color w:val="auto"/>
              </w:rPr>
            </w:pPr>
          </w:p>
        </w:tc>
        <w:tc>
          <w:tcPr>
            <w:tcW w:w="1040" w:type="dxa"/>
            <w:vAlign w:val="bottom"/>
            <w:gridSpan w:val="3"/>
          </w:tcPr>
          <w:p>
            <w:pPr>
              <w:jc w:val="right"/>
              <w:ind w:right="200"/>
              <w:spacing w:after="0"/>
              <w:rPr>
                <w:sz w:val="20"/>
                <w:szCs w:val="20"/>
                <w:color w:val="auto"/>
              </w:rPr>
            </w:pPr>
            <w:r>
              <w:rPr>
                <w:rFonts w:ascii="Arial" w:cs="Arial" w:eastAsia="Arial" w:hAnsi="Arial"/>
                <w:sz w:val="18"/>
                <w:szCs w:val="18"/>
                <w:color w:val="auto"/>
              </w:rPr>
              <w:t>12</w:t>
            </w:r>
          </w:p>
        </w:tc>
        <w:tc>
          <w:tcPr>
            <w:tcW w:w="1320" w:type="dxa"/>
            <w:vAlign w:val="bottom"/>
            <w:gridSpan w:val="4"/>
          </w:tcPr>
          <w:p>
            <w:pPr>
              <w:jc w:val="right"/>
              <w:ind w:right="320"/>
              <w:spacing w:after="0"/>
              <w:rPr>
                <w:sz w:val="20"/>
                <w:szCs w:val="20"/>
                <w:color w:val="auto"/>
              </w:rPr>
            </w:pPr>
            <w:r>
              <w:rPr>
                <w:rFonts w:ascii="Arial" w:cs="Arial" w:eastAsia="Arial" w:hAnsi="Arial"/>
                <w:sz w:val="18"/>
                <w:szCs w:val="18"/>
                <w:color w:val="auto"/>
              </w:rPr>
              <w:t>54</w:t>
            </w:r>
          </w:p>
        </w:tc>
        <w:tc>
          <w:tcPr>
            <w:tcW w:w="180" w:type="dxa"/>
            <w:vAlign w:val="bottom"/>
          </w:tcPr>
          <w:p>
            <w:pPr>
              <w:spacing w:after="0"/>
              <w:rPr>
                <w:sz w:val="18"/>
                <w:szCs w:val="18"/>
                <w:color w:val="auto"/>
              </w:rPr>
            </w:pPr>
          </w:p>
        </w:tc>
        <w:tc>
          <w:tcPr>
            <w:tcW w:w="740" w:type="dxa"/>
            <w:vAlign w:val="bottom"/>
            <w:gridSpan w:val="3"/>
          </w:tcPr>
          <w:p>
            <w:pPr>
              <w:jc w:val="right"/>
              <w:ind w:right="2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3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500" w:type="dxa"/>
            <w:vAlign w:val="bottom"/>
          </w:tcPr>
          <w:p>
            <w:pPr>
              <w:spacing w:after="0"/>
              <w:rPr>
                <w:sz w:val="2"/>
                <w:szCs w:val="2"/>
                <w:color w:val="auto"/>
              </w:rPr>
            </w:pPr>
          </w:p>
        </w:tc>
        <w:tc>
          <w:tcPr>
            <w:tcW w:w="24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right w:val="single" w:sz="8" w:color="auto"/>
            </w:tcBorders>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5"/>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2780" w:type="dxa"/>
            <w:vAlign w:val="bottom"/>
            <w:gridSpan w:val="5"/>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$ 2,878,657</w:t>
            </w:r>
          </w:p>
        </w:tc>
        <w:tc>
          <w:tcPr>
            <w:tcW w:w="1320" w:type="dxa"/>
            <w:vAlign w:val="bottom"/>
            <w:tcBorders>
              <w:right w:val="single" w:sz="8" w:color="CCEEFF"/>
            </w:tcBorders>
            <w:gridSpan w:val="4"/>
            <w:shd w:val="clear" w:color="auto" w:fill="CCEEFF"/>
          </w:tcPr>
          <w:p>
            <w:pPr>
              <w:jc w:val="right"/>
              <w:ind w:right="320"/>
              <w:spacing w:after="0"/>
              <w:rPr>
                <w:sz w:val="20"/>
                <w:szCs w:val="20"/>
                <w:color w:val="auto"/>
              </w:rPr>
            </w:pPr>
            <w:r>
              <w:rPr>
                <w:rFonts w:ascii="Arial" w:cs="Arial" w:eastAsia="Arial" w:hAnsi="Arial"/>
                <w:sz w:val="18"/>
                <w:szCs w:val="18"/>
                <w:b w:val="1"/>
                <w:bCs w:val="1"/>
                <w:color w:val="auto"/>
              </w:rPr>
              <w:t>$ 1,261,465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74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b w:val="1"/>
                <w:bCs w:val="1"/>
                <w:color w:val="auto"/>
              </w:rPr>
              <w:t>13,244</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b w:val="1"/>
                <w:bCs w:val="1"/>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89"/>
              </w:rPr>
              <w:t>4,153,366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500" w:type="dxa"/>
            <w:vAlign w:val="bottom"/>
            <w:vMerge w:val="restart"/>
          </w:tcPr>
          <w:p>
            <w:pPr>
              <w:jc w:val="right"/>
              <w:ind w:right="952"/>
              <w:spacing w:after="0"/>
              <w:rPr>
                <w:sz w:val="20"/>
                <w:szCs w:val="20"/>
                <w:color w:val="auto"/>
              </w:rPr>
            </w:pPr>
            <w:r>
              <w:rPr>
                <w:rFonts w:ascii="Arial" w:cs="Arial" w:eastAsia="Arial" w:hAnsi="Arial"/>
                <w:sz w:val="18"/>
                <w:szCs w:val="18"/>
                <w:color w:val="auto"/>
              </w:rPr>
              <w:t>14</w:t>
            </w:r>
          </w:p>
        </w:tc>
        <w:tc>
          <w:tcPr>
            <w:tcW w:w="2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3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50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agency securities pledged as collateral under repurchase agreements by remaining maturity as of March 31,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3"/>
          </w:tcPr>
          <w:p>
            <w:pPr>
              <w:ind w:left="380"/>
              <w:spacing w:after="0"/>
              <w:rPr>
                <w:sz w:val="20"/>
                <w:szCs w:val="20"/>
                <w:color w:val="auto"/>
              </w:rPr>
            </w:pPr>
            <w:r>
              <w:rPr>
                <w:rFonts w:ascii="Arial" w:cs="Arial" w:eastAsia="Arial" w:hAnsi="Arial"/>
                <w:sz w:val="14"/>
                <w:szCs w:val="14"/>
                <w:b w:val="1"/>
                <w:bCs w:val="1"/>
                <w:color w:val="auto"/>
                <w:w w:val="93"/>
              </w:rPr>
              <w:t>As of March 31, 2010</w:t>
            </w: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4"/>
          </w:tcPr>
          <w:p>
            <w:pPr>
              <w:jc w:val="right"/>
              <w:ind w:right="12"/>
              <w:spacing w:after="0"/>
              <w:rPr>
                <w:sz w:val="20"/>
                <w:szCs w:val="20"/>
                <w:color w:val="auto"/>
              </w:rPr>
            </w:pPr>
            <w:r>
              <w:rPr>
                <w:rFonts w:ascii="Arial" w:cs="Arial" w:eastAsia="Arial" w:hAnsi="Arial"/>
                <w:sz w:val="14"/>
                <w:szCs w:val="14"/>
                <w:b w:val="1"/>
                <w:bCs w:val="1"/>
                <w:color w:val="auto"/>
                <w:w w:val="94"/>
              </w:rPr>
              <w:t>As of December 31, 2009</w:t>
            </w:r>
          </w:p>
        </w:tc>
        <w:tc>
          <w:tcPr>
            <w:tcW w:w="10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29"/>
        </w:trPr>
        <w:tc>
          <w:tcPr>
            <w:tcW w:w="96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2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2"/>
              </w:rPr>
              <w:t>Accrued Interest</w:t>
            </w: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tcPr>
          <w:p>
            <w:pPr>
              <w:jc w:val="center"/>
              <w:ind w:right="18"/>
              <w:spacing w:after="0" w:line="129" w:lineRule="exact"/>
              <w:rPr>
                <w:sz w:val="20"/>
                <w:szCs w:val="20"/>
                <w:color w:val="auto"/>
              </w:rPr>
            </w:pPr>
            <w:r>
              <w:rPr>
                <w:rFonts w:ascii="Arial" w:cs="Arial" w:eastAsia="Arial" w:hAnsi="Arial"/>
                <w:sz w:val="14"/>
                <w:szCs w:val="14"/>
                <w:b w:val="1"/>
                <w:bCs w:val="1"/>
                <w:color w:val="auto"/>
                <w:w w:val="86"/>
              </w:rPr>
              <w:t>Accrued Interest</w:t>
            </w:r>
          </w:p>
        </w:tc>
        <w:tc>
          <w:tcPr>
            <w:tcW w:w="20" w:type="dxa"/>
            <w:vAlign w:val="bottom"/>
          </w:tcPr>
          <w:p>
            <w:pPr>
              <w:spacing w:after="0"/>
              <w:rPr>
                <w:sz w:val="11"/>
                <w:szCs w:val="11"/>
                <w:color w:val="auto"/>
              </w:rPr>
            </w:pPr>
          </w:p>
        </w:tc>
      </w:tr>
      <w:tr>
        <w:trPr>
          <w:trHeight w:val="149"/>
        </w:trPr>
        <w:tc>
          <w:tcPr>
            <w:tcW w:w="96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Amortized</w:t>
            </w:r>
          </w:p>
        </w:tc>
        <w:tc>
          <w:tcPr>
            <w:tcW w:w="11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on Pledged Agency</w:t>
            </w:r>
          </w:p>
        </w:tc>
        <w:tc>
          <w:tcPr>
            <w:tcW w:w="4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40" w:type="dxa"/>
            <w:vAlign w:val="bottom"/>
          </w:tcPr>
          <w:p>
            <w:pPr>
              <w:jc w:val="right"/>
              <w:ind w:right="42"/>
              <w:spacing w:after="0" w:line="149" w:lineRule="exact"/>
              <w:rPr>
                <w:sz w:val="20"/>
                <w:szCs w:val="20"/>
                <w:color w:val="auto"/>
              </w:rPr>
            </w:pPr>
            <w:r>
              <w:rPr>
                <w:rFonts w:ascii="Arial" w:cs="Arial" w:eastAsia="Arial" w:hAnsi="Arial"/>
                <w:sz w:val="14"/>
                <w:szCs w:val="14"/>
                <w:b w:val="1"/>
                <w:bCs w:val="1"/>
                <w:color w:val="auto"/>
              </w:rPr>
              <w:t>Amortized</w:t>
            </w:r>
          </w:p>
        </w:tc>
        <w:tc>
          <w:tcPr>
            <w:tcW w:w="440" w:type="dxa"/>
            <w:vAlign w:val="bottom"/>
          </w:tcPr>
          <w:p>
            <w:pPr>
              <w:spacing w:after="0"/>
              <w:rPr>
                <w:sz w:val="12"/>
                <w:szCs w:val="12"/>
                <w:color w:val="auto"/>
              </w:rPr>
            </w:pPr>
          </w:p>
        </w:tc>
        <w:tc>
          <w:tcPr>
            <w:tcW w:w="118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3"/>
              </w:rPr>
              <w:t>on Pledged Agency</w:t>
            </w:r>
          </w:p>
        </w:tc>
      </w:tr>
      <w:tr>
        <w:trPr>
          <w:trHeight w:val="161"/>
        </w:trPr>
        <w:tc>
          <w:tcPr>
            <w:tcW w:w="960" w:type="dxa"/>
            <w:vAlign w:val="bottom"/>
          </w:tcPr>
          <w:p>
            <w:pPr>
              <w:spacing w:after="0"/>
              <w:rPr>
                <w:sz w:val="14"/>
                <w:szCs w:val="14"/>
                <w:color w:val="auto"/>
              </w:rPr>
            </w:pPr>
          </w:p>
        </w:tc>
        <w:tc>
          <w:tcPr>
            <w:tcW w:w="12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93"/>
              </w:rPr>
              <w:t>Remaining Maturity</w:t>
            </w:r>
          </w:p>
        </w:tc>
        <w:tc>
          <w:tcPr>
            <w:tcW w:w="1400" w:type="dxa"/>
            <w:vAlign w:val="bottom"/>
          </w:tcPr>
          <w:p>
            <w:pPr>
              <w:spacing w:after="0"/>
              <w:rPr>
                <w:sz w:val="14"/>
                <w:szCs w:val="14"/>
                <w:color w:val="auto"/>
              </w:rPr>
            </w:pPr>
          </w:p>
        </w:tc>
        <w:tc>
          <w:tcPr>
            <w:tcW w:w="82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Fair Value</w:t>
            </w:r>
          </w:p>
        </w:tc>
        <w:tc>
          <w:tcPr>
            <w:tcW w:w="440" w:type="dxa"/>
            <w:vAlign w:val="bottom"/>
          </w:tcPr>
          <w:p>
            <w:pPr>
              <w:spacing w:after="0"/>
              <w:rPr>
                <w:sz w:val="14"/>
                <w:szCs w:val="14"/>
                <w:color w:val="auto"/>
              </w:rPr>
            </w:pPr>
          </w:p>
        </w:tc>
        <w:tc>
          <w:tcPr>
            <w:tcW w:w="80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Cost</w:t>
            </w:r>
          </w:p>
        </w:tc>
        <w:tc>
          <w:tcPr>
            <w:tcW w:w="4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w w:val="95"/>
              </w:rPr>
              <w:t>Securities</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rPr>
              <w:t>Fair Value</w:t>
            </w: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4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Cost</w:t>
            </w:r>
          </w:p>
        </w:tc>
        <w:tc>
          <w:tcPr>
            <w:tcW w:w="4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Securities</w:t>
            </w:r>
          </w:p>
        </w:tc>
        <w:tc>
          <w:tcPr>
            <w:tcW w:w="20" w:type="dxa"/>
            <w:vAlign w:val="bottom"/>
          </w:tcPr>
          <w:p>
            <w:pPr>
              <w:spacing w:after="0"/>
              <w:rPr>
                <w:sz w:val="14"/>
                <w:szCs w:val="14"/>
                <w:color w:val="auto"/>
              </w:rPr>
            </w:pPr>
          </w:p>
        </w:tc>
      </w:tr>
      <w:tr>
        <w:trPr>
          <w:trHeight w:val="210"/>
        </w:trPr>
        <w:tc>
          <w:tcPr>
            <w:tcW w:w="36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$ 4,073,121</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$ 4,141,004</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15,686</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$ 3,216,242</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$ 3,177,975</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12,815</w:t>
            </w:r>
          </w:p>
        </w:tc>
        <w:tc>
          <w:tcPr>
            <w:tcW w:w="20" w:type="dxa"/>
            <w:vAlign w:val="bottom"/>
          </w:tcPr>
          <w:p>
            <w:pPr>
              <w:spacing w:after="0"/>
              <w:rPr>
                <w:sz w:val="18"/>
                <w:szCs w:val="18"/>
                <w:color w:val="auto"/>
              </w:rPr>
            </w:pPr>
          </w:p>
        </w:tc>
      </w:tr>
      <w:tr>
        <w:trPr>
          <w:trHeight w:val="216"/>
        </w:trPr>
        <w:tc>
          <w:tcPr>
            <w:tcW w:w="364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820" w:type="dxa"/>
            <w:vAlign w:val="bottom"/>
          </w:tcPr>
          <w:p>
            <w:pPr>
              <w:jc w:val="right"/>
              <w:spacing w:after="0"/>
              <w:rPr>
                <w:sz w:val="20"/>
                <w:szCs w:val="20"/>
                <w:color w:val="auto"/>
              </w:rPr>
            </w:pPr>
            <w:r>
              <w:rPr>
                <w:rFonts w:ascii="Arial" w:cs="Arial" w:eastAsia="Arial" w:hAnsi="Arial"/>
                <w:sz w:val="18"/>
                <w:szCs w:val="18"/>
                <w:color w:val="auto"/>
              </w:rPr>
              <w:t>737,077</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733,346</w:t>
            </w: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2,948</w:t>
            </w:r>
          </w:p>
        </w:tc>
        <w:tc>
          <w:tcPr>
            <w:tcW w:w="1420" w:type="dxa"/>
            <w:vAlign w:val="bottom"/>
            <w:gridSpan w:val="3"/>
          </w:tcPr>
          <w:p>
            <w:pPr>
              <w:jc w:val="right"/>
              <w:ind w:right="160"/>
              <w:spacing w:after="0"/>
              <w:rPr>
                <w:sz w:val="20"/>
                <w:szCs w:val="20"/>
                <w:color w:val="auto"/>
              </w:rPr>
            </w:pPr>
            <w:r>
              <w:rPr>
                <w:rFonts w:ascii="Arial" w:cs="Arial" w:eastAsia="Arial" w:hAnsi="Arial"/>
                <w:sz w:val="18"/>
                <w:szCs w:val="18"/>
                <w:color w:val="auto"/>
              </w:rPr>
              <w:t>889,505</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864,612</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3,820</w:t>
            </w:r>
          </w:p>
        </w:tc>
        <w:tc>
          <w:tcPr>
            <w:tcW w:w="20" w:type="dxa"/>
            <w:vAlign w:val="bottom"/>
          </w:tcPr>
          <w:p>
            <w:pPr>
              <w:spacing w:after="0"/>
              <w:rPr>
                <w:sz w:val="18"/>
                <w:szCs w:val="18"/>
                <w:color w:val="auto"/>
              </w:rPr>
            </w:pPr>
          </w:p>
        </w:tc>
      </w:tr>
      <w:tr>
        <w:trPr>
          <w:trHeight w:val="216"/>
        </w:trPr>
        <w:tc>
          <w:tcPr>
            <w:tcW w:w="36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60 - 90 days</w:t>
            </w:r>
          </w:p>
        </w:tc>
        <w:tc>
          <w:tcPr>
            <w:tcW w:w="82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ind w:left="54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3"/>
        </w:trPr>
        <w:tc>
          <w:tcPr>
            <w:tcW w:w="3640" w:type="dxa"/>
            <w:vAlign w:val="bottom"/>
            <w:gridSpan w:val="3"/>
          </w:tcPr>
          <w:p>
            <w:pPr>
              <w:spacing w:after="0"/>
              <w:rPr>
                <w:sz w:val="20"/>
                <w:szCs w:val="20"/>
                <w:color w:val="auto"/>
              </w:rPr>
            </w:pPr>
            <w:r>
              <w:rPr>
                <w:rFonts w:ascii="Arial" w:cs="Arial" w:eastAsia="Arial" w:hAnsi="Arial"/>
                <w:sz w:val="18"/>
                <w:szCs w:val="18"/>
                <w:color w:val="auto"/>
              </w:rPr>
              <w:t>Greater than 90 days</w:t>
            </w:r>
          </w:p>
        </w:tc>
        <w:tc>
          <w:tcPr>
            <w:tcW w:w="82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00" w:type="dxa"/>
            <w:vAlign w:val="bottom"/>
            <w:tcBorders>
              <w:bottom w:val="single" w:sz="8" w:color="auto"/>
            </w:tcBorders>
          </w:tcPr>
          <w:p>
            <w:pPr>
              <w:ind w:left="54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6"/>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40" w:type="dxa"/>
            <w:vAlign w:val="bottom"/>
            <w:tcBorders>
              <w:bottom w:val="single" w:sz="8" w:color="auto"/>
            </w:tcBorders>
          </w:tcPr>
          <w:p>
            <w:pPr>
              <w:jc w:val="right"/>
              <w:ind w:right="22"/>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36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 xml:space="preserve"> 4,810,198</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 xml:space="preserve"> 4,874,350</w:t>
            </w:r>
          </w:p>
        </w:tc>
        <w:tc>
          <w:tcPr>
            <w:tcW w:w="4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18,634</w:t>
            </w:r>
          </w:p>
        </w:tc>
        <w:tc>
          <w:tcPr>
            <w:tcW w:w="1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$ 4,105,747</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$ 4,042,587</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16,635</w:t>
            </w:r>
          </w:p>
        </w:tc>
        <w:tc>
          <w:tcPr>
            <w:tcW w:w="20" w:type="dxa"/>
            <w:vAlign w:val="bottom"/>
          </w:tcPr>
          <w:p>
            <w:pPr>
              <w:spacing w:after="0"/>
              <w:rPr>
                <w:sz w:val="18"/>
                <w:szCs w:val="18"/>
                <w:color w:val="auto"/>
              </w:rPr>
            </w:pPr>
          </w:p>
        </w:tc>
      </w:tr>
      <w:tr>
        <w:trPr>
          <w:trHeight w:val="20"/>
        </w:trPr>
        <w:tc>
          <w:tcPr>
            <w:tcW w:w="96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During 2009, we entered into CMO transactions whereby we transferred agency securities with a cost basis of $831.0 million to various investment banks in exchange for cash proceeds of $845.3 million and at the same time entered into a commitment with the same investment banks to purchase to-be-issued securities collateralized by the agency securities transferred for $601.3 million. In each case, the investment bank contributed the transferred agency securities to a securitization trust held by either Fannie Mae or Freddie Mac in exchange for CMO securities held in the trust. Pursuant to the pre-existing commitment, the investment banks transferred to us certain of the CMO securities held in the trust, typically representing the longer maturity classes, or 70 to 75 percent of the cash flows of the agency securities initially transferred by us. Our primary purpose for entering into these transactions was to reduce our exposure to short-term spikes in prepayments by holding the longer maturity classes. We typically will not receive any repayments of principal on these CMO securities until holders of securities entitled to the shorter maturity classes are repaid in full.</w:t>
      </w:r>
    </w:p>
    <w:p>
      <w:pPr>
        <w:spacing w:after="0" w:line="105"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All of our CMO’s are backed by fixed or adjustable-rate agency securities and Fannie Mae or Freddie Mac guarantee the payment of interest and principal and act as the trustee and administrator of their respective securitization trusts. Our involvement with the trusts described above is limited to the agency securities transferred to them by the investment banks and the CMO securities subsequently held by us. As of March 31, 2010, the fair value of such CMO securities was $470.7 million. Including additional CMOs purchased from third parties in separate transactions, the total fair value of our CMO portfolio was $657.1 million as of March 31, 2010. As of December 31, 2009, the fair value of such CMO securities was $594.3 million. Including additional CMOs purchased from third parties in separate transactions, the total fair value of our CMO portfolio was $707.2 million as of December 31, 2009.</w:t>
      </w:r>
    </w:p>
    <w:p>
      <w:pPr>
        <w:spacing w:after="0" w:line="10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Our maximum exposure to loss as a result of our involvement with the trusts relates to the additional liquidity risk of holding CMO securities in a period of severe market dislocations as compared to the underlying collateral transferred to the trusts. The maximum exposure related to this risk is the fair value of the CMO securities.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borrowed are dependent upon the fair value of the agency securities pledged as collateral, which fluctuates with changes in interest rates, type of security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March 31, 2010 and December 31, 2009, we have met all margin call requirements. Due to their short-term nature, repurchase agreements are carried at cost, which approximates fair value.</w:t>
      </w:r>
    </w:p>
    <w:p>
      <w:pPr>
        <w:spacing w:after="0" w:line="12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borrowings under repurchase arrangements and weighted average interest rates classified by original maturities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December 31,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w w:val="93"/>
              </w:rPr>
              <w:t>As of March 31, 2010</w:t>
            </w:r>
          </w:p>
        </w:tc>
        <w:tc>
          <w:tcPr>
            <w:tcW w:w="780" w:type="dxa"/>
            <w:vAlign w:val="bottom"/>
            <w:tcBorders>
              <w:bottom w:val="single" w:sz="8" w:color="auto"/>
            </w:tcBorders>
          </w:tcPr>
          <w:p>
            <w:pPr>
              <w:spacing w:after="0"/>
              <w:rPr>
                <w:sz w:val="14"/>
                <w:szCs w:val="14"/>
                <w:color w:val="auto"/>
              </w:rPr>
            </w:pPr>
          </w:p>
        </w:tc>
        <w:tc>
          <w:tcPr>
            <w:tcW w:w="4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780" w:type="dxa"/>
            <w:vAlign w:val="bottom"/>
            <w:tcBorders>
              <w:bottom w:val="single" w:sz="8" w:color="auto"/>
            </w:tcBorders>
            <w:gridSpan w:val="3"/>
          </w:tcPr>
          <w:p>
            <w:pPr>
              <w:jc w:val="right"/>
              <w:ind w:right="240"/>
              <w:spacing w:after="0"/>
              <w:rPr>
                <w:sz w:val="20"/>
                <w:szCs w:val="20"/>
                <w:color w:val="auto"/>
              </w:rPr>
            </w:pPr>
            <w:r>
              <w:rPr>
                <w:rFonts w:ascii="Arial" w:cs="Arial" w:eastAsia="Arial" w:hAnsi="Arial"/>
                <w:sz w:val="14"/>
                <w:szCs w:val="14"/>
                <w:b w:val="1"/>
                <w:bCs w:val="1"/>
                <w:color w:val="auto"/>
                <w:w w:val="92"/>
              </w:rPr>
              <w:t>As of December 31, 2009</w:t>
            </w:r>
          </w:p>
        </w:tc>
        <w:tc>
          <w:tcPr>
            <w:tcW w:w="80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13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2"/>
          </w:tcPr>
          <w:p>
            <w:pPr>
              <w:jc w:val="center"/>
              <w:ind w:right="680"/>
              <w:spacing w:after="0" w:line="129" w:lineRule="exact"/>
              <w:rPr>
                <w:sz w:val="20"/>
                <w:szCs w:val="20"/>
                <w:color w:val="auto"/>
              </w:rPr>
            </w:pPr>
            <w:r>
              <w:rPr>
                <w:rFonts w:ascii="Arial" w:cs="Arial" w:eastAsia="Arial" w:hAnsi="Arial"/>
                <w:sz w:val="14"/>
                <w:szCs w:val="14"/>
                <w:b w:val="1"/>
                <w:bCs w:val="1"/>
                <w:color w:val="auto"/>
                <w:w w:val="83"/>
              </w:rPr>
              <w:t>Average</w:t>
            </w:r>
          </w:p>
        </w:tc>
        <w:tc>
          <w:tcPr>
            <w:tcW w:w="78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4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8"/>
              </w:rPr>
              <w:t>Weighted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800" w:type="dxa"/>
            <w:vAlign w:val="bottom"/>
          </w:tcPr>
          <w:p>
            <w:pPr>
              <w:spacing w:after="0"/>
              <w:rPr>
                <w:sz w:val="12"/>
                <w:szCs w:val="12"/>
                <w:color w:val="auto"/>
              </w:rPr>
            </w:pPr>
          </w:p>
        </w:tc>
        <w:tc>
          <w:tcPr>
            <w:tcW w:w="900" w:type="dxa"/>
            <w:vAlign w:val="bottom"/>
            <w:gridSpan w:val="2"/>
          </w:tcPr>
          <w:p>
            <w:pPr>
              <w:jc w:val="right"/>
              <w:ind w:right="160"/>
              <w:spacing w:after="0" w:line="149" w:lineRule="exact"/>
              <w:rPr>
                <w:sz w:val="20"/>
                <w:szCs w:val="20"/>
                <w:color w:val="auto"/>
              </w:rPr>
            </w:pPr>
            <w:r>
              <w:rPr>
                <w:rFonts w:ascii="Arial" w:cs="Arial" w:eastAsia="Arial" w:hAnsi="Arial"/>
                <w:sz w:val="14"/>
                <w:szCs w:val="14"/>
                <w:b w:val="1"/>
                <w:bCs w:val="1"/>
                <w:color w:val="auto"/>
                <w:w w:val="92"/>
              </w:rPr>
              <w:t>Borrowings</w:t>
            </w:r>
          </w:p>
        </w:tc>
        <w:tc>
          <w:tcPr>
            <w:tcW w:w="380" w:type="dxa"/>
            <w:vAlign w:val="bottom"/>
          </w:tcPr>
          <w:p>
            <w:pPr>
              <w:spacing w:after="0"/>
              <w:rPr>
                <w:sz w:val="12"/>
                <w:szCs w:val="12"/>
                <w:color w:val="auto"/>
              </w:rPr>
            </w:pPr>
          </w:p>
        </w:tc>
        <w:tc>
          <w:tcPr>
            <w:tcW w:w="1140" w:type="dxa"/>
            <w:vAlign w:val="bottom"/>
            <w:gridSpan w:val="2"/>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Interest</w:t>
            </w: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2"/>
              </w:rPr>
              <w:t>Average Days</w:t>
            </w:r>
          </w:p>
        </w:tc>
        <w:tc>
          <w:tcPr>
            <w:tcW w:w="480" w:type="dxa"/>
            <w:vAlign w:val="bottom"/>
          </w:tcPr>
          <w:p>
            <w:pPr>
              <w:spacing w:after="0"/>
              <w:rPr>
                <w:sz w:val="12"/>
                <w:szCs w:val="12"/>
                <w:color w:val="auto"/>
              </w:rPr>
            </w:pPr>
          </w:p>
        </w:tc>
        <w:tc>
          <w:tcPr>
            <w:tcW w:w="92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Borrowings</w:t>
            </w:r>
          </w:p>
        </w:tc>
        <w:tc>
          <w:tcPr>
            <w:tcW w:w="360" w:type="dxa"/>
            <w:vAlign w:val="bottom"/>
          </w:tcPr>
          <w:p>
            <w:pPr>
              <w:spacing w:after="0"/>
              <w:rPr>
                <w:sz w:val="12"/>
                <w:szCs w:val="12"/>
                <w:color w:val="auto"/>
              </w:rPr>
            </w:pPr>
          </w:p>
        </w:tc>
        <w:tc>
          <w:tcPr>
            <w:tcW w:w="1420" w:type="dxa"/>
            <w:vAlign w:val="bottom"/>
            <w:gridSpan w:val="2"/>
          </w:tcPr>
          <w:p>
            <w:pPr>
              <w:jc w:val="right"/>
              <w:ind w:right="820"/>
              <w:spacing w:after="0" w:line="149" w:lineRule="exact"/>
              <w:rPr>
                <w:sz w:val="20"/>
                <w:szCs w:val="20"/>
                <w:color w:val="auto"/>
              </w:rPr>
            </w:pPr>
            <w:r>
              <w:rPr>
                <w:rFonts w:ascii="Arial" w:cs="Arial" w:eastAsia="Arial" w:hAnsi="Arial"/>
                <w:sz w:val="14"/>
                <w:szCs w:val="14"/>
                <w:b w:val="1"/>
                <w:bCs w:val="1"/>
                <w:color w:val="auto"/>
              </w:rPr>
              <w:t>Average</w:t>
            </w:r>
          </w:p>
        </w:tc>
        <w:tc>
          <w:tcPr>
            <w:tcW w:w="820" w:type="dxa"/>
            <w:vAlign w:val="bottom"/>
            <w:gridSpan w:val="2"/>
          </w:tcPr>
          <w:p>
            <w:pPr>
              <w:jc w:val="right"/>
              <w:ind w:right="2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1340" w:type="dxa"/>
            <w:vAlign w:val="bottom"/>
          </w:tcPr>
          <w:p>
            <w:pPr>
              <w:spacing w:after="0"/>
              <w:rPr>
                <w:sz w:val="14"/>
                <w:szCs w:val="14"/>
                <w:color w:val="auto"/>
              </w:rPr>
            </w:pPr>
          </w:p>
        </w:tc>
        <w:tc>
          <w:tcPr>
            <w:tcW w:w="1100" w:type="dxa"/>
            <w:vAlign w:val="bottom"/>
          </w:tcPr>
          <w:p>
            <w:pPr>
              <w:ind w:left="20"/>
              <w:spacing w:after="0"/>
              <w:rPr>
                <w:sz w:val="20"/>
                <w:szCs w:val="20"/>
                <w:color w:val="auto"/>
              </w:rPr>
            </w:pPr>
            <w:r>
              <w:rPr>
                <w:rFonts w:ascii="Arial" w:cs="Arial" w:eastAsia="Arial" w:hAnsi="Arial"/>
                <w:sz w:val="14"/>
                <w:szCs w:val="14"/>
                <w:b w:val="1"/>
                <w:bCs w:val="1"/>
                <w:color w:val="auto"/>
                <w:w w:val="95"/>
              </w:rPr>
              <w:t>Original Maturity</w:t>
            </w:r>
          </w:p>
        </w:tc>
        <w:tc>
          <w:tcPr>
            <w:tcW w:w="180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80" w:type="dxa"/>
            <w:vAlign w:val="bottom"/>
          </w:tcPr>
          <w:p>
            <w:pPr>
              <w:jc w:val="center"/>
              <w:spacing w:after="0"/>
              <w:rPr>
                <w:sz w:val="20"/>
                <w:szCs w:val="20"/>
                <w:color w:val="auto"/>
              </w:rPr>
            </w:pPr>
            <w:r>
              <w:rPr>
                <w:rFonts w:ascii="Arial" w:cs="Arial" w:eastAsia="Arial" w:hAnsi="Arial"/>
                <w:sz w:val="14"/>
                <w:szCs w:val="14"/>
                <w:b w:val="1"/>
                <w:bCs w:val="1"/>
                <w:color w:val="auto"/>
                <w:w w:val="85"/>
              </w:rPr>
              <w:t>Rate</w:t>
            </w:r>
          </w:p>
        </w:tc>
        <w:tc>
          <w:tcPr>
            <w:tcW w:w="66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w w:val="97"/>
              </w:rPr>
              <w:t>to Maturity</w:t>
            </w:r>
          </w:p>
        </w:tc>
        <w:tc>
          <w:tcPr>
            <w:tcW w:w="480" w:type="dxa"/>
            <w:vAlign w:val="bottom"/>
          </w:tcPr>
          <w:p>
            <w:pPr>
              <w:spacing w:after="0"/>
              <w:rPr>
                <w:sz w:val="14"/>
                <w:szCs w:val="14"/>
                <w:color w:val="auto"/>
              </w:rPr>
            </w:pP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1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2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w w:val="84"/>
              </w:rPr>
              <w:t>Interest Rate</w:t>
            </w:r>
          </w:p>
        </w:tc>
        <w:tc>
          <w:tcPr>
            <w:tcW w:w="820" w:type="dxa"/>
            <w:vAlign w:val="bottom"/>
            <w:gridSpan w:val="2"/>
          </w:tcPr>
          <w:p>
            <w:pPr>
              <w:jc w:val="center"/>
              <w:ind w:right="20"/>
              <w:spacing w:after="0"/>
              <w:rPr>
                <w:sz w:val="20"/>
                <w:szCs w:val="20"/>
                <w:color w:val="auto"/>
              </w:rPr>
            </w:pPr>
            <w:r>
              <w:rPr>
                <w:rFonts w:ascii="Arial" w:cs="Arial" w:eastAsia="Arial" w:hAnsi="Arial"/>
                <w:sz w:val="14"/>
                <w:szCs w:val="14"/>
                <w:b w:val="1"/>
                <w:bCs w:val="1"/>
                <w:color w:val="auto"/>
                <w:w w:val="94"/>
              </w:rPr>
              <w:t>to Maturity</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340" w:type="dxa"/>
            <w:vAlign w:val="bottom"/>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110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$1,318,995</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$1,997,243</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tcPr>
          <w:p>
            <w:pPr>
              <w:spacing w:after="0"/>
              <w:rPr>
                <w:sz w:val="20"/>
                <w:szCs w:val="20"/>
                <w:color w:val="auto"/>
              </w:rPr>
            </w:pPr>
            <w:r>
              <w:rPr>
                <w:rFonts w:ascii="Arial" w:cs="Arial" w:eastAsia="Arial" w:hAnsi="Arial"/>
                <w:sz w:val="18"/>
                <w:szCs w:val="18"/>
                <w:color w:val="auto"/>
              </w:rPr>
              <w:t>31 - 60 days</w:t>
            </w:r>
          </w:p>
        </w:tc>
        <w:tc>
          <w:tcPr>
            <w:tcW w:w="2600" w:type="dxa"/>
            <w:vAlign w:val="bottom"/>
            <w:gridSpan w:val="2"/>
          </w:tcPr>
          <w:p>
            <w:pPr>
              <w:jc w:val="right"/>
              <w:spacing w:after="0"/>
              <w:rPr>
                <w:sz w:val="20"/>
                <w:szCs w:val="20"/>
                <w:color w:val="auto"/>
              </w:rPr>
            </w:pPr>
            <w:r>
              <w:rPr>
                <w:rFonts w:ascii="Arial" w:cs="Arial" w:eastAsia="Arial" w:hAnsi="Arial"/>
                <w:sz w:val="18"/>
                <w:szCs w:val="18"/>
                <w:color w:val="auto"/>
              </w:rPr>
              <w:t>2,856,437</w:t>
            </w:r>
          </w:p>
        </w:tc>
        <w:tc>
          <w:tcPr>
            <w:tcW w:w="100" w:type="dxa"/>
            <w:vAlign w:val="bottom"/>
          </w:tcPr>
          <w:p>
            <w:pPr>
              <w:spacing w:after="0"/>
              <w:rPr>
                <w:sz w:val="18"/>
                <w:szCs w:val="18"/>
                <w:color w:val="auto"/>
              </w:rPr>
            </w:pPr>
          </w:p>
        </w:tc>
        <w:tc>
          <w:tcPr>
            <w:tcW w:w="1520" w:type="dxa"/>
            <w:vAlign w:val="bottom"/>
            <w:gridSpan w:val="3"/>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tcPr>
          <w:p>
            <w:pPr>
              <w:jc w:val="right"/>
              <w:spacing w:after="0"/>
              <w:rPr>
                <w:sz w:val="20"/>
                <w:szCs w:val="20"/>
                <w:color w:val="auto"/>
              </w:rPr>
            </w:pPr>
            <w:r>
              <w:rPr>
                <w:rFonts w:ascii="Arial" w:cs="Arial" w:eastAsia="Arial" w:hAnsi="Arial"/>
                <w:sz w:val="18"/>
                <w:szCs w:val="18"/>
                <w:color w:val="auto"/>
              </w:rPr>
              <w:t>21</w:t>
            </w:r>
          </w:p>
        </w:tc>
        <w:tc>
          <w:tcPr>
            <w:tcW w:w="1400" w:type="dxa"/>
            <w:vAlign w:val="bottom"/>
            <w:gridSpan w:val="3"/>
          </w:tcPr>
          <w:p>
            <w:pPr>
              <w:jc w:val="right"/>
              <w:ind w:right="120"/>
              <w:spacing w:after="0"/>
              <w:rPr>
                <w:sz w:val="20"/>
                <w:szCs w:val="20"/>
                <w:color w:val="auto"/>
              </w:rPr>
            </w:pPr>
            <w:r>
              <w:rPr>
                <w:rFonts w:ascii="Arial" w:cs="Arial" w:eastAsia="Arial" w:hAnsi="Arial"/>
                <w:sz w:val="18"/>
                <w:szCs w:val="18"/>
                <w:color w:val="auto"/>
              </w:rPr>
              <w:t>967,625</w:t>
            </w:r>
          </w:p>
        </w:tc>
        <w:tc>
          <w:tcPr>
            <w:tcW w:w="1780" w:type="dxa"/>
            <w:vAlign w:val="bottom"/>
            <w:gridSpan w:val="3"/>
          </w:tcPr>
          <w:p>
            <w:pPr>
              <w:jc w:val="right"/>
              <w:ind w:right="520"/>
              <w:spacing w:after="0"/>
              <w:rPr>
                <w:sz w:val="20"/>
                <w:szCs w:val="20"/>
                <w:color w:val="auto"/>
              </w:rPr>
            </w:pPr>
            <w:r>
              <w:rPr>
                <w:rFonts w:ascii="Arial" w:cs="Arial" w:eastAsia="Arial" w:hAnsi="Arial"/>
                <w:sz w:val="18"/>
                <w:szCs w:val="18"/>
                <w:color w:val="auto"/>
              </w:rPr>
              <w:t>0.25%</w:t>
            </w:r>
          </w:p>
        </w:tc>
        <w:tc>
          <w:tcPr>
            <w:tcW w:w="800" w:type="dxa"/>
            <w:vAlign w:val="bottom"/>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61 - 90 days</w:t>
            </w:r>
          </w:p>
        </w:tc>
        <w:tc>
          <w:tcPr>
            <w:tcW w:w="2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475,683</w:t>
            </w:r>
          </w:p>
        </w:tc>
        <w:tc>
          <w:tcPr>
            <w:tcW w:w="100" w:type="dxa"/>
            <w:vAlign w:val="bottom"/>
            <w:shd w:val="clear" w:color="auto" w:fill="CCEEFF"/>
          </w:tcPr>
          <w:p>
            <w:pPr>
              <w:spacing w:after="0"/>
              <w:rPr>
                <w:sz w:val="18"/>
                <w:szCs w:val="18"/>
                <w:color w:val="auto"/>
              </w:rPr>
            </w:pPr>
          </w:p>
        </w:tc>
        <w:tc>
          <w:tcPr>
            <w:tcW w:w="15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0.22%</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327,945</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4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18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80" w:type="dxa"/>
            <w:vAlign w:val="bottom"/>
          </w:tcPr>
          <w:p>
            <w:pPr>
              <w:ind w:left="200"/>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549,021</w:t>
            </w:r>
          </w:p>
        </w:tc>
        <w:tc>
          <w:tcPr>
            <w:tcW w:w="1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20" w:type="dxa"/>
            <w:vAlign w:val="bottom"/>
            <w:gridSpan w:val="2"/>
          </w:tcPr>
          <w:p>
            <w:pPr>
              <w:jc w:val="right"/>
              <w:ind w:right="520"/>
              <w:spacing w:after="0"/>
              <w:rPr>
                <w:sz w:val="20"/>
                <w:szCs w:val="20"/>
                <w:color w:val="auto"/>
              </w:rPr>
            </w:pPr>
            <w:r>
              <w:rPr>
                <w:rFonts w:ascii="Arial" w:cs="Arial" w:eastAsia="Arial" w:hAnsi="Arial"/>
                <w:sz w:val="18"/>
                <w:szCs w:val="18"/>
                <w:color w:val="auto"/>
              </w:rPr>
              <w:t>0.27%</w:t>
            </w:r>
          </w:p>
        </w:tc>
        <w:tc>
          <w:tcPr>
            <w:tcW w:w="800" w:type="dxa"/>
            <w:vAlign w:val="bottom"/>
          </w:tcPr>
          <w:p>
            <w:pPr>
              <w:jc w:val="right"/>
              <w:spacing w:after="0"/>
              <w:rPr>
                <w:sz w:val="20"/>
                <w:szCs w:val="20"/>
                <w:color w:val="auto"/>
              </w:rPr>
            </w:pPr>
            <w:r>
              <w:rPr>
                <w:rFonts w:ascii="Arial" w:cs="Arial" w:eastAsia="Arial" w:hAnsi="Arial"/>
                <w:sz w:val="18"/>
                <w:szCs w:val="18"/>
                <w:color w:val="auto"/>
              </w:rPr>
              <w:t>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0" w:type="dxa"/>
            <w:vAlign w:val="bottom"/>
            <w:vMerge w:val="restart"/>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4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w w:val="97"/>
              </w:rPr>
              <w:t>Total / Weighted Average</w:t>
            </w:r>
          </w:p>
        </w:tc>
        <w:tc>
          <w:tcPr>
            <w:tcW w:w="18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4,651,115</w:t>
            </w:r>
          </w:p>
        </w:tc>
        <w:tc>
          <w:tcPr>
            <w:tcW w:w="152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4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3,841,834</w:t>
            </w:r>
          </w:p>
        </w:tc>
        <w:tc>
          <w:tcPr>
            <w:tcW w:w="17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0.24%</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60" w:firstLine="456"/>
        <w:spacing w:after="0" w:line="268" w:lineRule="auto"/>
        <w:rPr>
          <w:sz w:val="20"/>
          <w:szCs w:val="20"/>
          <w:color w:val="auto"/>
        </w:rPr>
      </w:pPr>
      <w:r>
        <w:rPr>
          <w:rFonts w:ascii="Arial" w:cs="Arial" w:eastAsia="Arial" w:hAnsi="Arial"/>
          <w:sz w:val="18"/>
          <w:szCs w:val="18"/>
          <w:color w:val="auto"/>
        </w:rPr>
        <w:t>As of March 31, 2010, we did not have an amount at risk with any counterparty greater than 10% of our stockholders’ equity. We do not anticipate any defaults by our repurchase agreement counterparties.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Derivative Instruments</w:t>
      </w:r>
    </w:p>
    <w:p>
      <w:pPr>
        <w:spacing w:after="0" w:line="83"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In connection with our risk management strategy, we hedge a portion of our interest rate risk by entering into derivative financial instrument contracts. We may enter into interest rate swap agreements, interest rate swaptions, TBA agency securities, caps, collars, floors, forward contracts, options or futures to attempt to manage the overall interest rate risk of the portfolio, reduce fluctuations in book value and generate additional income distributable to stockholders. For additional information regarding our derivative instruments and our overall risk management strategy, see discussion of derivative instruments in Note 3.</w:t>
      </w:r>
    </w:p>
    <w:p>
      <w:pPr>
        <w:spacing w:after="0" w:line="99" w:lineRule="exact"/>
        <w:rPr>
          <w:sz w:val="20"/>
          <w:szCs w:val="20"/>
          <w:color w:val="auto"/>
        </w:rPr>
      </w:pPr>
    </w:p>
    <w:p>
      <w:pPr>
        <w:ind w:right="300" w:firstLine="456"/>
        <w:spacing w:after="0" w:line="323" w:lineRule="auto"/>
        <w:rPr>
          <w:sz w:val="20"/>
          <w:szCs w:val="20"/>
          <w:color w:val="auto"/>
        </w:rPr>
      </w:pPr>
      <w:r>
        <w:rPr>
          <w:rFonts w:ascii="Arial" w:cs="Arial" w:eastAsia="Arial" w:hAnsi="Arial"/>
          <w:sz w:val="15"/>
          <w:szCs w:val="15"/>
          <w:color w:val="auto"/>
        </w:rPr>
        <w:t>As of March 31, 2010 and December 31, 2009, our derivative instruments were comprised primarily of interest rate swaps, which have the effect of modifying the repricing characteristics of our repurchase agreements and cash flows on such liabilities. Our interest rate swaps are used to manage the interest rate risk created by our variable rate short-term repurchase agreements. Under our interest rate swaps, we typically pay a fixed-rate and receive a floating rate based on one month LIBOR with terms usually ranging up to 5 years. Our interest rate swaps are generally designated as cash flow hedges under ASC 815.</w:t>
      </w:r>
    </w:p>
    <w:p>
      <w:pPr>
        <w:spacing w:after="0" w:line="8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Derivative instruments entered into in addition to interest rate swap agreements are intended to supplement our use of interest rate swaps and we do not currently expect our use of these instruments to be the primary protection against interest rate risk for our portfolio. These instruments are accounted for as derivatives, but are not typically designated as hedges under ASC 815. Therefore, any changes in the fair values of the contracts prior to their settlement date are included in earnings. We do not use derivative instruments for speculative purposes.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Designated as Hedging Instruments</w:t>
      </w:r>
    </w:p>
    <w:p>
      <w:pPr>
        <w:spacing w:after="0" w:line="77"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color w:val="auto"/>
        </w:rPr>
        <w:t>As of March 31, 2010 and December 31, 2009, we had net interest rate swaps liabilities of $27.8 million and $10.5 million, respectively. The tables below summarize information about our outstanding interest rate swaps as of March 31, 2010 and December 31, 2009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920" w:type="dxa"/>
            <w:vAlign w:val="bottom"/>
            <w:gridSpan w:val="3"/>
            <w:vMerge w:val="restart"/>
          </w:tcPr>
          <w:p>
            <w:pPr>
              <w:jc w:val="right"/>
              <w:ind w:right="80"/>
              <w:spacing w:after="0"/>
              <w:rPr>
                <w:sz w:val="20"/>
                <w:szCs w:val="20"/>
                <w:color w:val="auto"/>
              </w:rPr>
            </w:pPr>
            <w:r>
              <w:rPr>
                <w:rFonts w:ascii="Arial" w:cs="Arial" w:eastAsia="Arial" w:hAnsi="Arial"/>
                <w:sz w:val="14"/>
                <w:szCs w:val="14"/>
                <w:b w:val="1"/>
                <w:bCs w:val="1"/>
                <w:color w:val="auto"/>
                <w:w w:val="88"/>
              </w:rPr>
              <w:t>Derivatives Designated as Hedging Instruments</w:t>
            </w: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4"/>
            <w:vMerge w:val="restart"/>
          </w:tcPr>
          <w:p>
            <w:pPr>
              <w:jc w:val="right"/>
              <w:ind w:right="540"/>
              <w:spacing w:after="0"/>
              <w:rPr>
                <w:sz w:val="20"/>
                <w:szCs w:val="20"/>
                <w:color w:val="auto"/>
              </w:rPr>
            </w:pPr>
            <w:r>
              <w:rPr>
                <w:rFonts w:ascii="Arial" w:cs="Arial" w:eastAsia="Arial" w:hAnsi="Arial"/>
                <w:sz w:val="14"/>
                <w:szCs w:val="14"/>
                <w:b w:val="1"/>
                <w:bCs w:val="1"/>
                <w:color w:val="auto"/>
                <w:w w:val="86"/>
              </w:rPr>
              <w:t>Balance Sheet Location</w:t>
            </w:r>
          </w:p>
        </w:tc>
        <w:tc>
          <w:tcPr>
            <w:tcW w:w="4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gridSpan w:val="4"/>
          </w:tcPr>
          <w:p>
            <w:pPr>
              <w:jc w:val="right"/>
              <w:ind w:right="560"/>
              <w:spacing w:after="0"/>
              <w:rPr>
                <w:sz w:val="20"/>
                <w:szCs w:val="20"/>
                <w:color w:val="auto"/>
              </w:rPr>
            </w:pPr>
            <w:r>
              <w:rPr>
                <w:rFonts w:ascii="Arial" w:cs="Arial" w:eastAsia="Arial" w:hAnsi="Arial"/>
                <w:sz w:val="14"/>
                <w:szCs w:val="14"/>
                <w:b w:val="1"/>
                <w:bCs w:val="1"/>
                <w:color w:val="auto"/>
                <w:w w:val="91"/>
              </w:rPr>
              <w:t>As of</w:t>
            </w:r>
          </w:p>
        </w:tc>
        <w:tc>
          <w:tcPr>
            <w:tcW w:w="3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920" w:type="dxa"/>
            <w:vAlign w:val="bottom"/>
            <w:tcBorders>
              <w:bottom w:val="single" w:sz="8" w:color="auto"/>
            </w:tcBorders>
            <w:gridSpan w:val="3"/>
            <w:vMerge w:val="continue"/>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920" w:type="dxa"/>
            <w:vAlign w:val="bottom"/>
            <w:tcBorders>
              <w:bottom w:val="single" w:sz="8" w:color="auto"/>
            </w:tcBorders>
            <w:gridSpan w:val="4"/>
            <w:vMerge w:val="continue"/>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tcBorders>
              <w:bottom w:val="single" w:sz="8" w:color="auto"/>
            </w:tcBorders>
            <w:gridSpan w:val="3"/>
          </w:tcPr>
          <w:p>
            <w:pPr>
              <w:ind w:left="20"/>
              <w:spacing w:after="0" w:line="129" w:lineRule="exact"/>
              <w:rPr>
                <w:sz w:val="20"/>
                <w:szCs w:val="20"/>
                <w:color w:val="auto"/>
              </w:rPr>
            </w:pPr>
            <w:r>
              <w:rPr>
                <w:rFonts w:ascii="Arial" w:cs="Arial" w:eastAsia="Arial" w:hAnsi="Arial"/>
                <w:sz w:val="14"/>
                <w:szCs w:val="14"/>
                <w:b w:val="1"/>
                <w:bCs w:val="1"/>
                <w:color w:val="auto"/>
                <w:w w:val="88"/>
              </w:rPr>
              <w:t>March 31, 2010</w:t>
            </w: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tcBorders>
              <w:bottom w:val="single" w:sz="8" w:color="auto"/>
            </w:tcBorders>
            <w:gridSpan w:val="4"/>
          </w:tcPr>
          <w:p>
            <w:pPr>
              <w:jc w:val="right"/>
              <w:spacing w:after="0" w:line="129" w:lineRule="exact"/>
              <w:rPr>
                <w:sz w:val="20"/>
                <w:szCs w:val="20"/>
                <w:color w:val="auto"/>
              </w:rPr>
            </w:pPr>
            <w:r>
              <w:rPr>
                <w:rFonts w:ascii="Arial" w:cs="Arial" w:eastAsia="Arial" w:hAnsi="Arial"/>
                <w:sz w:val="14"/>
                <w:szCs w:val="14"/>
                <w:b w:val="1"/>
                <w:bCs w:val="1"/>
                <w:color w:val="auto"/>
                <w:w w:val="87"/>
              </w:rPr>
              <w:t>December 31, 2009</w:t>
            </w:r>
          </w:p>
        </w:tc>
        <w:tc>
          <w:tcPr>
            <w:tcW w:w="14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Interest rate swap assets</w:t>
            </w:r>
          </w:p>
        </w:tc>
        <w:tc>
          <w:tcPr>
            <w:tcW w:w="1560" w:type="dxa"/>
            <w:vAlign w:val="bottom"/>
            <w:shd w:val="clear" w:color="auto" w:fill="CCEEFF"/>
          </w:tcPr>
          <w:p>
            <w:pPr>
              <w:spacing w:after="0"/>
              <w:rPr>
                <w:sz w:val="18"/>
                <w:szCs w:val="18"/>
                <w:color w:val="auto"/>
              </w:rPr>
            </w:pPr>
          </w:p>
        </w:tc>
        <w:tc>
          <w:tcPr>
            <w:tcW w:w="2420" w:type="dxa"/>
            <w:vAlign w:val="bottom"/>
            <w:gridSpan w:val="6"/>
            <w:shd w:val="clear" w:color="auto" w:fill="CCEEFF"/>
          </w:tcPr>
          <w:p>
            <w:pPr>
              <w:spacing w:after="0"/>
              <w:rPr>
                <w:sz w:val="20"/>
                <w:szCs w:val="20"/>
                <w:color w:val="auto"/>
              </w:rPr>
            </w:pPr>
            <w:r>
              <w:rPr>
                <w:rFonts w:ascii="Arial" w:cs="Arial" w:eastAsia="Arial" w:hAnsi="Arial"/>
                <w:sz w:val="18"/>
                <w:szCs w:val="18"/>
                <w:color w:val="auto"/>
                <w:w w:val="99"/>
              </w:rPr>
              <w:t>Derivative assets, at fair value</w:t>
            </w:r>
          </w:p>
        </w:tc>
        <w:tc>
          <w:tcPr>
            <w:tcW w:w="840" w:type="dxa"/>
            <w:vAlign w:val="bottom"/>
            <w:gridSpan w:val="3"/>
            <w:shd w:val="clear" w:color="auto" w:fill="CCEEFF"/>
          </w:tcPr>
          <w:p>
            <w:pPr>
              <w:ind w:left="6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549</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4,205</w:t>
            </w:r>
          </w:p>
        </w:tc>
        <w:tc>
          <w:tcPr>
            <w:tcW w:w="1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Interest rate swap liabilities</w:t>
            </w:r>
          </w:p>
        </w:tc>
        <w:tc>
          <w:tcPr>
            <w:tcW w:w="1560" w:type="dxa"/>
            <w:vAlign w:val="bottom"/>
          </w:tcPr>
          <w:p>
            <w:pPr>
              <w:spacing w:after="0"/>
              <w:rPr>
                <w:sz w:val="18"/>
                <w:szCs w:val="18"/>
                <w:color w:val="auto"/>
              </w:rPr>
            </w:pPr>
          </w:p>
        </w:tc>
        <w:tc>
          <w:tcPr>
            <w:tcW w:w="2420" w:type="dxa"/>
            <w:vAlign w:val="bottom"/>
            <w:gridSpan w:val="6"/>
          </w:tcPr>
          <w:p>
            <w:pPr>
              <w:spacing w:after="0"/>
              <w:rPr>
                <w:sz w:val="20"/>
                <w:szCs w:val="20"/>
                <w:color w:val="auto"/>
              </w:rPr>
            </w:pPr>
            <w:r>
              <w:rPr>
                <w:rFonts w:ascii="Arial" w:cs="Arial" w:eastAsia="Arial" w:hAnsi="Arial"/>
                <w:sz w:val="18"/>
                <w:szCs w:val="18"/>
                <w:color w:val="auto"/>
                <w:w w:val="93"/>
              </w:rPr>
              <w:t>Derivative liabilities, at fair value</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8"/>
                <w:szCs w:val="18"/>
                <w:color w:val="auto"/>
              </w:rPr>
              <w:t>(28,396)</w:t>
            </w:r>
          </w:p>
        </w:tc>
        <w:tc>
          <w:tcPr>
            <w:tcW w:w="1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gridSpan w:val="3"/>
          </w:tcPr>
          <w:p>
            <w:pPr>
              <w:jc w:val="right"/>
              <w:ind w:right="60"/>
              <w:spacing w:after="0"/>
              <w:rPr>
                <w:sz w:val="20"/>
                <w:szCs w:val="20"/>
                <w:color w:val="auto"/>
              </w:rPr>
            </w:pPr>
            <w:r>
              <w:rPr>
                <w:rFonts w:ascii="Arial" w:cs="Arial" w:eastAsia="Arial" w:hAnsi="Arial"/>
                <w:sz w:val="18"/>
                <w:szCs w:val="18"/>
                <w:color w:val="auto"/>
              </w:rPr>
              <w:t>(14,719)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240" w:type="dxa"/>
            <w:vAlign w:val="bottom"/>
          </w:tcPr>
          <w:p>
            <w:pPr>
              <w:spacing w:after="0"/>
              <w:rPr>
                <w:sz w:val="2"/>
                <w:szCs w:val="2"/>
                <w:color w:val="auto"/>
              </w:rPr>
            </w:pPr>
          </w:p>
        </w:tc>
        <w:tc>
          <w:tcPr>
            <w:tcW w:w="20" w:type="dxa"/>
            <w:vAlign w:val="bottom"/>
          </w:tcPr>
          <w:p>
            <w:pPr>
              <w:spacing w:after="0"/>
              <w:rPr>
                <w:sz w:val="2"/>
                <w:szCs w:val="2"/>
                <w:color w:val="auto"/>
              </w:rPr>
            </w:pPr>
          </w:p>
        </w:tc>
        <w:tc>
          <w:tcPr>
            <w:tcW w:w="15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gridSpan w:val="2"/>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(27,847)</w:t>
            </w:r>
          </w:p>
        </w:tc>
        <w:tc>
          <w:tcPr>
            <w:tcW w:w="1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(10,514)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gridSpan w:val="2"/>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6"/>
          </w:tcPr>
          <w:p>
            <w:pPr>
              <w:jc w:val="right"/>
              <w:ind w:right="480"/>
              <w:spacing w:after="0"/>
              <w:rPr>
                <w:sz w:val="20"/>
                <w:szCs w:val="20"/>
                <w:color w:val="auto"/>
              </w:rPr>
            </w:pPr>
            <w:r>
              <w:rPr>
                <w:rFonts w:ascii="Arial" w:cs="Arial" w:eastAsia="Arial" w:hAnsi="Arial"/>
                <w:sz w:val="14"/>
                <w:szCs w:val="14"/>
                <w:b w:val="1"/>
                <w:bCs w:val="1"/>
                <w:color w:val="auto"/>
              </w:rPr>
              <w:t>As of March 31, 2010</w:t>
            </w: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320" w:type="dxa"/>
            <w:vAlign w:val="bottom"/>
          </w:tcPr>
          <w:p>
            <w:pPr>
              <w:spacing w:after="0"/>
              <w:rPr>
                <w:sz w:val="11"/>
                <w:szCs w:val="11"/>
                <w:color w:val="auto"/>
              </w:rPr>
            </w:pPr>
          </w:p>
        </w:tc>
        <w:tc>
          <w:tcPr>
            <w:tcW w:w="5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6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420" w:type="dxa"/>
            <w:vAlign w:val="bottom"/>
            <w:gridSpan w:val="5"/>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Average</w:t>
            </w:r>
          </w:p>
        </w:tc>
        <w:tc>
          <w:tcPr>
            <w:tcW w:w="90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Estimated</w:t>
            </w:r>
          </w:p>
        </w:tc>
        <w:tc>
          <w:tcPr>
            <w:tcW w:w="320" w:type="dxa"/>
            <w:vAlign w:val="bottom"/>
          </w:tcPr>
          <w:p>
            <w:pPr>
              <w:spacing w:after="0"/>
              <w:rPr>
                <w:sz w:val="12"/>
                <w:szCs w:val="12"/>
                <w:color w:val="auto"/>
              </w:rPr>
            </w:pPr>
          </w:p>
        </w:tc>
        <w:tc>
          <w:tcPr>
            <w:tcW w:w="54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9"/>
              </w:rPr>
              <w:t>Remaining Interest Rate Swap Term</w:t>
            </w:r>
          </w:p>
        </w:tc>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1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Receive Rate</w:t>
            </w:r>
          </w:p>
        </w:tc>
        <w:tc>
          <w:tcPr>
            <w:tcW w:w="660" w:type="dxa"/>
            <w:vAlign w:val="bottom"/>
            <w:gridSpan w:val="2"/>
          </w:tcPr>
          <w:p>
            <w:pPr>
              <w:spacing w:after="0"/>
              <w:rPr>
                <w:sz w:val="14"/>
                <w:szCs w:val="14"/>
                <w:color w:val="auto"/>
              </w:rPr>
            </w:pPr>
          </w:p>
        </w:tc>
        <w:tc>
          <w:tcPr>
            <w:tcW w:w="6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1 year and less than 3 years</w:t>
            </w:r>
          </w:p>
        </w:tc>
        <w:tc>
          <w:tcPr>
            <w:tcW w:w="15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1,650,000</w:t>
            </w: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1.71%</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0.24%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right"/>
              <w:ind w:right="200"/>
              <w:spacing w:after="0"/>
              <w:rPr>
                <w:sz w:val="20"/>
                <w:szCs w:val="20"/>
                <w:color w:val="auto"/>
              </w:rPr>
            </w:pPr>
            <w:r>
              <w:rPr>
                <w:rFonts w:ascii="Arial" w:cs="Arial" w:eastAsia="Arial" w:hAnsi="Arial"/>
                <w:sz w:val="18"/>
                <w:szCs w:val="18"/>
                <w:color w:val="auto"/>
                <w:w w:val="86"/>
              </w:rPr>
              <w:t>(19,178)</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2.69%</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(8,669)</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5 years</w:t>
            </w:r>
          </w:p>
        </w:tc>
        <w:tc>
          <w:tcPr>
            <w:tcW w:w="15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w:t>
            </w:r>
          </w:p>
        </w:tc>
        <w:tc>
          <w:tcPr>
            <w:tcW w:w="1960" w:type="dxa"/>
            <w:vAlign w:val="bottom"/>
            <w:gridSpan w:val="2"/>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2,350,000</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2.00%</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0.24%</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(27,847)</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gridSpan w:val="3"/>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6"/>
          </w:tcPr>
          <w:p>
            <w:pPr>
              <w:jc w:val="right"/>
              <w:ind w:right="380"/>
              <w:spacing w:after="0"/>
              <w:rPr>
                <w:sz w:val="20"/>
                <w:szCs w:val="20"/>
                <w:color w:val="auto"/>
              </w:rPr>
            </w:pPr>
            <w:r>
              <w:rPr>
                <w:rFonts w:ascii="Arial" w:cs="Arial" w:eastAsia="Arial" w:hAnsi="Arial"/>
                <w:sz w:val="14"/>
                <w:szCs w:val="14"/>
                <w:b w:val="1"/>
                <w:bCs w:val="1"/>
                <w:color w:val="auto"/>
                <w:w w:val="90"/>
              </w:rPr>
              <w:t>As of December 31, 2009</w:t>
            </w:r>
          </w:p>
        </w:tc>
        <w:tc>
          <w:tcPr>
            <w:tcW w:w="1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320" w:type="dxa"/>
            <w:vAlign w:val="bottom"/>
          </w:tcPr>
          <w:p>
            <w:pPr>
              <w:spacing w:after="0"/>
              <w:rPr>
                <w:sz w:val="11"/>
                <w:szCs w:val="11"/>
                <w:color w:val="auto"/>
              </w:rPr>
            </w:pPr>
          </w:p>
        </w:tc>
        <w:tc>
          <w:tcPr>
            <w:tcW w:w="52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46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420" w:type="dxa"/>
            <w:vAlign w:val="bottom"/>
            <w:gridSpan w:val="5"/>
          </w:tcPr>
          <w:p>
            <w:pPr>
              <w:jc w:val="center"/>
              <w:ind w:right="660"/>
              <w:spacing w:after="0" w:line="149" w:lineRule="exact"/>
              <w:rPr>
                <w:sz w:val="20"/>
                <w:szCs w:val="20"/>
                <w:color w:val="auto"/>
              </w:rPr>
            </w:pPr>
            <w:r>
              <w:rPr>
                <w:rFonts w:ascii="Arial" w:cs="Arial" w:eastAsia="Arial" w:hAnsi="Arial"/>
                <w:sz w:val="14"/>
                <w:szCs w:val="14"/>
                <w:b w:val="1"/>
                <w:bCs w:val="1"/>
                <w:color w:val="auto"/>
                <w:w w:val="86"/>
              </w:rPr>
              <w:t>Average</w:t>
            </w:r>
          </w:p>
        </w:tc>
        <w:tc>
          <w:tcPr>
            <w:tcW w:w="90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Estimated</w:t>
            </w:r>
          </w:p>
        </w:tc>
        <w:tc>
          <w:tcPr>
            <w:tcW w:w="320" w:type="dxa"/>
            <w:vAlign w:val="bottom"/>
          </w:tcPr>
          <w:p>
            <w:pPr>
              <w:spacing w:after="0"/>
              <w:rPr>
                <w:sz w:val="12"/>
                <w:szCs w:val="12"/>
                <w:color w:val="auto"/>
              </w:rPr>
            </w:pPr>
          </w:p>
        </w:tc>
        <w:tc>
          <w:tcPr>
            <w:tcW w:w="540" w:type="dxa"/>
            <w:vAlign w:val="bottom"/>
            <w:gridSpan w:val="3"/>
          </w:tcPr>
          <w:p>
            <w:pPr>
              <w:jc w:val="right"/>
              <w:ind w:right="2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89"/>
              </w:rPr>
              <w:t>Remaining Interest Rate Swap Term</w:t>
            </w:r>
          </w:p>
        </w:tc>
        <w:tc>
          <w:tcPr>
            <w:tcW w:w="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Amount</w:t>
            </w:r>
          </w:p>
        </w:tc>
        <w:tc>
          <w:tcPr>
            <w:tcW w:w="460" w:type="dxa"/>
            <w:vAlign w:val="bottom"/>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1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Receive Rate</w:t>
            </w:r>
          </w:p>
        </w:tc>
        <w:tc>
          <w:tcPr>
            <w:tcW w:w="660" w:type="dxa"/>
            <w:vAlign w:val="bottom"/>
            <w:gridSpan w:val="2"/>
          </w:tcPr>
          <w:p>
            <w:pPr>
              <w:spacing w:after="0"/>
              <w:rPr>
                <w:sz w:val="14"/>
                <w:szCs w:val="14"/>
                <w:color w:val="auto"/>
              </w:rPr>
            </w:pPr>
          </w:p>
        </w:tc>
        <w:tc>
          <w:tcPr>
            <w:tcW w:w="6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9"/>
              </w:rPr>
              <w:t>Fair Value</w:t>
            </w: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5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(Years)</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7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1 year and less than 3 years</w:t>
            </w:r>
          </w:p>
        </w:tc>
        <w:tc>
          <w:tcPr>
            <w:tcW w:w="15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1,500,000</w:t>
            </w:r>
          </w:p>
        </w:tc>
        <w:tc>
          <w:tcPr>
            <w:tcW w:w="1220" w:type="dxa"/>
            <w:vAlign w:val="bottom"/>
            <w:gridSpan w:val="3"/>
          </w:tcPr>
          <w:p>
            <w:pPr>
              <w:jc w:val="right"/>
              <w:ind w:right="40"/>
              <w:spacing w:after="0"/>
              <w:rPr>
                <w:sz w:val="20"/>
                <w:szCs w:val="20"/>
                <w:color w:val="auto"/>
              </w:rPr>
            </w:pPr>
            <w:r>
              <w:rPr>
                <w:rFonts w:ascii="Arial" w:cs="Arial" w:eastAsia="Arial" w:hAnsi="Arial"/>
                <w:sz w:val="18"/>
                <w:szCs w:val="18"/>
                <w:color w:val="auto"/>
              </w:rPr>
              <w:t>1.71%</w:t>
            </w: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3"/>
          </w:tcPr>
          <w:p>
            <w:pPr>
              <w:jc w:val="right"/>
              <w:ind w:right="200"/>
              <w:spacing w:after="0"/>
              <w:rPr>
                <w:sz w:val="20"/>
                <w:szCs w:val="20"/>
                <w:color w:val="auto"/>
              </w:rPr>
            </w:pPr>
            <w:r>
              <w:rPr>
                <w:rFonts w:ascii="Arial" w:cs="Arial" w:eastAsia="Arial" w:hAnsi="Arial"/>
                <w:sz w:val="18"/>
                <w:szCs w:val="18"/>
                <w:color w:val="auto"/>
              </w:rPr>
              <w:t>(9,681)</w:t>
            </w:r>
          </w:p>
        </w:tc>
        <w:tc>
          <w:tcPr>
            <w:tcW w:w="840" w:type="dxa"/>
            <w:vAlign w:val="bottom"/>
            <w:gridSpan w:val="3"/>
          </w:tcPr>
          <w:p>
            <w:pPr>
              <w:jc w:val="right"/>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15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2.71%</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(833)</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780" w:type="dxa"/>
            <w:vAlign w:val="bottom"/>
            <w:gridSpan w:val="4"/>
          </w:tcPr>
          <w:p>
            <w:pPr>
              <w:spacing w:after="0"/>
              <w:rPr>
                <w:sz w:val="20"/>
                <w:szCs w:val="20"/>
                <w:color w:val="auto"/>
              </w:rPr>
            </w:pPr>
            <w:r>
              <w:rPr>
                <w:rFonts w:ascii="Arial" w:cs="Arial" w:eastAsia="Arial" w:hAnsi="Arial"/>
                <w:sz w:val="18"/>
                <w:szCs w:val="18"/>
                <w:color w:val="auto"/>
              </w:rPr>
              <w:t>Greater than 5 years</w:t>
            </w:r>
          </w:p>
        </w:tc>
        <w:tc>
          <w:tcPr>
            <w:tcW w:w="15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9"/>
                <w:szCs w:val="19"/>
                <w:color w:val="auto"/>
              </w:rPr>
            </w:pPr>
          </w:p>
        </w:tc>
        <w:tc>
          <w:tcPr>
            <w:tcW w:w="580" w:type="dxa"/>
            <w:vAlign w:val="bottom"/>
            <w:tcBorders>
              <w:bottom w:val="single" w:sz="8" w:color="auto"/>
            </w:tcBorders>
          </w:tcPr>
          <w:p>
            <w:pPr>
              <w:jc w:val="right"/>
              <w:ind w:right="3"/>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gridSpan w:val="2"/>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20" w:type="dxa"/>
            <w:vAlign w:val="bottom"/>
            <w:tcBorders>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Total</w:t>
            </w:r>
          </w:p>
        </w:tc>
        <w:tc>
          <w:tcPr>
            <w:tcW w:w="206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2,050,000</w:t>
            </w:r>
          </w:p>
        </w:tc>
        <w:tc>
          <w:tcPr>
            <w:tcW w:w="122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1.98%</w:t>
            </w: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0.23%</w:t>
            </w:r>
          </w:p>
        </w:tc>
        <w:tc>
          <w:tcPr>
            <w:tcW w:w="3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(10,514)</w:t>
            </w:r>
          </w:p>
        </w:tc>
        <w:tc>
          <w:tcPr>
            <w:tcW w:w="8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During the three months ended March 31, 2010 and 2009, we entered into interest rate swaps designated as hedging instruments with combined notional amounts of $300.0 million and $250.0 million, respectively. During the three months ended March 31, 2010, we did not terminate any interest rate swaps designated as hedging instruments. During the three months ended March 31, 2009, we terminated interest rate swaps designated as hedging instruments with notional amounts of $200.0 million, resulting in net settlement payments of $6.5 million equal to their fair value on the date of termination. The net settlements are amortized into earnings over the remaining life of the terminated interest rate swaps and included in interest expense on our consolidated statements of operations and comprehensive income. Amortization expense for the terminated swaps was $3.7 million and $0.3 million for the three months ended March 31, 2010 and 2009, respectively. As of March 31, 2010, the unamortized amount of fees associated with terminated swaps to be amortized through the second quarter of 2010 was $2.6 million.</w:t>
      </w:r>
    </w:p>
    <w:p>
      <w:pPr>
        <w:spacing w:after="0" w:line="105"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During the three months ended March 31, 2010 and 2009, we recorded losses of zero and $1.0 million, respectively, as a result of the reclassification from OCI of hedged forecasted transactions becoming probable not to occur and a loss of $0.2 million and a gain of $0.6 million, respectively, in gain (loss) on derivative instruments, net in our consolidated statements of operations and comprehensive income for hedge ineffectiveness on our outstanding interest rate swaps.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the effect of interest rate swaps designated as hedges under ASC 815 on our income statement for the three months ended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2009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8"/>
              </w:rPr>
              <w:t>Amount of</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90"/>
              </w:rPr>
              <w:t>Gain or (Loss)</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3"/>
              </w:rPr>
              <w:t>Recognized</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7"/>
              </w:rPr>
              <w:t>Gain or</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Location of</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in Earnings</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Location of Gain</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(Loss)</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Gain or (Loss)</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(Ineffective</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3"/>
              </w:rPr>
              <w:t>or (Loss)</w:t>
            </w:r>
          </w:p>
        </w:tc>
        <w:tc>
          <w:tcPr>
            <w:tcW w:w="10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3"/>
              </w:rPr>
              <w:t>Reclassified</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Portion and</w:t>
            </w:r>
          </w:p>
        </w:tc>
      </w:tr>
      <w:tr>
        <w:trPr>
          <w:trHeight w:val="149"/>
        </w:trPr>
        <w:tc>
          <w:tcPr>
            <w:tcW w:w="37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Gain or (Loss)</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6"/>
              </w:rPr>
              <w:t>from OCI</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Earnings (Ineffective</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Amount</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Derivatives</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OCI into</w:t>
            </w:r>
          </w:p>
        </w:tc>
        <w:tc>
          <w:tcPr>
            <w:tcW w:w="80" w:type="dxa"/>
            <w:vAlign w:val="bottom"/>
          </w:tcPr>
          <w:p>
            <w:pPr>
              <w:spacing w:after="0"/>
              <w:rPr>
                <w:sz w:val="12"/>
                <w:szCs w:val="12"/>
                <w:color w:val="auto"/>
              </w:rPr>
            </w:pPr>
          </w:p>
        </w:tc>
        <w:tc>
          <w:tcPr>
            <w:tcW w:w="10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into</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Portion and Amount</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Excluded</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in Cash Flow</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rPr>
              <w:t>OCI</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Earnings</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6"/>
              </w:rPr>
              <w:t>Earnings</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Excluded from</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from</w:t>
            </w:r>
          </w:p>
        </w:tc>
      </w:tr>
      <w:tr>
        <w:trPr>
          <w:trHeight w:val="149"/>
        </w:trPr>
        <w:tc>
          <w:tcPr>
            <w:tcW w:w="374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Hedging</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85"/>
              </w:rPr>
              <w:t>(Effective</w:t>
            </w:r>
          </w:p>
        </w:tc>
        <w:tc>
          <w:tcPr>
            <w:tcW w:w="13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(Effective</w:t>
            </w:r>
          </w:p>
        </w:tc>
        <w:tc>
          <w:tcPr>
            <w:tcW w:w="80" w:type="dxa"/>
            <w:vAlign w:val="bottom"/>
          </w:tcPr>
          <w:p>
            <w:pPr>
              <w:spacing w:after="0"/>
              <w:rPr>
                <w:sz w:val="12"/>
                <w:szCs w:val="12"/>
                <w:color w:val="auto"/>
              </w:rPr>
            </w:pPr>
          </w:p>
        </w:tc>
        <w:tc>
          <w:tcPr>
            <w:tcW w:w="10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8"/>
              </w:rPr>
              <w:t>(Effective</w:t>
            </w:r>
          </w:p>
        </w:tc>
        <w:tc>
          <w:tcPr>
            <w:tcW w:w="15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Effectiveness</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1"/>
              </w:rPr>
              <w:t>Effectiveness</w:t>
            </w:r>
          </w:p>
        </w:tc>
      </w:tr>
      <w:tr>
        <w:trPr>
          <w:trHeight w:val="161"/>
        </w:trPr>
        <w:tc>
          <w:tcPr>
            <w:tcW w:w="374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84"/>
              </w:rPr>
              <w:t>Relationships</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Portion)</w:t>
            </w:r>
          </w:p>
        </w:tc>
        <w:tc>
          <w:tcPr>
            <w:tcW w:w="13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Portion)</w:t>
            </w:r>
          </w:p>
        </w:tc>
        <w:tc>
          <w:tcPr>
            <w:tcW w:w="80" w:type="dxa"/>
            <w:vAlign w:val="bottom"/>
          </w:tcPr>
          <w:p>
            <w:pPr>
              <w:spacing w:after="0"/>
              <w:rPr>
                <w:sz w:val="14"/>
                <w:szCs w:val="14"/>
                <w:color w:val="auto"/>
              </w:rPr>
            </w:pPr>
          </w:p>
        </w:tc>
        <w:tc>
          <w:tcPr>
            <w:tcW w:w="10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Portion)(1)</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w w:val="88"/>
              </w:rPr>
              <w:t>Testing)</w:t>
            </w: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4"/>
              </w:rPr>
              <w:t>Testing)</w:t>
            </w:r>
          </w:p>
        </w:tc>
      </w:tr>
      <w:tr>
        <w:trPr>
          <w:trHeight w:val="131"/>
        </w:trPr>
        <w:tc>
          <w:tcPr>
            <w:tcW w:w="3740" w:type="dxa"/>
            <w:vAlign w:val="bottom"/>
            <w:shd w:val="clear" w:color="auto" w:fill="CCEEFF"/>
          </w:tcPr>
          <w:p>
            <w:pPr>
              <w:spacing w:after="0" w:line="131" w:lineRule="exact"/>
              <w:rPr>
                <w:sz w:val="20"/>
                <w:szCs w:val="20"/>
                <w:color w:val="auto"/>
              </w:rPr>
            </w:pPr>
            <w:r>
              <w:rPr>
                <w:rFonts w:ascii="Arial" w:cs="Arial" w:eastAsia="Arial" w:hAnsi="Arial"/>
                <w:sz w:val="14"/>
                <w:szCs w:val="14"/>
                <w:color w:val="auto"/>
              </w:rPr>
              <w:t>Three months ended March 31, 2010</w:t>
            </w:r>
          </w:p>
        </w:tc>
        <w:tc>
          <w:tcPr>
            <w:tcW w:w="880" w:type="dxa"/>
            <w:vAlign w:val="bottom"/>
            <w:tcBorders>
              <w:top w:val="single" w:sz="8" w:color="auto"/>
            </w:tcBorders>
            <w:shd w:val="clear" w:color="auto" w:fill="CCEEFF"/>
          </w:tcPr>
          <w:p>
            <w:pPr>
              <w:spacing w:after="0" w:line="131" w:lineRule="exact"/>
              <w:rPr>
                <w:sz w:val="20"/>
                <w:szCs w:val="20"/>
                <w:color w:val="auto"/>
              </w:rPr>
            </w:pPr>
            <w:r>
              <w:rPr>
                <w:rFonts w:ascii="Arial" w:cs="Arial" w:eastAsia="Arial" w:hAnsi="Arial"/>
                <w:sz w:val="14"/>
                <w:szCs w:val="14"/>
                <w:color w:val="auto"/>
              </w:rPr>
              <w:t>Interest rate</w:t>
            </w:r>
          </w:p>
        </w:tc>
        <w:tc>
          <w:tcPr>
            <w:tcW w:w="2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90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120" w:type="dxa"/>
            <w:vAlign w:val="bottom"/>
            <w:tcBorders>
              <w:top w:val="single" w:sz="8" w:color="auto"/>
            </w:tcBorders>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 w:type="dxa"/>
            <w:vAlign w:val="bottom"/>
            <w:tcBorders>
              <w:top w:val="single" w:sz="8" w:color="auto"/>
            </w:tcBorders>
            <w:shd w:val="clear" w:color="auto" w:fill="CCEEFF"/>
          </w:tcPr>
          <w:p>
            <w:pPr>
              <w:spacing w:after="0"/>
              <w:rPr>
                <w:sz w:val="11"/>
                <w:szCs w:val="11"/>
                <w:color w:val="auto"/>
              </w:rPr>
            </w:pPr>
          </w:p>
        </w:tc>
        <w:tc>
          <w:tcPr>
            <w:tcW w:w="700" w:type="dxa"/>
            <w:vAlign w:val="bottom"/>
            <w:tcBorders>
              <w:top w:val="single" w:sz="8" w:color="auto"/>
            </w:tcBorders>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1560" w:type="dxa"/>
            <w:vAlign w:val="bottom"/>
            <w:tcBorders>
              <w:top w:val="single" w:sz="8" w:color="auto"/>
            </w:tcBorders>
            <w:shd w:val="clear" w:color="auto" w:fill="CCEEFF"/>
          </w:tcPr>
          <w:p>
            <w:pPr>
              <w:spacing w:after="0" w:line="131" w:lineRule="exact"/>
              <w:rPr>
                <w:sz w:val="20"/>
                <w:szCs w:val="20"/>
                <w:color w:val="auto"/>
              </w:rPr>
            </w:pPr>
            <w:r>
              <w:rPr>
                <w:rFonts w:ascii="Arial" w:cs="Arial" w:eastAsia="Arial" w:hAnsi="Arial"/>
                <w:sz w:val="14"/>
                <w:szCs w:val="14"/>
                <w:color w:val="auto"/>
              </w:rPr>
              <w:t>Gain (loss) on derivative</w:t>
            </w:r>
          </w:p>
        </w:tc>
        <w:tc>
          <w:tcPr>
            <w:tcW w:w="220" w:type="dxa"/>
            <w:vAlign w:val="bottom"/>
            <w:shd w:val="clear" w:color="auto" w:fill="CCEEFF"/>
          </w:tcPr>
          <w:p>
            <w:pPr>
              <w:spacing w:after="0"/>
              <w:rPr>
                <w:sz w:val="11"/>
                <w:szCs w:val="11"/>
                <w:color w:val="auto"/>
              </w:rPr>
            </w:pPr>
          </w:p>
        </w:tc>
        <w:tc>
          <w:tcPr>
            <w:tcW w:w="60" w:type="dxa"/>
            <w:vAlign w:val="bottom"/>
            <w:tcBorders>
              <w:top w:val="single" w:sz="8" w:color="auto"/>
            </w:tcBorders>
            <w:shd w:val="clear" w:color="auto" w:fill="CCEEFF"/>
          </w:tcPr>
          <w:p>
            <w:pPr>
              <w:spacing w:after="0"/>
              <w:rPr>
                <w:sz w:val="11"/>
                <w:szCs w:val="11"/>
                <w:color w:val="auto"/>
              </w:rPr>
            </w:pPr>
          </w:p>
        </w:tc>
        <w:tc>
          <w:tcPr>
            <w:tcW w:w="940" w:type="dxa"/>
            <w:vAlign w:val="bottom"/>
            <w:tcBorders>
              <w:top w:val="single" w:sz="8" w:color="auto"/>
            </w:tcBorders>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r>
      <w:tr>
        <w:trPr>
          <w:trHeight w:val="159"/>
        </w:trPr>
        <w:tc>
          <w:tcPr>
            <w:tcW w:w="374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swaps</w:t>
            </w:r>
          </w:p>
        </w:tc>
        <w:tc>
          <w:tcPr>
            <w:tcW w:w="30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200" w:type="dxa"/>
            <w:vAlign w:val="bottom"/>
            <w:gridSpan w:val="2"/>
            <w:shd w:val="clear" w:color="auto" w:fill="CCEEFF"/>
          </w:tcPr>
          <w:p>
            <w:pPr>
              <w:jc w:val="right"/>
              <w:ind w:right="260"/>
              <w:spacing w:after="0" w:line="159" w:lineRule="exact"/>
              <w:rPr>
                <w:sz w:val="20"/>
                <w:szCs w:val="20"/>
                <w:color w:val="auto"/>
              </w:rPr>
            </w:pPr>
            <w:r>
              <w:rPr>
                <w:rFonts w:ascii="Arial" w:cs="Arial" w:eastAsia="Arial" w:hAnsi="Arial"/>
                <w:sz w:val="14"/>
                <w:szCs w:val="14"/>
                <w:color w:val="auto"/>
              </w:rPr>
              <w:t>(17,334)</w:t>
            </w:r>
          </w:p>
        </w:tc>
        <w:tc>
          <w:tcPr>
            <w:tcW w:w="1340" w:type="dxa"/>
            <w:vAlign w:val="bottom"/>
            <w:gridSpan w:val="2"/>
            <w:shd w:val="clear" w:color="auto" w:fill="CCEEFF"/>
          </w:tcPr>
          <w:p>
            <w:pPr>
              <w:ind w:left="240"/>
              <w:spacing w:after="0" w:line="159" w:lineRule="exact"/>
              <w:rPr>
                <w:sz w:val="20"/>
                <w:szCs w:val="20"/>
                <w:color w:val="auto"/>
              </w:rPr>
            </w:pPr>
            <w:r>
              <w:rPr>
                <w:rFonts w:ascii="Arial" w:cs="Arial" w:eastAsia="Arial" w:hAnsi="Arial"/>
                <w:sz w:val="14"/>
                <w:szCs w:val="14"/>
                <w:color w:val="auto"/>
              </w:rPr>
              <w:t>Interest Expense</w:t>
            </w:r>
          </w:p>
        </w:tc>
        <w:tc>
          <w:tcPr>
            <w:tcW w:w="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w w:val="76"/>
              </w:rPr>
              <w:t>$</w:t>
            </w:r>
          </w:p>
        </w:tc>
        <w:tc>
          <w:tcPr>
            <w:tcW w:w="1000" w:type="dxa"/>
            <w:vAlign w:val="bottom"/>
            <w:gridSpan w:val="2"/>
            <w:shd w:val="clear" w:color="auto" w:fill="CCEEFF"/>
          </w:tcPr>
          <w:p>
            <w:pPr>
              <w:jc w:val="right"/>
              <w:ind w:right="240"/>
              <w:spacing w:after="0" w:line="159" w:lineRule="exact"/>
              <w:rPr>
                <w:sz w:val="20"/>
                <w:szCs w:val="20"/>
                <w:color w:val="auto"/>
              </w:rPr>
            </w:pPr>
            <w:r>
              <w:rPr>
                <w:rFonts w:ascii="Arial" w:cs="Arial" w:eastAsia="Arial" w:hAnsi="Arial"/>
                <w:sz w:val="14"/>
                <w:szCs w:val="14"/>
                <w:color w:val="auto"/>
              </w:rPr>
              <w:t>(13,327)</w:t>
            </w:r>
          </w:p>
        </w:tc>
        <w:tc>
          <w:tcPr>
            <w:tcW w:w="1560" w:type="dxa"/>
            <w:vAlign w:val="bottom"/>
            <w:shd w:val="clear" w:color="auto" w:fill="CCEEFF"/>
          </w:tcPr>
          <w:p>
            <w:pPr>
              <w:spacing w:after="0" w:line="159" w:lineRule="exact"/>
              <w:rPr>
                <w:sz w:val="20"/>
                <w:szCs w:val="20"/>
                <w:color w:val="auto"/>
              </w:rPr>
            </w:pPr>
            <w:r>
              <w:rPr>
                <w:rFonts w:ascii="Arial" w:cs="Arial" w:eastAsia="Arial" w:hAnsi="Arial"/>
                <w:sz w:val="14"/>
                <w:szCs w:val="14"/>
                <w:color w:val="auto"/>
              </w:rPr>
              <w:t>instruments, net</w:t>
            </w:r>
          </w:p>
        </w:tc>
        <w:tc>
          <w:tcPr>
            <w:tcW w:w="280" w:type="dxa"/>
            <w:vAlign w:val="bottom"/>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40" w:type="dxa"/>
            <w:vAlign w:val="bottom"/>
            <w:gridSpan w:val="2"/>
            <w:shd w:val="clear" w:color="auto" w:fill="CCEEFF"/>
          </w:tcPr>
          <w:p>
            <w:pPr>
              <w:jc w:val="right"/>
              <w:ind w:right="60"/>
              <w:spacing w:after="0" w:line="159" w:lineRule="exact"/>
              <w:rPr>
                <w:sz w:val="20"/>
                <w:szCs w:val="20"/>
                <w:color w:val="auto"/>
              </w:rPr>
            </w:pPr>
            <w:r>
              <w:rPr>
                <w:rFonts w:ascii="Arial" w:cs="Arial" w:eastAsia="Arial" w:hAnsi="Arial"/>
                <w:sz w:val="14"/>
                <w:szCs w:val="14"/>
                <w:color w:val="auto"/>
              </w:rPr>
              <w:t>(192)</w:t>
            </w:r>
          </w:p>
        </w:tc>
      </w:tr>
      <w:tr>
        <w:trPr>
          <w:trHeight w:val="205"/>
        </w:trPr>
        <w:tc>
          <w:tcPr>
            <w:tcW w:w="3740" w:type="dxa"/>
            <w:vAlign w:val="bottom"/>
          </w:tcPr>
          <w:p>
            <w:pPr>
              <w:spacing w:after="0"/>
              <w:rPr>
                <w:sz w:val="20"/>
                <w:szCs w:val="20"/>
                <w:color w:val="auto"/>
              </w:rPr>
            </w:pPr>
            <w:r>
              <w:rPr>
                <w:rFonts w:ascii="Arial" w:cs="Arial" w:eastAsia="Arial" w:hAnsi="Arial"/>
                <w:sz w:val="14"/>
                <w:szCs w:val="14"/>
                <w:color w:val="auto"/>
              </w:rPr>
              <w:t>Three months ended March 31, 2009</w:t>
            </w:r>
          </w:p>
        </w:tc>
        <w:tc>
          <w:tcPr>
            <w:tcW w:w="880" w:type="dxa"/>
            <w:vAlign w:val="bottom"/>
          </w:tcPr>
          <w:p>
            <w:pPr>
              <w:spacing w:after="0"/>
              <w:rPr>
                <w:sz w:val="20"/>
                <w:szCs w:val="20"/>
                <w:color w:val="auto"/>
              </w:rPr>
            </w:pPr>
            <w:r>
              <w:rPr>
                <w:rFonts w:ascii="Arial" w:cs="Arial" w:eastAsia="Arial" w:hAnsi="Arial"/>
                <w:sz w:val="14"/>
                <w:szCs w:val="14"/>
                <w:color w:val="auto"/>
              </w:rPr>
              <w:t>Interest rate</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560" w:type="dxa"/>
            <w:vAlign w:val="bottom"/>
          </w:tcPr>
          <w:p>
            <w:pPr>
              <w:spacing w:after="0"/>
              <w:rPr>
                <w:sz w:val="20"/>
                <w:szCs w:val="20"/>
                <w:color w:val="auto"/>
              </w:rPr>
            </w:pPr>
            <w:r>
              <w:rPr>
                <w:rFonts w:ascii="Arial" w:cs="Arial" w:eastAsia="Arial" w:hAnsi="Arial"/>
                <w:sz w:val="14"/>
                <w:szCs w:val="14"/>
                <w:color w:val="auto"/>
              </w:rPr>
              <w:t>Gain (loss) on derivative</w:t>
            </w:r>
          </w:p>
        </w:tc>
        <w:tc>
          <w:tcPr>
            <w:tcW w:w="2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172"/>
        </w:trPr>
        <w:tc>
          <w:tcPr>
            <w:tcW w:w="3740" w:type="dxa"/>
            <w:vAlign w:val="bottom"/>
          </w:tcPr>
          <w:p>
            <w:pPr>
              <w:spacing w:after="0"/>
              <w:rPr>
                <w:sz w:val="14"/>
                <w:szCs w:val="14"/>
                <w:color w:val="auto"/>
              </w:rPr>
            </w:pPr>
          </w:p>
        </w:tc>
        <w:tc>
          <w:tcPr>
            <w:tcW w:w="880" w:type="dxa"/>
            <w:vAlign w:val="bottom"/>
          </w:tcPr>
          <w:p>
            <w:pPr>
              <w:spacing w:after="0"/>
              <w:rPr>
                <w:sz w:val="20"/>
                <w:szCs w:val="20"/>
                <w:color w:val="auto"/>
              </w:rPr>
            </w:pPr>
            <w:r>
              <w:rPr>
                <w:rFonts w:ascii="Arial" w:cs="Arial" w:eastAsia="Arial" w:hAnsi="Arial"/>
                <w:sz w:val="14"/>
                <w:szCs w:val="14"/>
                <w:color w:val="auto"/>
              </w:rPr>
              <w:t>swaps</w:t>
            </w:r>
          </w:p>
        </w:tc>
        <w:tc>
          <w:tcPr>
            <w:tcW w:w="3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200" w:type="dxa"/>
            <w:vAlign w:val="bottom"/>
            <w:gridSpan w:val="2"/>
          </w:tcPr>
          <w:p>
            <w:pPr>
              <w:jc w:val="right"/>
              <w:ind w:right="260"/>
              <w:spacing w:after="0"/>
              <w:rPr>
                <w:sz w:val="20"/>
                <w:szCs w:val="20"/>
                <w:color w:val="auto"/>
              </w:rPr>
            </w:pPr>
            <w:r>
              <w:rPr>
                <w:rFonts w:ascii="Arial" w:cs="Arial" w:eastAsia="Arial" w:hAnsi="Arial"/>
                <w:sz w:val="14"/>
                <w:szCs w:val="14"/>
                <w:color w:val="auto"/>
              </w:rPr>
              <w:t>(1,782)</w:t>
            </w:r>
          </w:p>
        </w:tc>
        <w:tc>
          <w:tcPr>
            <w:tcW w:w="1340" w:type="dxa"/>
            <w:vAlign w:val="bottom"/>
            <w:gridSpan w:val="2"/>
          </w:tcPr>
          <w:p>
            <w:pPr>
              <w:ind w:left="240"/>
              <w:spacing w:after="0"/>
              <w:rPr>
                <w:sz w:val="20"/>
                <w:szCs w:val="20"/>
                <w:color w:val="auto"/>
              </w:rPr>
            </w:pPr>
            <w:r>
              <w:rPr>
                <w:rFonts w:ascii="Arial" w:cs="Arial" w:eastAsia="Arial" w:hAnsi="Arial"/>
                <w:sz w:val="14"/>
                <w:szCs w:val="14"/>
                <w:color w:val="auto"/>
              </w:rPr>
              <w:t>Interest Expense</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gridSpan w:val="2"/>
          </w:tcPr>
          <w:p>
            <w:pPr>
              <w:jc w:val="right"/>
              <w:ind w:right="240"/>
              <w:spacing w:after="0"/>
              <w:rPr>
                <w:sz w:val="20"/>
                <w:szCs w:val="20"/>
                <w:color w:val="auto"/>
              </w:rPr>
            </w:pPr>
            <w:r>
              <w:rPr>
                <w:rFonts w:ascii="Arial" w:cs="Arial" w:eastAsia="Arial" w:hAnsi="Arial"/>
                <w:sz w:val="14"/>
                <w:szCs w:val="14"/>
                <w:color w:val="auto"/>
              </w:rPr>
              <w:t>(4,056)</w:t>
            </w:r>
          </w:p>
        </w:tc>
        <w:tc>
          <w:tcPr>
            <w:tcW w:w="1560" w:type="dxa"/>
            <w:vAlign w:val="bottom"/>
          </w:tcPr>
          <w:p>
            <w:pPr>
              <w:spacing w:after="0"/>
              <w:rPr>
                <w:sz w:val="20"/>
                <w:szCs w:val="20"/>
                <w:color w:val="auto"/>
              </w:rPr>
            </w:pPr>
            <w:r>
              <w:rPr>
                <w:rFonts w:ascii="Arial" w:cs="Arial" w:eastAsia="Arial" w:hAnsi="Arial"/>
                <w:sz w:val="14"/>
                <w:szCs w:val="14"/>
                <w:color w:val="auto"/>
              </w:rPr>
              <w:t>instruments, net</w:t>
            </w:r>
          </w:p>
        </w:tc>
        <w:tc>
          <w:tcPr>
            <w:tcW w:w="2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1040" w:type="dxa"/>
            <w:vAlign w:val="bottom"/>
            <w:gridSpan w:val="2"/>
          </w:tcPr>
          <w:p>
            <w:pPr>
              <w:jc w:val="right"/>
              <w:ind w:right="100"/>
              <w:spacing w:after="0"/>
              <w:rPr>
                <w:sz w:val="20"/>
                <w:szCs w:val="20"/>
                <w:color w:val="auto"/>
              </w:rPr>
            </w:pPr>
            <w:r>
              <w:rPr>
                <w:rFonts w:ascii="Arial" w:cs="Arial" w:eastAsia="Arial" w:hAnsi="Arial"/>
                <w:sz w:val="14"/>
                <w:szCs w:val="14"/>
                <w:color w:val="auto"/>
              </w:rPr>
              <w:t>586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60325</wp:posOffset>
            </wp:positionV>
            <wp:extent cx="72898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05" w:lineRule="exact"/>
        <w:rPr>
          <w:sz w:val="20"/>
          <w:szCs w:val="20"/>
          <w:color w:val="auto"/>
        </w:rPr>
      </w:pPr>
    </w:p>
    <w:p>
      <w:pPr>
        <w:ind w:left="340" w:right="180" w:hanging="332"/>
        <w:spacing w:after="0" w:line="23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This amount excludes $1.0 million recorded as a loss in gain (loss) on derivative instruments, net in our consolidated statement of operations and comprehensive income as a result of the reclassification from OCI of hedged forecasted transactions becoming probable not to occur for the three months ended March 31, 2009.</w:t>
      </w:r>
    </w:p>
    <w:p>
      <w:pPr>
        <w:spacing w:after="0" w:line="127"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The amount of net interest expense expected to flow through our statement of operations over the next twelve months due to expected net settlements on our interest rate swaps is $38.3 million.</w:t>
      </w:r>
    </w:p>
    <w:p>
      <w:pPr>
        <w:spacing w:after="0" w:line="118"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Additionally, during the three months ended March 31, 2010, we entered into forward commitments of $66.3 million notional value to purchase specified agency securities that were designated as all-in-one cash flow hedges pursuant to ASC 815. The all-in-one cash flow hedges had gross unrealized appreciation of $35,000 and gross unrealized depreciation of $45,000, or a net liability of $10,000, as of March 31, 2010. The amount of net losses recognized in OCI was approximately $10,000, which will be reclassified to OCI for available-for-sale securities upon the physical settlement of the all-in-one cash flow hedges. We did not enter into any forward commitments during the three months ended March 31, 2009.</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Not Designated as Hedging Instruments</w:t>
      </w:r>
    </w:p>
    <w:p>
      <w:pPr>
        <w:spacing w:after="0" w:line="77" w:lineRule="exact"/>
        <w:rPr>
          <w:sz w:val="20"/>
          <w:szCs w:val="20"/>
          <w:color w:val="auto"/>
        </w:rPr>
      </w:pPr>
    </w:p>
    <w:p>
      <w:pPr>
        <w:ind w:right="180" w:firstLine="456"/>
        <w:spacing w:after="0" w:line="254" w:lineRule="auto"/>
        <w:rPr>
          <w:sz w:val="20"/>
          <w:szCs w:val="20"/>
          <w:color w:val="auto"/>
        </w:rPr>
      </w:pPr>
      <w:r>
        <w:rPr>
          <w:rFonts w:ascii="Arial" w:cs="Arial" w:eastAsia="Arial" w:hAnsi="Arial"/>
          <w:sz w:val="18"/>
          <w:szCs w:val="18"/>
          <w:color w:val="auto"/>
        </w:rPr>
        <w:t>As of March 31, 2010, we had contracts to purchase and sell TBA agency securities and specified agency securities on a forward basis with notional amounts of $184.7 million for the purchase of securities and $335.0 million for the sale of securities and a net asset of approximately $0.1 million and $6.6 million for the purchase and sale of securities, respectively, resulting in a net asset of $6.7 million. As of December 31, 2009, we had contracts to purchase and sell TBA agency securities and specified agency securities on a forward basis with notional amounts of $596.5 million for the purchase of securities and $616.7 million for the sale of securities and a net liability of $2.9 million for the purchase of securities and a net asset of $5.0 million for the sale of securities, resulting in a net asset of $2.1 million.</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20" w:firstLine="456"/>
        <w:spacing w:after="0" w:line="306" w:lineRule="auto"/>
        <w:rPr>
          <w:sz w:val="20"/>
          <w:szCs w:val="20"/>
          <w:color w:val="auto"/>
        </w:rPr>
      </w:pPr>
      <w:r>
        <w:rPr>
          <w:rFonts w:ascii="Arial" w:cs="Arial" w:eastAsia="Arial" w:hAnsi="Arial"/>
          <w:sz w:val="16"/>
          <w:szCs w:val="16"/>
          <w:color w:val="auto"/>
        </w:rPr>
        <w:t>As of March 31, 2010, our interest rate swaption agreements outstanding consisted of $200 million in notional amount of options to enter into interest rate swaps in the future where we would pay a fixed rate (“Payer Swaptions”) and $100 million in notional amount of options to enter into interest rate swaps in the future where we would receive a fixed rate (“Receiver Swaptions”) as summarized in the table below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4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4"/>
          </w:tcPr>
          <w:p>
            <w:pPr>
              <w:ind w:left="280"/>
              <w:spacing w:after="0"/>
              <w:rPr>
                <w:sz w:val="20"/>
                <w:szCs w:val="20"/>
                <w:color w:val="auto"/>
              </w:rPr>
            </w:pPr>
            <w:r>
              <w:rPr>
                <w:rFonts w:ascii="Arial" w:cs="Arial" w:eastAsia="Arial" w:hAnsi="Arial"/>
                <w:sz w:val="14"/>
                <w:szCs w:val="14"/>
                <w:b w:val="1"/>
                <w:bCs w:val="1"/>
                <w:color w:val="auto"/>
              </w:rPr>
              <w:t>As of March 31, 2010</w:t>
            </w:r>
          </w:p>
        </w:tc>
        <w:tc>
          <w:tcPr>
            <w:tcW w:w="3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440" w:type="dxa"/>
            <w:vAlign w:val="bottom"/>
          </w:tcPr>
          <w:p>
            <w:pPr>
              <w:spacing w:after="0"/>
              <w:rPr>
                <w:sz w:val="12"/>
                <w:szCs w:val="12"/>
                <w:color w:val="auto"/>
              </w:rPr>
            </w:pPr>
          </w:p>
        </w:tc>
        <w:tc>
          <w:tcPr>
            <w:tcW w:w="54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gridSpan w:val="2"/>
          </w:tcPr>
          <w:p>
            <w:pPr>
              <w:ind w:left="60"/>
              <w:spacing w:after="0" w:line="142" w:lineRule="exact"/>
              <w:rPr>
                <w:sz w:val="20"/>
                <w:szCs w:val="20"/>
                <w:color w:val="auto"/>
              </w:rPr>
            </w:pPr>
            <w:r>
              <w:rPr>
                <w:rFonts w:ascii="Arial" w:cs="Arial" w:eastAsia="Arial" w:hAnsi="Arial"/>
                <w:sz w:val="14"/>
                <w:szCs w:val="14"/>
                <w:b w:val="1"/>
                <w:bCs w:val="1"/>
                <w:color w:val="auto"/>
              </w:rPr>
              <w:t>Option</w:t>
            </w:r>
          </w:p>
        </w:tc>
        <w:tc>
          <w:tcPr>
            <w:tcW w:w="680" w:type="dxa"/>
            <w:vAlign w:val="bottom"/>
            <w:tcBorders>
              <w:bottom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820" w:type="dxa"/>
            <w:vAlign w:val="bottom"/>
            <w:tcBorders>
              <w:bottom w:val="single" w:sz="8" w:color="auto"/>
            </w:tcBorders>
            <w:gridSpan w:val="3"/>
          </w:tcPr>
          <w:p>
            <w:pPr>
              <w:ind w:left="280"/>
              <w:spacing w:after="0" w:line="142" w:lineRule="exact"/>
              <w:rPr>
                <w:sz w:val="20"/>
                <w:szCs w:val="20"/>
                <w:color w:val="auto"/>
              </w:rPr>
            </w:pPr>
            <w:r>
              <w:rPr>
                <w:rFonts w:ascii="Arial" w:cs="Arial" w:eastAsia="Arial" w:hAnsi="Arial"/>
                <w:sz w:val="14"/>
                <w:szCs w:val="14"/>
                <w:b w:val="1"/>
                <w:bCs w:val="1"/>
                <w:color w:val="auto"/>
              </w:rPr>
              <w:t>Underlying Swap</w:t>
            </w:r>
          </w:p>
        </w:tc>
        <w:tc>
          <w:tcPr>
            <w:tcW w:w="34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00" w:type="dxa"/>
            <w:vAlign w:val="bottom"/>
            <w:gridSpan w:val="2"/>
          </w:tcPr>
          <w:p>
            <w:pPr>
              <w:ind w:left="60"/>
              <w:spacing w:after="0" w:line="129" w:lineRule="exact"/>
              <w:rPr>
                <w:sz w:val="20"/>
                <w:szCs w:val="20"/>
                <w:color w:val="auto"/>
              </w:rPr>
            </w:pPr>
            <w:r>
              <w:rPr>
                <w:rFonts w:ascii="Arial" w:cs="Arial" w:eastAsia="Arial" w:hAnsi="Arial"/>
                <w:sz w:val="14"/>
                <w:szCs w:val="14"/>
                <w:b w:val="1"/>
                <w:bCs w:val="1"/>
                <w:color w:val="auto"/>
              </w:rPr>
              <w:t>Fair</w:t>
            </w: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2"/>
              </w:rPr>
              <w:t>Months to</w:t>
            </w:r>
          </w:p>
        </w:tc>
        <w:tc>
          <w:tcPr>
            <w:tcW w:w="340" w:type="dxa"/>
            <w:vAlign w:val="bottom"/>
          </w:tcPr>
          <w:p>
            <w:pPr>
              <w:spacing w:after="0"/>
              <w:rPr>
                <w:sz w:val="11"/>
                <w:szCs w:val="11"/>
                <w:color w:val="auto"/>
              </w:rPr>
            </w:pPr>
          </w:p>
        </w:tc>
        <w:tc>
          <w:tcPr>
            <w:tcW w:w="1060" w:type="dxa"/>
            <w:vAlign w:val="bottom"/>
            <w:gridSpan w:val="2"/>
          </w:tcPr>
          <w:p>
            <w:pPr>
              <w:ind w:left="100"/>
              <w:spacing w:after="0" w:line="129" w:lineRule="exact"/>
              <w:rPr>
                <w:sz w:val="20"/>
                <w:szCs w:val="20"/>
                <w:color w:val="auto"/>
              </w:rPr>
            </w:pPr>
            <w:r>
              <w:rPr>
                <w:rFonts w:ascii="Arial" w:cs="Arial" w:eastAsia="Arial" w:hAnsi="Arial"/>
                <w:sz w:val="14"/>
                <w:szCs w:val="14"/>
                <w:b w:val="1"/>
                <w:bCs w:val="1"/>
                <w:color w:val="auto"/>
              </w:rPr>
              <w:t>Notional</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Receive</w:t>
            </w:r>
          </w:p>
        </w:tc>
        <w:tc>
          <w:tcPr>
            <w:tcW w:w="340" w:type="dxa"/>
            <w:vAlign w:val="bottom"/>
          </w:tcPr>
          <w:p>
            <w:pPr>
              <w:spacing w:after="0"/>
              <w:rPr>
                <w:sz w:val="11"/>
                <w:szCs w:val="11"/>
                <w:color w:val="auto"/>
              </w:rPr>
            </w:pPr>
          </w:p>
        </w:tc>
        <w:tc>
          <w:tcPr>
            <w:tcW w:w="48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rPr>
              <w:t>Term</w:t>
            </w:r>
          </w:p>
        </w:tc>
        <w:tc>
          <w:tcPr>
            <w:tcW w:w="20" w:type="dxa"/>
            <w:vAlign w:val="bottom"/>
          </w:tcPr>
          <w:p>
            <w:pPr>
              <w:spacing w:after="0"/>
              <w:rPr>
                <w:sz w:val="11"/>
                <w:szCs w:val="11"/>
                <w:color w:val="auto"/>
              </w:rPr>
            </w:pPr>
          </w:p>
        </w:tc>
      </w:tr>
      <w:tr>
        <w:trPr>
          <w:trHeight w:val="161"/>
        </w:trPr>
        <w:tc>
          <w:tcPr>
            <w:tcW w:w="2120" w:type="dxa"/>
            <w:vAlign w:val="bottom"/>
          </w:tcPr>
          <w:p>
            <w:pPr>
              <w:spacing w:after="0"/>
              <w:rPr>
                <w:sz w:val="14"/>
                <w:szCs w:val="14"/>
                <w:color w:val="auto"/>
              </w:rPr>
            </w:pPr>
          </w:p>
        </w:tc>
        <w:tc>
          <w:tcPr>
            <w:tcW w:w="5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6"/>
              </w:rPr>
              <w:t>Swaption</w:t>
            </w:r>
          </w:p>
        </w:tc>
        <w:tc>
          <w:tcPr>
            <w:tcW w:w="2440" w:type="dxa"/>
            <w:vAlign w:val="bottom"/>
          </w:tcPr>
          <w:p>
            <w:pPr>
              <w:spacing w:after="0"/>
              <w:rPr>
                <w:sz w:val="14"/>
                <w:szCs w:val="14"/>
                <w:color w:val="auto"/>
              </w:rPr>
            </w:pPr>
          </w:p>
        </w:tc>
        <w:tc>
          <w:tcPr>
            <w:tcW w:w="540" w:type="dxa"/>
            <w:vAlign w:val="bottom"/>
            <w:tcBorders>
              <w:bottom w:val="single" w:sz="8" w:color="auto"/>
            </w:tcBorders>
          </w:tcPr>
          <w:p>
            <w:pPr>
              <w:jc w:val="right"/>
              <w:ind w:right="57"/>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Value</w:t>
            </w:r>
          </w:p>
        </w:tc>
        <w:tc>
          <w:tcPr>
            <w:tcW w:w="340" w:type="dxa"/>
            <w:vAlign w:val="bottom"/>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3"/>
              </w:rPr>
              <w:t>Expiration</w:t>
            </w:r>
          </w:p>
        </w:tc>
        <w:tc>
          <w:tcPr>
            <w:tcW w:w="340" w:type="dxa"/>
            <w:vAlign w:val="bottom"/>
          </w:tcPr>
          <w:p>
            <w:pPr>
              <w:spacing w:after="0"/>
              <w:rPr>
                <w:sz w:val="14"/>
                <w:szCs w:val="14"/>
                <w:color w:val="auto"/>
              </w:rPr>
            </w:pPr>
          </w:p>
        </w:tc>
        <w:tc>
          <w:tcPr>
            <w:tcW w:w="720" w:type="dxa"/>
            <w:vAlign w:val="bottom"/>
            <w:tcBorders>
              <w:bottom w:val="single" w:sz="8" w:color="auto"/>
            </w:tcBorders>
          </w:tcPr>
          <w:p>
            <w:pPr>
              <w:jc w:val="right"/>
              <w:ind w:right="46"/>
              <w:spacing w:after="0"/>
              <w:rPr>
                <w:sz w:val="20"/>
                <w:szCs w:val="20"/>
                <w:color w:val="auto"/>
              </w:rPr>
            </w:pPr>
            <w:r>
              <w:rPr>
                <w:rFonts w:ascii="Arial" w:cs="Arial" w:eastAsia="Arial" w:hAnsi="Arial"/>
                <w:sz w:val="14"/>
                <w:szCs w:val="14"/>
                <w:b w:val="1"/>
                <w:bCs w:val="1"/>
                <w:color w:val="auto"/>
              </w:rPr>
              <w:t>Amount</w:t>
            </w:r>
          </w:p>
        </w:tc>
        <w:tc>
          <w:tcPr>
            <w:tcW w:w="340" w:type="dxa"/>
            <w:vAlign w:val="bottom"/>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340" w:type="dxa"/>
            <w:vAlign w:val="bottom"/>
          </w:tcPr>
          <w:p>
            <w:pPr>
              <w:spacing w:after="0"/>
              <w:rPr>
                <w:sz w:val="14"/>
                <w:szCs w:val="14"/>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Rate</w:t>
            </w:r>
          </w:p>
        </w:tc>
        <w:tc>
          <w:tcPr>
            <w:tcW w:w="34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5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$ 2,148</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$ 523</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4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$ 200,000</w:t>
            </w: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4.23%</w:t>
            </w: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1M Libor</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23"/>
        </w:trPr>
        <w:tc>
          <w:tcPr>
            <w:tcW w:w="5120" w:type="dxa"/>
            <w:vAlign w:val="bottom"/>
            <w:gridSpan w:val="3"/>
          </w:tcPr>
          <w:p>
            <w:pPr>
              <w:spacing w:after="0"/>
              <w:rPr>
                <w:sz w:val="20"/>
                <w:szCs w:val="20"/>
                <w:color w:val="auto"/>
              </w:rPr>
            </w:pPr>
            <w:r>
              <w:rPr>
                <w:rFonts w:ascii="Arial" w:cs="Arial" w:eastAsia="Arial" w:hAnsi="Arial"/>
                <w:sz w:val="18"/>
                <w:szCs w:val="18"/>
                <w:color w:val="auto"/>
              </w:rPr>
              <w:t>Receiver</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490</w:t>
            </w:r>
          </w:p>
        </w:tc>
        <w:tc>
          <w:tcPr>
            <w:tcW w:w="340" w:type="dxa"/>
            <w:vAlign w:val="bottom"/>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357</w:t>
            </w:r>
          </w:p>
        </w:tc>
        <w:tc>
          <w:tcPr>
            <w:tcW w:w="34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w:t>
            </w:r>
          </w:p>
        </w:tc>
        <w:tc>
          <w:tcPr>
            <w:tcW w:w="34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100,000</w:t>
            </w:r>
          </w:p>
        </w:tc>
        <w:tc>
          <w:tcPr>
            <w:tcW w:w="340" w:type="dxa"/>
            <w:vAlign w:val="bottom"/>
          </w:tcPr>
          <w:p>
            <w:pPr>
              <w:spacing w:after="0"/>
              <w:rPr>
                <w:sz w:val="19"/>
                <w:szCs w:val="19"/>
                <w:color w:val="auto"/>
              </w:rPr>
            </w:pPr>
          </w:p>
        </w:tc>
        <w:tc>
          <w:tcPr>
            <w:tcW w:w="740" w:type="dxa"/>
            <w:vAlign w:val="bottom"/>
          </w:tcPr>
          <w:p>
            <w:pPr>
              <w:jc w:val="center"/>
              <w:spacing w:after="0"/>
              <w:rPr>
                <w:sz w:val="20"/>
                <w:szCs w:val="20"/>
                <w:color w:val="auto"/>
              </w:rPr>
            </w:pPr>
            <w:r>
              <w:rPr>
                <w:rFonts w:ascii="Arial" w:cs="Arial" w:eastAsia="Arial" w:hAnsi="Arial"/>
                <w:sz w:val="18"/>
                <w:szCs w:val="18"/>
                <w:color w:val="auto"/>
                <w:w w:val="97"/>
              </w:rPr>
              <w:t>1M Libor</w:t>
            </w:r>
          </w:p>
        </w:tc>
        <w:tc>
          <w:tcPr>
            <w:tcW w:w="1080" w:type="dxa"/>
            <w:vAlign w:val="bottom"/>
            <w:gridSpan w:val="2"/>
          </w:tcPr>
          <w:p>
            <w:pPr>
              <w:jc w:val="center"/>
              <w:ind w:left="252"/>
              <w:spacing w:after="0"/>
              <w:rPr>
                <w:sz w:val="20"/>
                <w:szCs w:val="20"/>
                <w:color w:val="auto"/>
              </w:rPr>
            </w:pPr>
            <w:r>
              <w:rPr>
                <w:rFonts w:ascii="Arial" w:cs="Arial" w:eastAsia="Arial" w:hAnsi="Arial"/>
                <w:sz w:val="18"/>
                <w:szCs w:val="18"/>
                <w:color w:val="auto"/>
                <w:w w:val="90"/>
              </w:rPr>
              <w:t>2.50%</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9"/>
                <w:szCs w:val="19"/>
                <w:color w:val="auto"/>
              </w:rPr>
            </w:pPr>
          </w:p>
        </w:tc>
      </w:tr>
      <w:tr>
        <w:trPr>
          <w:trHeight w:val="216"/>
        </w:trPr>
        <w:tc>
          <w:tcPr>
            <w:tcW w:w="2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4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$ 2,638</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$ 880</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4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$ 300,000</w:t>
            </w:r>
          </w:p>
        </w:tc>
        <w:tc>
          <w:tcPr>
            <w:tcW w:w="7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As of December 31, 2009, our interest rate swaption agreements outstanding consisted of $200 million in notional amount of options to enter into Payer Swaptions and $100 million in notional amount of options to enter into Receiver Swaptions as summarized in the table below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4"/>
          </w:tcPr>
          <w:p>
            <w:pPr>
              <w:ind w:left="60"/>
              <w:spacing w:after="0"/>
              <w:rPr>
                <w:sz w:val="20"/>
                <w:szCs w:val="20"/>
                <w:color w:val="auto"/>
              </w:rPr>
            </w:pPr>
            <w:r>
              <w:rPr>
                <w:rFonts w:ascii="Arial" w:cs="Arial" w:eastAsia="Arial" w:hAnsi="Arial"/>
                <w:sz w:val="14"/>
                <w:szCs w:val="14"/>
                <w:b w:val="1"/>
                <w:bCs w:val="1"/>
                <w:color w:val="auto"/>
              </w:rPr>
              <w:t>As of December 31, 2009</w:t>
            </w:r>
          </w:p>
        </w:tc>
        <w:tc>
          <w:tcPr>
            <w:tcW w:w="3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42"/>
        </w:trPr>
        <w:tc>
          <w:tcPr>
            <w:tcW w:w="20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ind w:left="140"/>
              <w:spacing w:after="0" w:line="142" w:lineRule="exact"/>
              <w:rPr>
                <w:sz w:val="20"/>
                <w:szCs w:val="20"/>
                <w:color w:val="auto"/>
              </w:rPr>
            </w:pPr>
            <w:r>
              <w:rPr>
                <w:rFonts w:ascii="Arial" w:cs="Arial" w:eastAsia="Arial" w:hAnsi="Arial"/>
                <w:sz w:val="14"/>
                <w:szCs w:val="14"/>
                <w:b w:val="1"/>
                <w:bCs w:val="1"/>
                <w:color w:val="auto"/>
              </w:rPr>
              <w:t>Option</w:t>
            </w:r>
          </w:p>
        </w:tc>
        <w:tc>
          <w:tcPr>
            <w:tcW w:w="680" w:type="dxa"/>
            <w:vAlign w:val="bottom"/>
            <w:tcBorders>
              <w:bottom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1860" w:type="dxa"/>
            <w:vAlign w:val="bottom"/>
            <w:tcBorders>
              <w:bottom w:val="single" w:sz="8" w:color="auto"/>
            </w:tcBorders>
            <w:gridSpan w:val="3"/>
          </w:tcPr>
          <w:p>
            <w:pPr>
              <w:ind w:left="300"/>
              <w:spacing w:after="0" w:line="142" w:lineRule="exact"/>
              <w:rPr>
                <w:sz w:val="20"/>
                <w:szCs w:val="20"/>
                <w:color w:val="auto"/>
              </w:rPr>
            </w:pPr>
            <w:r>
              <w:rPr>
                <w:rFonts w:ascii="Arial" w:cs="Arial" w:eastAsia="Arial" w:hAnsi="Arial"/>
                <w:sz w:val="14"/>
                <w:szCs w:val="14"/>
                <w:b w:val="1"/>
                <w:bCs w:val="1"/>
                <w:color w:val="auto"/>
              </w:rPr>
              <w:t>Underlying Swap</w:t>
            </w:r>
          </w:p>
        </w:tc>
        <w:tc>
          <w:tcPr>
            <w:tcW w:w="34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r>
      <w:tr>
        <w:trPr>
          <w:trHeight w:val="129"/>
        </w:trPr>
        <w:tc>
          <w:tcPr>
            <w:tcW w:w="20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gridSpan w:val="2"/>
          </w:tcPr>
          <w:p>
            <w:pPr>
              <w:ind w:left="140"/>
              <w:spacing w:after="0" w:line="129" w:lineRule="exact"/>
              <w:rPr>
                <w:sz w:val="20"/>
                <w:szCs w:val="20"/>
                <w:color w:val="auto"/>
              </w:rPr>
            </w:pPr>
            <w:r>
              <w:rPr>
                <w:rFonts w:ascii="Arial" w:cs="Arial" w:eastAsia="Arial" w:hAnsi="Arial"/>
                <w:sz w:val="14"/>
                <w:szCs w:val="14"/>
                <w:b w:val="1"/>
                <w:bCs w:val="1"/>
                <w:color w:val="auto"/>
              </w:rPr>
              <w:t>Fair</w:t>
            </w:r>
          </w:p>
        </w:tc>
        <w:tc>
          <w:tcPr>
            <w:tcW w:w="680" w:type="dxa"/>
            <w:vAlign w:val="bottom"/>
          </w:tcPr>
          <w:p>
            <w:pPr>
              <w:ind w:left="40"/>
              <w:spacing w:after="0" w:line="129" w:lineRule="exact"/>
              <w:rPr>
                <w:sz w:val="20"/>
                <w:szCs w:val="20"/>
                <w:color w:val="auto"/>
              </w:rPr>
            </w:pPr>
            <w:r>
              <w:rPr>
                <w:rFonts w:ascii="Arial" w:cs="Arial" w:eastAsia="Arial" w:hAnsi="Arial"/>
                <w:sz w:val="14"/>
                <w:szCs w:val="14"/>
                <w:b w:val="1"/>
                <w:bCs w:val="1"/>
                <w:color w:val="auto"/>
                <w:w w:val="92"/>
              </w:rPr>
              <w:t>Months to</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jc w:val="right"/>
              <w:ind w:right="26"/>
              <w:spacing w:after="0" w:line="129" w:lineRule="exact"/>
              <w:rPr>
                <w:sz w:val="20"/>
                <w:szCs w:val="20"/>
                <w:color w:val="auto"/>
              </w:rPr>
            </w:pPr>
            <w:r>
              <w:rPr>
                <w:rFonts w:ascii="Arial" w:cs="Arial" w:eastAsia="Arial" w:hAnsi="Arial"/>
                <w:sz w:val="14"/>
                <w:szCs w:val="14"/>
                <w:b w:val="1"/>
                <w:bCs w:val="1"/>
                <w:color w:val="auto"/>
              </w:rPr>
              <w:t>Notional</w:t>
            </w:r>
          </w:p>
        </w:tc>
        <w:tc>
          <w:tcPr>
            <w:tcW w:w="3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Receive</w:t>
            </w:r>
          </w:p>
        </w:tc>
        <w:tc>
          <w:tcPr>
            <w:tcW w:w="340" w:type="dxa"/>
            <w:vAlign w:val="bottom"/>
          </w:tcPr>
          <w:p>
            <w:pPr>
              <w:spacing w:after="0"/>
              <w:rPr>
                <w:sz w:val="11"/>
                <w:szCs w:val="11"/>
                <w:color w:val="auto"/>
              </w:rPr>
            </w:pPr>
          </w:p>
        </w:tc>
        <w:tc>
          <w:tcPr>
            <w:tcW w:w="48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rPr>
              <w:t>Term</w:t>
            </w:r>
          </w:p>
        </w:tc>
        <w:tc>
          <w:tcPr>
            <w:tcW w:w="20" w:type="dxa"/>
            <w:vAlign w:val="bottom"/>
          </w:tcPr>
          <w:p>
            <w:pPr>
              <w:spacing w:after="0"/>
              <w:rPr>
                <w:sz w:val="11"/>
                <w:szCs w:val="11"/>
                <w:color w:val="auto"/>
              </w:rPr>
            </w:pPr>
          </w:p>
        </w:tc>
      </w:tr>
      <w:tr>
        <w:trPr>
          <w:trHeight w:val="161"/>
        </w:trPr>
        <w:tc>
          <w:tcPr>
            <w:tcW w:w="2000" w:type="dxa"/>
            <w:vAlign w:val="bottom"/>
          </w:tcPr>
          <w:p>
            <w:pPr>
              <w:spacing w:after="0"/>
              <w:rPr>
                <w:sz w:val="14"/>
                <w:szCs w:val="14"/>
                <w:color w:val="auto"/>
              </w:rPr>
            </w:pPr>
          </w:p>
        </w:tc>
        <w:tc>
          <w:tcPr>
            <w:tcW w:w="5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6"/>
              </w:rPr>
              <w:t>Swaption</w:t>
            </w:r>
          </w:p>
        </w:tc>
        <w:tc>
          <w:tcPr>
            <w:tcW w:w="2340" w:type="dxa"/>
            <w:vAlign w:val="bottom"/>
          </w:tcPr>
          <w:p>
            <w:pPr>
              <w:spacing w:after="0"/>
              <w:rPr>
                <w:sz w:val="14"/>
                <w:szCs w:val="14"/>
                <w:color w:val="auto"/>
              </w:rPr>
            </w:pPr>
          </w:p>
        </w:tc>
        <w:tc>
          <w:tcPr>
            <w:tcW w:w="52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540" w:type="dxa"/>
            <w:vAlign w:val="bottom"/>
            <w:tcBorders>
              <w:bottom w:val="single" w:sz="8" w:color="auto"/>
            </w:tcBorders>
          </w:tcPr>
          <w:p>
            <w:pPr>
              <w:jc w:val="right"/>
              <w:ind w:right="42"/>
              <w:spacing w:after="0"/>
              <w:rPr>
                <w:sz w:val="20"/>
                <w:szCs w:val="20"/>
                <w:color w:val="auto"/>
              </w:rPr>
            </w:pPr>
            <w:r>
              <w:rPr>
                <w:rFonts w:ascii="Arial" w:cs="Arial" w:eastAsia="Arial" w:hAnsi="Arial"/>
                <w:sz w:val="14"/>
                <w:szCs w:val="14"/>
                <w:b w:val="1"/>
                <w:bCs w:val="1"/>
                <w:color w:val="auto"/>
              </w:rPr>
              <w:t>Value</w:t>
            </w:r>
          </w:p>
        </w:tc>
        <w:tc>
          <w:tcPr>
            <w:tcW w:w="340" w:type="dxa"/>
            <w:vAlign w:val="bottom"/>
          </w:tcPr>
          <w:p>
            <w:pPr>
              <w:spacing w:after="0"/>
              <w:rPr>
                <w:sz w:val="14"/>
                <w:szCs w:val="14"/>
                <w:color w:val="auto"/>
              </w:rPr>
            </w:pPr>
          </w:p>
        </w:tc>
        <w:tc>
          <w:tcPr>
            <w:tcW w:w="6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3"/>
              </w:rPr>
              <w:t>Expiration</w:t>
            </w: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20" w:type="dxa"/>
            <w:vAlign w:val="bottom"/>
            <w:tcBorders>
              <w:bottom w:val="single" w:sz="8" w:color="auto"/>
            </w:tcBorders>
          </w:tcPr>
          <w:p>
            <w:pPr>
              <w:jc w:val="right"/>
              <w:ind w:right="46"/>
              <w:spacing w:after="0"/>
              <w:rPr>
                <w:sz w:val="20"/>
                <w:szCs w:val="20"/>
                <w:color w:val="auto"/>
              </w:rPr>
            </w:pPr>
            <w:r>
              <w:rPr>
                <w:rFonts w:ascii="Arial" w:cs="Arial" w:eastAsia="Arial" w:hAnsi="Arial"/>
                <w:sz w:val="14"/>
                <w:szCs w:val="14"/>
                <w:b w:val="1"/>
                <w:bCs w:val="1"/>
                <w:color w:val="auto"/>
              </w:rPr>
              <w:t>Amount</w:t>
            </w:r>
          </w:p>
        </w:tc>
        <w:tc>
          <w:tcPr>
            <w:tcW w:w="3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3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34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2"/>
              </w:rPr>
              <w:t>(Years)</w:t>
            </w:r>
          </w:p>
        </w:tc>
        <w:tc>
          <w:tcPr>
            <w:tcW w:w="20" w:type="dxa"/>
            <w:vAlign w:val="bottom"/>
          </w:tcPr>
          <w:p>
            <w:pPr>
              <w:spacing w:after="0"/>
              <w:rPr>
                <w:sz w:val="14"/>
                <w:szCs w:val="14"/>
                <w:color w:val="auto"/>
              </w:rPr>
            </w:pPr>
          </w:p>
        </w:tc>
      </w:tr>
      <w:tr>
        <w:trPr>
          <w:trHeight w:val="210"/>
        </w:trPr>
        <w:tc>
          <w:tcPr>
            <w:tcW w:w="2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w:t>
            </w:r>
          </w:p>
        </w:tc>
        <w:tc>
          <w:tcPr>
            <w:tcW w:w="3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$ 2,148</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$ 2,389</w:t>
            </w: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$ 200,000</w:t>
            </w:r>
          </w:p>
        </w:tc>
        <w:tc>
          <w:tcPr>
            <w:tcW w:w="1100" w:type="dxa"/>
            <w:vAlign w:val="bottom"/>
            <w:gridSpan w:val="2"/>
            <w:shd w:val="clear" w:color="auto" w:fill="CCEEFF"/>
          </w:tcPr>
          <w:p>
            <w:pPr>
              <w:jc w:val="center"/>
              <w:ind w:left="272"/>
              <w:spacing w:after="0"/>
              <w:rPr>
                <w:sz w:val="20"/>
                <w:szCs w:val="20"/>
                <w:color w:val="auto"/>
              </w:rPr>
            </w:pPr>
            <w:r>
              <w:rPr>
                <w:rFonts w:ascii="Arial" w:cs="Arial" w:eastAsia="Arial" w:hAnsi="Arial"/>
                <w:sz w:val="18"/>
                <w:szCs w:val="18"/>
                <w:color w:val="auto"/>
                <w:w w:val="90"/>
              </w:rPr>
              <w:t>4.23%</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1M Libor</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23"/>
        </w:trPr>
        <w:tc>
          <w:tcPr>
            <w:tcW w:w="2580" w:type="dxa"/>
            <w:vAlign w:val="bottom"/>
            <w:gridSpan w:val="2"/>
          </w:tcPr>
          <w:p>
            <w:pPr>
              <w:spacing w:after="0"/>
              <w:rPr>
                <w:sz w:val="20"/>
                <w:szCs w:val="20"/>
                <w:color w:val="auto"/>
              </w:rPr>
            </w:pPr>
            <w:r>
              <w:rPr>
                <w:rFonts w:ascii="Arial" w:cs="Arial" w:eastAsia="Arial" w:hAnsi="Arial"/>
                <w:sz w:val="18"/>
                <w:szCs w:val="18"/>
                <w:color w:val="auto"/>
              </w:rPr>
              <w:t>Receiver</w:t>
            </w:r>
          </w:p>
        </w:tc>
        <w:tc>
          <w:tcPr>
            <w:tcW w:w="2340" w:type="dxa"/>
            <w:vAlign w:val="bottom"/>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243</w:t>
            </w:r>
          </w:p>
        </w:tc>
        <w:tc>
          <w:tcPr>
            <w:tcW w:w="340" w:type="dxa"/>
            <w:vAlign w:val="bottom"/>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w:t>
            </w:r>
          </w:p>
        </w:tc>
        <w:tc>
          <w:tcPr>
            <w:tcW w:w="340" w:type="dxa"/>
            <w:vAlign w:val="bottom"/>
          </w:tcPr>
          <w:p>
            <w:pPr>
              <w:spacing w:after="0"/>
              <w:rPr>
                <w:sz w:val="19"/>
                <w:szCs w:val="19"/>
                <w:color w:val="auto"/>
              </w:rPr>
            </w:pPr>
          </w:p>
        </w:tc>
        <w:tc>
          <w:tcPr>
            <w:tcW w:w="740" w:type="dxa"/>
            <w:vAlign w:val="bottom"/>
            <w:gridSpan w:val="2"/>
          </w:tcPr>
          <w:p>
            <w:pPr>
              <w:jc w:val="right"/>
              <w:ind w:right="60"/>
              <w:spacing w:after="0"/>
              <w:rPr>
                <w:sz w:val="20"/>
                <w:szCs w:val="20"/>
                <w:color w:val="auto"/>
              </w:rPr>
            </w:pPr>
            <w:r>
              <w:rPr>
                <w:rFonts w:ascii="Arial" w:cs="Arial" w:eastAsia="Arial" w:hAnsi="Arial"/>
                <w:sz w:val="18"/>
                <w:szCs w:val="18"/>
                <w:color w:val="auto"/>
              </w:rPr>
              <w:t>2</w:t>
            </w:r>
          </w:p>
        </w:tc>
        <w:tc>
          <w:tcPr>
            <w:tcW w:w="280" w:type="dxa"/>
            <w:vAlign w:val="bottom"/>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100,000</w:t>
            </w:r>
          </w:p>
        </w:tc>
        <w:tc>
          <w:tcPr>
            <w:tcW w:w="340" w:type="dxa"/>
            <w:vAlign w:val="bottom"/>
          </w:tcPr>
          <w:p>
            <w:pPr>
              <w:spacing w:after="0"/>
              <w:rPr>
                <w:sz w:val="19"/>
                <w:szCs w:val="19"/>
                <w:color w:val="auto"/>
              </w:rPr>
            </w:pPr>
          </w:p>
        </w:tc>
        <w:tc>
          <w:tcPr>
            <w:tcW w:w="760" w:type="dxa"/>
            <w:vAlign w:val="bottom"/>
          </w:tcPr>
          <w:p>
            <w:pPr>
              <w:jc w:val="center"/>
              <w:spacing w:after="0"/>
              <w:rPr>
                <w:sz w:val="20"/>
                <w:szCs w:val="20"/>
                <w:color w:val="auto"/>
              </w:rPr>
            </w:pPr>
            <w:r>
              <w:rPr>
                <w:rFonts w:ascii="Arial" w:cs="Arial" w:eastAsia="Arial" w:hAnsi="Arial"/>
                <w:sz w:val="18"/>
                <w:szCs w:val="18"/>
                <w:color w:val="auto"/>
                <w:w w:val="97"/>
              </w:rPr>
              <w:t>1M Libor</w:t>
            </w:r>
          </w:p>
        </w:tc>
        <w:tc>
          <w:tcPr>
            <w:tcW w:w="1100" w:type="dxa"/>
            <w:vAlign w:val="bottom"/>
            <w:gridSpan w:val="2"/>
          </w:tcPr>
          <w:p>
            <w:pPr>
              <w:jc w:val="center"/>
              <w:ind w:left="272"/>
              <w:spacing w:after="0"/>
              <w:rPr>
                <w:sz w:val="20"/>
                <w:szCs w:val="20"/>
                <w:color w:val="auto"/>
              </w:rPr>
            </w:pPr>
            <w:r>
              <w:rPr>
                <w:rFonts w:ascii="Arial" w:cs="Arial" w:eastAsia="Arial" w:hAnsi="Arial"/>
                <w:sz w:val="18"/>
                <w:szCs w:val="18"/>
                <w:color w:val="auto"/>
                <w:w w:val="90"/>
              </w:rPr>
              <w:t>2.54%</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0" w:type="dxa"/>
            <w:vAlign w:val="bottom"/>
          </w:tcPr>
          <w:p>
            <w:pPr>
              <w:spacing w:after="0"/>
              <w:rPr>
                <w:sz w:val="19"/>
                <w:szCs w:val="19"/>
                <w:color w:val="auto"/>
              </w:rPr>
            </w:pPr>
          </w:p>
        </w:tc>
      </w:tr>
      <w:tr>
        <w:trPr>
          <w:trHeight w:val="216"/>
        </w:trPr>
        <w:tc>
          <w:tcPr>
            <w:tcW w:w="20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$ 2,391</w:t>
            </w:r>
          </w:p>
        </w:tc>
        <w:tc>
          <w:tcPr>
            <w:tcW w:w="88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6"/>
              </w:rPr>
              <w:t>$ 2,558</w:t>
            </w:r>
          </w:p>
        </w:tc>
        <w:tc>
          <w:tcPr>
            <w:tcW w:w="6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$ 300,000</w:t>
            </w: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0"/>
        </w:trPr>
        <w:tc>
          <w:tcPr>
            <w:tcW w:w="20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54" w:lineRule="exact"/>
        <w:rPr>
          <w:sz w:val="20"/>
          <w:szCs w:val="20"/>
          <w:color w:val="auto"/>
        </w:rPr>
      </w:pPr>
    </w:p>
    <w:p>
      <w:pPr>
        <w:ind w:right="460" w:firstLine="456"/>
        <w:spacing w:after="0" w:line="332" w:lineRule="auto"/>
        <w:rPr>
          <w:sz w:val="20"/>
          <w:szCs w:val="20"/>
          <w:color w:val="auto"/>
        </w:rPr>
      </w:pPr>
      <w:r>
        <w:rPr>
          <w:rFonts w:ascii="Arial" w:cs="Arial" w:eastAsia="Arial" w:hAnsi="Arial"/>
          <w:sz w:val="16"/>
          <w:szCs w:val="16"/>
          <w:color w:val="auto"/>
        </w:rPr>
        <w:t>As of March 31, 2010, we had put options to sell TBA agency securities for $75 million in notional amount. The put options have a cost basis of $0.3 million and a fair value of $0.4 million as of March 31, 2010. We had no put options outstanding as of December 31, 2009.</w:t>
      </w:r>
    </w:p>
    <w:p>
      <w:pPr>
        <w:spacing w:after="0" w:line="7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table below summarizes information about our derivatives outstanding that were not designated as hedging instruments as of March 31, 2010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2009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3160" w:type="dxa"/>
            <w:vAlign w:val="bottom"/>
            <w:vMerge w:val="restart"/>
          </w:tcPr>
          <w:p>
            <w:pPr>
              <w:ind w:left="100"/>
              <w:spacing w:after="0"/>
              <w:rPr>
                <w:sz w:val="20"/>
                <w:szCs w:val="20"/>
                <w:color w:val="auto"/>
              </w:rPr>
            </w:pPr>
            <w:r>
              <w:rPr>
                <w:rFonts w:ascii="Arial" w:cs="Arial" w:eastAsia="Arial" w:hAnsi="Arial"/>
                <w:sz w:val="14"/>
                <w:szCs w:val="14"/>
                <w:b w:val="1"/>
                <w:bCs w:val="1"/>
                <w:color w:val="auto"/>
                <w:w w:val="88"/>
              </w:rPr>
              <w:t>Derivatives Not Designated as Hedging Instruments</w:t>
            </w:r>
          </w:p>
        </w:tc>
        <w:tc>
          <w:tcPr>
            <w:tcW w:w="1540" w:type="dxa"/>
            <w:vAlign w:val="bottom"/>
          </w:tcPr>
          <w:p>
            <w:pPr>
              <w:spacing w:after="0"/>
              <w:rPr>
                <w:sz w:val="14"/>
                <w:szCs w:val="14"/>
                <w:color w:val="auto"/>
              </w:rPr>
            </w:pPr>
          </w:p>
        </w:tc>
        <w:tc>
          <w:tcPr>
            <w:tcW w:w="2380" w:type="dxa"/>
            <w:vAlign w:val="bottom"/>
            <w:vMerge w:val="restart"/>
          </w:tcPr>
          <w:p>
            <w:pPr>
              <w:ind w:left="520"/>
              <w:spacing w:after="0"/>
              <w:rPr>
                <w:sz w:val="20"/>
                <w:szCs w:val="20"/>
                <w:color w:val="auto"/>
              </w:rPr>
            </w:pPr>
            <w:r>
              <w:rPr>
                <w:rFonts w:ascii="Arial" w:cs="Arial" w:eastAsia="Arial" w:hAnsi="Arial"/>
                <w:sz w:val="14"/>
                <w:szCs w:val="14"/>
                <w:b w:val="1"/>
                <w:bCs w:val="1"/>
                <w:color w:val="auto"/>
              </w:rPr>
              <w:t>Balance Sheet Location</w:t>
            </w:r>
          </w:p>
        </w:tc>
        <w:tc>
          <w:tcPr>
            <w:tcW w:w="580" w:type="dxa"/>
            <w:vAlign w:val="bottom"/>
            <w:vMerge w:val="restart"/>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As of</w:t>
            </w: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160" w:type="dxa"/>
            <w:vAlign w:val="bottom"/>
            <w:vMerge w:val="continue"/>
          </w:tcPr>
          <w:p>
            <w:pPr>
              <w:spacing w:after="0"/>
              <w:rPr>
                <w:sz w:val="12"/>
                <w:szCs w:val="12"/>
                <w:color w:val="auto"/>
              </w:rPr>
            </w:pPr>
          </w:p>
        </w:tc>
        <w:tc>
          <w:tcPr>
            <w:tcW w:w="1540" w:type="dxa"/>
            <w:vAlign w:val="bottom"/>
          </w:tcPr>
          <w:p>
            <w:pPr>
              <w:spacing w:after="0"/>
              <w:rPr>
                <w:sz w:val="12"/>
                <w:szCs w:val="12"/>
                <w:color w:val="auto"/>
              </w:rPr>
            </w:pPr>
          </w:p>
        </w:tc>
        <w:tc>
          <w:tcPr>
            <w:tcW w:w="2380" w:type="dxa"/>
            <w:vAlign w:val="bottom"/>
            <w:vMerge w:val="continue"/>
          </w:tcPr>
          <w:p>
            <w:pPr>
              <w:spacing w:after="0"/>
              <w:rPr>
                <w:sz w:val="12"/>
                <w:szCs w:val="12"/>
                <w:color w:val="auto"/>
              </w:rPr>
            </w:pPr>
          </w:p>
        </w:tc>
        <w:tc>
          <w:tcPr>
            <w:tcW w:w="580" w:type="dxa"/>
            <w:vAlign w:val="bottom"/>
            <w:vMerge w:val="continue"/>
          </w:tcPr>
          <w:p>
            <w:pPr>
              <w:spacing w:after="0"/>
              <w:rPr>
                <w:sz w:val="12"/>
                <w:szCs w:val="12"/>
                <w:color w:val="auto"/>
              </w:rPr>
            </w:pPr>
          </w:p>
        </w:tc>
        <w:tc>
          <w:tcPr>
            <w:tcW w:w="108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March 31, 2010</w:t>
            </w:r>
          </w:p>
        </w:tc>
        <w:tc>
          <w:tcPr>
            <w:tcW w:w="520" w:type="dxa"/>
            <w:vAlign w:val="bottom"/>
          </w:tcPr>
          <w:p>
            <w:pPr>
              <w:spacing w:after="0"/>
              <w:rPr>
                <w:sz w:val="12"/>
                <w:szCs w:val="12"/>
                <w:color w:val="auto"/>
              </w:rPr>
            </w:pPr>
          </w:p>
        </w:tc>
        <w:tc>
          <w:tcPr>
            <w:tcW w:w="11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w w:val="85"/>
              </w:rPr>
              <w:t>December 31, 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shd w:val="clear" w:color="auto" w:fill="000000"/>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3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Purchase of TBA and forward settling agency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Sale of TBA and forward settling agency securities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7,385</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523</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Receiver Swaptions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357</w:t>
            </w: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Put options to sell TBA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assets, at fair value</w:t>
            </w:r>
          </w:p>
        </w:tc>
        <w:tc>
          <w:tcPr>
            <w:tcW w:w="3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366</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8,895</w:t>
            </w:r>
          </w:p>
        </w:tc>
        <w:tc>
          <w:tcPr>
            <w:tcW w:w="180" w:type="dxa"/>
            <w:vAlign w:val="bottom"/>
          </w:tcPr>
          <w:p>
            <w:pPr>
              <w:spacing w:after="0"/>
              <w:rPr>
                <w:sz w:val="19"/>
                <w:szCs w:val="19"/>
                <w:color w:val="auto"/>
              </w:rPr>
            </w:pPr>
          </w:p>
        </w:tc>
        <w:tc>
          <w:tcPr>
            <w:tcW w:w="88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7,755</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9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Purchase of TBA and forward settling agency securities</w:t>
            </w:r>
          </w:p>
        </w:tc>
        <w:tc>
          <w:tcPr>
            <w:tcW w:w="1540" w:type="dxa"/>
            <w:vAlign w:val="bottom"/>
            <w:shd w:val="clear" w:color="auto" w:fill="CCEEFF"/>
          </w:tcPr>
          <w:p>
            <w:pPr>
              <w:spacing w:after="0"/>
              <w:rPr>
                <w:sz w:val="18"/>
                <w:szCs w:val="18"/>
                <w:color w:val="auto"/>
              </w:rPr>
            </w:pPr>
          </w:p>
        </w:tc>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Derivative liabilities, at fair value</w:t>
            </w: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(242)</w:t>
            </w: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gridSpan w:val="2"/>
          </w:tcPr>
          <w:p>
            <w:pPr>
              <w:spacing w:after="0"/>
              <w:rPr>
                <w:sz w:val="20"/>
                <w:szCs w:val="20"/>
                <w:color w:val="auto"/>
              </w:rPr>
            </w:pPr>
            <w:r>
              <w:rPr>
                <w:rFonts w:ascii="Arial" w:cs="Arial" w:eastAsia="Arial" w:hAnsi="Arial"/>
                <w:sz w:val="18"/>
                <w:szCs w:val="18"/>
                <w:color w:val="auto"/>
              </w:rPr>
              <w:t>Sale of TBA and forward settling agency securities</w:t>
            </w:r>
          </w:p>
        </w:tc>
        <w:tc>
          <w:tcPr>
            <w:tcW w:w="1540" w:type="dxa"/>
            <w:vAlign w:val="bottom"/>
          </w:tcPr>
          <w:p>
            <w:pPr>
              <w:spacing w:after="0"/>
              <w:rPr>
                <w:sz w:val="18"/>
                <w:szCs w:val="18"/>
                <w:color w:val="auto"/>
              </w:rPr>
            </w:pPr>
          </w:p>
        </w:tc>
        <w:tc>
          <w:tcPr>
            <w:tcW w:w="2960" w:type="dxa"/>
            <w:vAlign w:val="bottom"/>
            <w:gridSpan w:val="2"/>
          </w:tcPr>
          <w:p>
            <w:pPr>
              <w:spacing w:after="0"/>
              <w:rPr>
                <w:sz w:val="20"/>
                <w:szCs w:val="20"/>
                <w:color w:val="auto"/>
              </w:rPr>
            </w:pPr>
            <w:r>
              <w:rPr>
                <w:rFonts w:ascii="Arial" w:cs="Arial" w:eastAsia="Arial" w:hAnsi="Arial"/>
                <w:sz w:val="18"/>
                <w:szCs w:val="18"/>
                <w:color w:val="auto"/>
              </w:rPr>
              <w:t>Derivative liabilities, at fair value</w:t>
            </w:r>
          </w:p>
        </w:tc>
        <w:tc>
          <w:tcPr>
            <w:tcW w:w="30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(749)</w:t>
            </w: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94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23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52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316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23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(991)</w:t>
            </w:r>
          </w:p>
        </w:tc>
        <w:tc>
          <w:tcPr>
            <w:tcW w:w="88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3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7,904</w:t>
            </w:r>
          </w:p>
        </w:tc>
        <w:tc>
          <w:tcPr>
            <w:tcW w:w="180" w:type="dxa"/>
            <w:vAlign w:val="bottom"/>
          </w:tcPr>
          <w:p>
            <w:pPr>
              <w:spacing w:after="0"/>
              <w:rPr>
                <w:sz w:val="19"/>
                <w:szCs w:val="19"/>
                <w:color w:val="auto"/>
              </w:rPr>
            </w:pPr>
          </w:p>
        </w:tc>
        <w:tc>
          <w:tcPr>
            <w:tcW w:w="880" w:type="dxa"/>
            <w:vAlign w:val="bottom"/>
            <w:gridSpan w:val="2"/>
          </w:tcPr>
          <w:p>
            <w:pPr>
              <w:ind w:left="5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4,676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920" w:type="dxa"/>
            <w:vAlign w:val="bottom"/>
            <w:gridSpan w:val="2"/>
            <w:vMerge w:val="restart"/>
          </w:tcPr>
          <w:p>
            <w:pPr>
              <w:jc w:val="right"/>
              <w:ind w:right="2155"/>
              <w:spacing w:after="0"/>
              <w:rPr>
                <w:sz w:val="20"/>
                <w:szCs w:val="20"/>
                <w:color w:val="auto"/>
              </w:rPr>
            </w:pPr>
            <w:r>
              <w:rPr>
                <w:rFonts w:ascii="Arial" w:cs="Arial" w:eastAsia="Arial" w:hAnsi="Arial"/>
                <w:sz w:val="18"/>
                <w:szCs w:val="18"/>
                <w:color w:val="auto"/>
              </w:rPr>
              <w:t>19</w:t>
            </w:r>
          </w:p>
        </w:tc>
        <w:tc>
          <w:tcPr>
            <w:tcW w:w="5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3920" w:type="dxa"/>
            <w:vAlign w:val="bottom"/>
            <w:gridSpan w:val="2"/>
            <w:vMerge w:val="continue"/>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80" w:firstLine="456"/>
        <w:spacing w:after="0" w:line="332" w:lineRule="auto"/>
        <w:rPr>
          <w:sz w:val="20"/>
          <w:szCs w:val="20"/>
          <w:color w:val="auto"/>
        </w:rPr>
      </w:pPr>
      <w:r>
        <w:rPr>
          <w:rFonts w:ascii="Arial" w:cs="Arial" w:eastAsia="Arial" w:hAnsi="Arial"/>
          <w:sz w:val="16"/>
          <w:szCs w:val="16"/>
          <w:color w:val="auto"/>
        </w:rPr>
        <w:t>During the three months ended March 31, 2010 we recorded a gain of $4.0 million in gain (loss) on derivative instruments, net in our consolidated statement of operations and comprehensive income for derivatives not designated as hedging instruments under ASC 815.</w:t>
      </w:r>
    </w:p>
    <w:p>
      <w:pPr>
        <w:spacing w:after="0" w:line="72"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income statement for the three months ended March 31, 2010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0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Notional Amount</w:t>
            </w:r>
          </w:p>
        </w:tc>
        <w:tc>
          <w:tcPr>
            <w:tcW w:w="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0" w:type="dxa"/>
            <w:vAlign w:val="bottom"/>
            <w:gridSpan w:val="2"/>
          </w:tcPr>
          <w:p>
            <w:pPr>
              <w:ind w:left="60"/>
              <w:spacing w:after="0"/>
              <w:rPr>
                <w:sz w:val="20"/>
                <w:szCs w:val="20"/>
                <w:color w:val="auto"/>
              </w:rPr>
            </w:pPr>
            <w:r>
              <w:rPr>
                <w:rFonts w:ascii="Arial" w:cs="Arial" w:eastAsia="Arial" w:hAnsi="Arial"/>
                <w:sz w:val="14"/>
                <w:szCs w:val="14"/>
                <w:b w:val="1"/>
                <w:bCs w:val="1"/>
                <w:color w:val="auto"/>
              </w:rPr>
              <w:t>Settlement,</w:t>
            </w:r>
          </w:p>
        </w:tc>
        <w:tc>
          <w:tcPr>
            <w:tcW w:w="180" w:type="dxa"/>
            <w:vAlign w:val="bottom"/>
          </w:tcPr>
          <w:p>
            <w:pPr>
              <w:spacing w:after="0"/>
              <w:rPr>
                <w:sz w:val="14"/>
                <w:szCs w:val="14"/>
                <w:color w:val="auto"/>
              </w:rPr>
            </w:pPr>
          </w:p>
        </w:tc>
        <w:tc>
          <w:tcPr>
            <w:tcW w:w="1000" w:type="dxa"/>
            <w:vAlign w:val="bottom"/>
            <w:gridSpan w:val="2"/>
          </w:tcPr>
          <w:p>
            <w:pPr>
              <w:spacing w:after="0"/>
              <w:rPr>
                <w:sz w:val="20"/>
                <w:szCs w:val="20"/>
                <w:color w:val="auto"/>
              </w:rPr>
            </w:pPr>
            <w:r>
              <w:rPr>
                <w:rFonts w:ascii="Arial" w:cs="Arial" w:eastAsia="Arial" w:hAnsi="Arial"/>
                <w:sz w:val="14"/>
                <w:szCs w:val="14"/>
                <w:b w:val="1"/>
                <w:bCs w:val="1"/>
                <w:color w:val="auto"/>
                <w:w w:val="86"/>
              </w:rPr>
              <w:t>Notional Amount</w:t>
            </w:r>
          </w:p>
        </w:tc>
        <w:tc>
          <w:tcPr>
            <w:tcW w:w="44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1440" w:type="dxa"/>
            <w:vAlign w:val="bottom"/>
            <w:gridSpan w:val="3"/>
          </w:tcPr>
          <w:p>
            <w:pPr>
              <w:spacing w:after="0"/>
              <w:rPr>
                <w:sz w:val="20"/>
                <w:szCs w:val="20"/>
                <w:color w:val="auto"/>
              </w:rPr>
            </w:pPr>
            <w:r>
              <w:rPr>
                <w:rFonts w:ascii="Arial" w:cs="Arial" w:eastAsia="Arial" w:hAnsi="Arial"/>
                <w:sz w:val="14"/>
                <w:szCs w:val="14"/>
                <w:b w:val="1"/>
                <w:bCs w:val="1"/>
                <w:color w:val="auto"/>
                <w:w w:val="94"/>
              </w:rPr>
              <w:t>Amount of Gain/(Loss)</w:t>
            </w:r>
          </w:p>
        </w:tc>
      </w:tr>
      <w:tr>
        <w:trPr>
          <w:trHeight w:val="149"/>
        </w:trPr>
        <w:tc>
          <w:tcPr>
            <w:tcW w:w="1040" w:type="dxa"/>
            <w:vAlign w:val="bottom"/>
          </w:tcPr>
          <w:p>
            <w:pPr>
              <w:spacing w:after="0"/>
              <w:rPr>
                <w:sz w:val="12"/>
                <w:szCs w:val="12"/>
                <w:color w:val="auto"/>
              </w:rPr>
            </w:pPr>
          </w:p>
        </w:tc>
        <w:tc>
          <w:tcPr>
            <w:tcW w:w="3300" w:type="dxa"/>
            <w:vAlign w:val="bottom"/>
            <w:gridSpan w:val="3"/>
          </w:tcPr>
          <w:p>
            <w:pPr>
              <w:jc w:val="center"/>
              <w:ind w:right="920"/>
              <w:spacing w:after="0" w:line="149" w:lineRule="exact"/>
              <w:rPr>
                <w:sz w:val="20"/>
                <w:szCs w:val="20"/>
                <w:color w:val="auto"/>
              </w:rPr>
            </w:pPr>
            <w:r>
              <w:rPr>
                <w:rFonts w:ascii="Arial" w:cs="Arial" w:eastAsia="Arial" w:hAnsi="Arial"/>
                <w:sz w:val="14"/>
                <w:szCs w:val="14"/>
                <w:b w:val="1"/>
                <w:bCs w:val="1"/>
                <w:color w:val="auto"/>
                <w:w w:val="86"/>
              </w:rPr>
              <w:t>Derivatives Not Designated as Hedging</w:t>
            </w:r>
          </w:p>
        </w:tc>
        <w:tc>
          <w:tcPr>
            <w:tcW w:w="4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40" w:type="dxa"/>
            <w:vAlign w:val="bottom"/>
          </w:tcPr>
          <w:p>
            <w:pPr>
              <w:jc w:val="right"/>
              <w:ind w:right="335"/>
              <w:spacing w:after="0" w:line="149" w:lineRule="exact"/>
              <w:rPr>
                <w:sz w:val="20"/>
                <w:szCs w:val="20"/>
                <w:color w:val="auto"/>
              </w:rPr>
            </w:pPr>
            <w:r>
              <w:rPr>
                <w:rFonts w:ascii="Arial" w:cs="Arial" w:eastAsia="Arial" w:hAnsi="Arial"/>
                <w:sz w:val="14"/>
                <w:szCs w:val="14"/>
                <w:b w:val="1"/>
                <w:bCs w:val="1"/>
                <w:color w:val="auto"/>
              </w:rPr>
              <w:t>as of</w:t>
            </w:r>
          </w:p>
        </w:tc>
        <w:tc>
          <w:tcPr>
            <w:tcW w:w="3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jc w:val="right"/>
              <w:ind w:right="275"/>
              <w:spacing w:after="0" w:line="149" w:lineRule="exact"/>
              <w:rPr>
                <w:sz w:val="20"/>
                <w:szCs w:val="20"/>
                <w:color w:val="auto"/>
              </w:rPr>
            </w:pPr>
            <w:r>
              <w:rPr>
                <w:rFonts w:ascii="Arial" w:cs="Arial" w:eastAsia="Arial" w:hAnsi="Arial"/>
                <w:sz w:val="14"/>
                <w:szCs w:val="14"/>
                <w:b w:val="1"/>
                <w:bCs w:val="1"/>
                <w:color w:val="auto"/>
              </w:rPr>
              <w:t>as of</w:t>
            </w:r>
          </w:p>
        </w:tc>
        <w:tc>
          <w:tcPr>
            <w:tcW w:w="440" w:type="dxa"/>
            <w:vAlign w:val="bottom"/>
            <w:tcBorders>
              <w:right w:val="single" w:sz="8" w:color="auto"/>
            </w:tcBorders>
          </w:tcPr>
          <w:p>
            <w:pPr>
              <w:spacing w:after="0"/>
              <w:rPr>
                <w:sz w:val="12"/>
                <w:szCs w:val="12"/>
                <w:color w:val="auto"/>
              </w:rPr>
            </w:pPr>
          </w:p>
        </w:tc>
        <w:tc>
          <w:tcPr>
            <w:tcW w:w="300" w:type="dxa"/>
            <w:vAlign w:val="bottom"/>
          </w:tcPr>
          <w:p>
            <w:pPr>
              <w:spacing w:after="0"/>
              <w:rPr>
                <w:sz w:val="12"/>
                <w:szCs w:val="12"/>
                <w:color w:val="auto"/>
              </w:rPr>
            </w:pPr>
          </w:p>
        </w:tc>
        <w:tc>
          <w:tcPr>
            <w:tcW w:w="1440" w:type="dxa"/>
            <w:vAlign w:val="bottom"/>
            <w:gridSpan w:val="3"/>
          </w:tcPr>
          <w:p>
            <w:pPr>
              <w:jc w:val="right"/>
              <w:ind w:right="140"/>
              <w:spacing w:after="0" w:line="149" w:lineRule="exact"/>
              <w:rPr>
                <w:sz w:val="20"/>
                <w:szCs w:val="20"/>
                <w:color w:val="auto"/>
              </w:rPr>
            </w:pPr>
            <w:r>
              <w:rPr>
                <w:rFonts w:ascii="Arial" w:cs="Arial" w:eastAsia="Arial" w:hAnsi="Arial"/>
                <w:sz w:val="14"/>
                <w:szCs w:val="14"/>
                <w:b w:val="1"/>
                <w:bCs w:val="1"/>
                <w:color w:val="auto"/>
                <w:w w:val="86"/>
              </w:rPr>
              <w:t>Recognized in Income</w:t>
            </w:r>
          </w:p>
        </w:tc>
      </w:tr>
      <w:tr>
        <w:trPr>
          <w:trHeight w:val="161"/>
        </w:trPr>
        <w:tc>
          <w:tcPr>
            <w:tcW w:w="10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60" w:type="dxa"/>
            <w:vAlign w:val="bottom"/>
            <w:tcBorders>
              <w:bottom w:val="single" w:sz="8" w:color="auto"/>
            </w:tcBorders>
          </w:tcPr>
          <w:p>
            <w:pPr>
              <w:jc w:val="center"/>
              <w:ind w:right="52"/>
              <w:spacing w:after="0"/>
              <w:rPr>
                <w:sz w:val="20"/>
                <w:szCs w:val="20"/>
                <w:color w:val="auto"/>
              </w:rPr>
            </w:pPr>
            <w:r>
              <w:rPr>
                <w:rFonts w:ascii="Arial" w:cs="Arial" w:eastAsia="Arial" w:hAnsi="Arial"/>
                <w:sz w:val="14"/>
                <w:szCs w:val="14"/>
                <w:b w:val="1"/>
                <w:bCs w:val="1"/>
                <w:color w:val="auto"/>
                <w:w w:val="87"/>
              </w:rPr>
              <w:t>Instruments</w:t>
            </w:r>
          </w:p>
        </w:tc>
        <w:tc>
          <w:tcPr>
            <w:tcW w:w="9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10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5"/>
              </w:rPr>
              <w:t>December 31, 2009</w:t>
            </w:r>
          </w:p>
        </w:tc>
        <w:tc>
          <w:tcPr>
            <w:tcW w:w="30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6"/>
              </w:rPr>
              <w:t>Additions</w:t>
            </w:r>
          </w:p>
        </w:tc>
        <w:tc>
          <w:tcPr>
            <w:tcW w:w="320" w:type="dxa"/>
            <w:vAlign w:val="bottom"/>
          </w:tcPr>
          <w:p>
            <w:pPr>
              <w:spacing w:after="0"/>
              <w:rPr>
                <w:sz w:val="14"/>
                <w:szCs w:val="14"/>
                <w:color w:val="auto"/>
              </w:rPr>
            </w:pPr>
          </w:p>
        </w:tc>
        <w:tc>
          <w:tcPr>
            <w:tcW w:w="76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0"/>
              </w:rPr>
              <w:t>or Exercise</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94"/>
              </w:rPr>
              <w:t>March 31, 2010</w:t>
            </w:r>
          </w:p>
        </w:tc>
        <w:tc>
          <w:tcPr>
            <w:tcW w:w="440" w:type="dxa"/>
            <w:vAlign w:val="bottom"/>
            <w:tcBorders>
              <w:right w:val="single" w:sz="8" w:color="auto"/>
            </w:tcBorders>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22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w w:val="90"/>
              </w:rPr>
              <w:t>on Derivatives(1)</w:t>
            </w:r>
          </w:p>
        </w:tc>
        <w:tc>
          <w:tcPr>
            <w:tcW w:w="100" w:type="dxa"/>
            <w:vAlign w:val="bottom"/>
          </w:tcPr>
          <w:p>
            <w:pPr>
              <w:spacing w:after="0"/>
              <w:rPr>
                <w:sz w:val="14"/>
                <w:szCs w:val="14"/>
                <w:color w:val="auto"/>
              </w:rPr>
            </w:pPr>
          </w:p>
        </w:tc>
      </w:tr>
      <w:tr>
        <w:trPr>
          <w:trHeight w:val="210"/>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w w:val="97"/>
              </w:rPr>
              <w:t>Purchase of TBA and forward settling agency securities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596,516</w:t>
            </w:r>
          </w:p>
        </w:tc>
        <w:tc>
          <w:tcPr>
            <w:tcW w:w="12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835,876</w:t>
            </w:r>
          </w:p>
        </w:tc>
        <w:tc>
          <w:tcPr>
            <w:tcW w:w="10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6"/>
              </w:rPr>
              <w:t>(1,247,724)</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184,668</w:t>
            </w:r>
          </w:p>
        </w:tc>
        <w:tc>
          <w:tcPr>
            <w:tcW w:w="440" w:type="dxa"/>
            <w:vAlign w:val="bottom"/>
            <w:tcBorders>
              <w:right w:val="single" w:sz="8" w:color="auto"/>
            </w:tcBorders>
            <w:shd w:val="clear" w:color="auto" w:fill="CCEEFF"/>
          </w:tcPr>
          <w:p>
            <w:pPr>
              <w:spacing w:after="0"/>
              <w:rPr>
                <w:sz w:val="18"/>
                <w:szCs w:val="18"/>
                <w:color w:val="auto"/>
              </w:rPr>
            </w:pPr>
          </w:p>
        </w:tc>
        <w:tc>
          <w:tcPr>
            <w:tcW w:w="4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4,238</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Sale of TBA and forward settling agency securities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616,747</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966,166</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w w:val="86"/>
              </w:rPr>
              <w:t>(1,247,913)</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335,000</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00"/>
              <w:spacing w:after="0"/>
              <w:rPr>
                <w:sz w:val="20"/>
                <w:szCs w:val="20"/>
                <w:color w:val="auto"/>
              </w:rPr>
            </w:pPr>
            <w:r>
              <w:rPr>
                <w:rFonts w:ascii="Arial" w:cs="Arial" w:eastAsia="Arial" w:hAnsi="Arial"/>
                <w:sz w:val="18"/>
                <w:szCs w:val="18"/>
                <w:color w:val="auto"/>
              </w:rPr>
              <w:t>2,746</w:t>
            </w:r>
          </w:p>
        </w:tc>
      </w:tr>
      <w:tr>
        <w:trPr>
          <w:trHeight w:val="216"/>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3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440" w:type="dxa"/>
            <w:vAlign w:val="bottom"/>
            <w:tcBorders>
              <w:right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(1,791)</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Receiver Swaptions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100,000</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100,000</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(100,000)</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100,000</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(376)</w:t>
            </w:r>
          </w:p>
        </w:tc>
      </w:tr>
      <w:tr>
        <w:trPr>
          <w:trHeight w:val="216"/>
        </w:trPr>
        <w:tc>
          <w:tcPr>
            <w:tcW w:w="434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Put Options</w:t>
            </w:r>
          </w:p>
        </w:tc>
        <w:tc>
          <w:tcPr>
            <w:tcW w:w="6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75,000</w:t>
            </w: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440" w:type="dxa"/>
            <w:vAlign w:val="bottom"/>
            <w:tcBorders>
              <w:right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w:t>
            </w:r>
          </w:p>
        </w:tc>
      </w:tr>
      <w:tr>
        <w:trPr>
          <w:trHeight w:val="216"/>
        </w:trPr>
        <w:tc>
          <w:tcPr>
            <w:tcW w:w="4340" w:type="dxa"/>
            <w:vAlign w:val="bottom"/>
            <w:gridSpan w:val="4"/>
          </w:tcPr>
          <w:p>
            <w:pPr>
              <w:spacing w:after="0"/>
              <w:rPr>
                <w:sz w:val="20"/>
                <w:szCs w:val="20"/>
                <w:color w:val="auto"/>
              </w:rPr>
            </w:pPr>
            <w:r>
              <w:rPr>
                <w:rFonts w:ascii="Arial" w:cs="Arial" w:eastAsia="Arial" w:hAnsi="Arial"/>
                <w:sz w:val="18"/>
                <w:szCs w:val="18"/>
                <w:color w:val="auto"/>
              </w:rPr>
              <w:t>Interest rate swaps</w:t>
            </w:r>
          </w:p>
        </w:tc>
        <w:tc>
          <w:tcPr>
            <w:tcW w:w="680" w:type="dxa"/>
            <w:vAlign w:val="bottom"/>
            <w:gridSpan w:val="2"/>
          </w:tcPr>
          <w:p>
            <w:pPr>
              <w:ind w:left="42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1200" w:type="dxa"/>
            <w:vAlign w:val="bottom"/>
            <w:gridSpan w:val="3"/>
          </w:tcPr>
          <w:p>
            <w:pPr>
              <w:jc w:val="right"/>
              <w:ind w:right="320"/>
              <w:spacing w:after="0"/>
              <w:rPr>
                <w:sz w:val="20"/>
                <w:szCs w:val="20"/>
                <w:color w:val="auto"/>
              </w:rPr>
            </w:pPr>
            <w:r>
              <w:rPr>
                <w:rFonts w:ascii="Arial" w:cs="Arial" w:eastAsia="Arial" w:hAnsi="Arial"/>
                <w:sz w:val="18"/>
                <w:szCs w:val="18"/>
                <w:color w:val="auto"/>
              </w:rPr>
              <w:t>100,000</w:t>
            </w:r>
          </w:p>
        </w:tc>
        <w:tc>
          <w:tcPr>
            <w:tcW w:w="1000" w:type="dxa"/>
            <w:vAlign w:val="bottom"/>
            <w:gridSpan w:val="2"/>
          </w:tcPr>
          <w:p>
            <w:pPr>
              <w:jc w:val="right"/>
              <w:ind w:right="180"/>
              <w:spacing w:after="0"/>
              <w:rPr>
                <w:sz w:val="20"/>
                <w:szCs w:val="20"/>
                <w:color w:val="auto"/>
              </w:rPr>
            </w:pPr>
            <w:r>
              <w:rPr>
                <w:rFonts w:ascii="Arial" w:cs="Arial" w:eastAsia="Arial" w:hAnsi="Arial"/>
                <w:sz w:val="18"/>
                <w:szCs w:val="18"/>
                <w:color w:val="auto"/>
              </w:rPr>
              <w:t>(100,000)</w:t>
            </w:r>
          </w:p>
        </w:tc>
        <w:tc>
          <w:tcPr>
            <w:tcW w:w="42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440" w:type="dxa"/>
            <w:vAlign w:val="bottom"/>
            <w:tcBorders>
              <w:right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(831)</w:t>
            </w:r>
          </w:p>
        </w:tc>
      </w:tr>
      <w:tr>
        <w:trPr>
          <w:trHeight w:val="27"/>
        </w:trPr>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300" w:type="dxa"/>
            <w:vAlign w:val="bottom"/>
          </w:tcPr>
          <w:p>
            <w:pPr>
              <w:spacing w:after="0"/>
              <w:rPr>
                <w:sz w:val="2"/>
                <w:szCs w:val="2"/>
                <w:color w:val="auto"/>
              </w:rPr>
            </w:pPr>
          </w:p>
        </w:tc>
        <w:tc>
          <w:tcPr>
            <w:tcW w:w="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7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Borders>
              <w:right w:val="single" w:sz="8" w:color="auto"/>
            </w:tcBorders>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10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40" w:type="dxa"/>
            <w:vAlign w:val="bottom"/>
            <w:tcBorders>
              <w:right w:val="single" w:sz="8" w:color="auto"/>
            </w:tcBorders>
            <w:shd w:val="clear" w:color="auto" w:fill="CCEEFF"/>
          </w:tcPr>
          <w:p>
            <w:pPr>
              <w:spacing w:after="0"/>
              <w:rPr>
                <w:sz w:val="18"/>
                <w:szCs w:val="18"/>
                <w:color w:val="auto"/>
              </w:rPr>
            </w:pPr>
          </w:p>
        </w:tc>
        <w:tc>
          <w:tcPr>
            <w:tcW w:w="4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4,023</w:t>
            </w:r>
          </w:p>
        </w:tc>
      </w:tr>
      <w:tr>
        <w:trPr>
          <w:trHeight w:val="20"/>
        </w:trPr>
        <w:tc>
          <w:tcPr>
            <w:tcW w:w="1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40" w:type="dxa"/>
            <w:vAlign w:val="bottom"/>
            <w:tcBorders>
              <w:right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02"/>
        </w:trPr>
        <w:tc>
          <w:tcPr>
            <w:tcW w:w="104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260" w:type="dxa"/>
            <w:vAlign w:val="bottom"/>
          </w:tcPr>
          <w:p>
            <w:pPr>
              <w:spacing w:after="0"/>
              <w:rPr>
                <w:sz w:val="8"/>
                <w:szCs w:val="8"/>
                <w:color w:val="auto"/>
              </w:rPr>
            </w:pPr>
          </w:p>
        </w:tc>
        <w:tc>
          <w:tcPr>
            <w:tcW w:w="9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60" w:type="dxa"/>
            <w:vAlign w:val="bottom"/>
          </w:tcPr>
          <w:p>
            <w:pPr>
              <w:spacing w:after="0"/>
              <w:rPr>
                <w:sz w:val="8"/>
                <w:szCs w:val="8"/>
                <w:color w:val="auto"/>
              </w:rPr>
            </w:pPr>
          </w:p>
        </w:tc>
        <w:tc>
          <w:tcPr>
            <w:tcW w:w="8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80" w:type="dxa"/>
            <w:vAlign w:val="bottom"/>
          </w:tcPr>
          <w:p>
            <w:pPr>
              <w:spacing w:after="0"/>
              <w:rPr>
                <w:sz w:val="8"/>
                <w:szCs w:val="8"/>
                <w:color w:val="auto"/>
              </w:rPr>
            </w:pPr>
          </w:p>
        </w:tc>
        <w:tc>
          <w:tcPr>
            <w:tcW w:w="320" w:type="dxa"/>
            <w:vAlign w:val="bottom"/>
          </w:tcPr>
          <w:p>
            <w:pPr>
              <w:spacing w:after="0"/>
              <w:rPr>
                <w:sz w:val="8"/>
                <w:szCs w:val="8"/>
                <w:color w:val="auto"/>
              </w:rPr>
            </w:pPr>
          </w:p>
        </w:tc>
        <w:tc>
          <w:tcPr>
            <w:tcW w:w="760" w:type="dxa"/>
            <w:vAlign w:val="bottom"/>
          </w:tcPr>
          <w:p>
            <w:pPr>
              <w:spacing w:after="0"/>
              <w:rPr>
                <w:sz w:val="8"/>
                <w:szCs w:val="8"/>
                <w:color w:val="auto"/>
              </w:rPr>
            </w:pPr>
          </w:p>
        </w:tc>
        <w:tc>
          <w:tcPr>
            <w:tcW w:w="240" w:type="dxa"/>
            <w:vAlign w:val="bottom"/>
          </w:tcPr>
          <w:p>
            <w:pPr>
              <w:spacing w:after="0"/>
              <w:rPr>
                <w:sz w:val="8"/>
                <w:szCs w:val="8"/>
                <w:color w:val="auto"/>
              </w:rPr>
            </w:pPr>
          </w:p>
        </w:tc>
        <w:tc>
          <w:tcPr>
            <w:tcW w:w="18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0" w:type="dxa"/>
            <w:vAlign w:val="bottom"/>
          </w:tcPr>
          <w:p>
            <w:pPr>
              <w:spacing w:after="0"/>
              <w:rPr>
                <w:sz w:val="8"/>
                <w:szCs w:val="8"/>
                <w:color w:val="auto"/>
              </w:rPr>
            </w:pPr>
          </w:p>
        </w:tc>
      </w:tr>
    </w:tbl>
    <w:p>
      <w:pPr>
        <w:spacing w:after="0" w:line="16" w:lineRule="exact"/>
        <w:rPr>
          <w:sz w:val="20"/>
          <w:szCs w:val="20"/>
          <w:color w:val="auto"/>
        </w:rPr>
      </w:pPr>
    </w:p>
    <w:p>
      <w:pPr>
        <w:ind w:left="340" w:right="160" w:hanging="332"/>
        <w:spacing w:after="0" w:line="318" w:lineRule="auto"/>
        <w:tabs>
          <w:tab w:leader="none" w:pos="340" w:val="left"/>
        </w:tabs>
        <w:numPr>
          <w:ilvl w:val="0"/>
          <w:numId w:val="6"/>
        </w:numPr>
        <w:rPr>
          <w:rFonts w:ascii="Arial" w:cs="Arial" w:eastAsia="Arial" w:hAnsi="Arial"/>
          <w:sz w:val="12"/>
          <w:szCs w:val="12"/>
          <w:color w:val="auto"/>
        </w:rPr>
      </w:pPr>
      <w:r>
        <w:rPr>
          <w:rFonts w:ascii="Arial" w:cs="Arial" w:eastAsia="Arial" w:hAnsi="Arial"/>
          <w:sz w:val="12"/>
          <w:szCs w:val="12"/>
          <w:color w:val="auto"/>
        </w:rPr>
        <w:t>This amount excludes $2.1 million recorded as a gain for interest-only strips remeasured at fair value through earnings and a loss of $0.2 million for hedge ineffectiveness on our outstanding interest rate swaps in gain (loss) on derivative instruments, net in our consolidated statements of operations and comprehensive for the three months ended March 31, 2010.</w:t>
      </w:r>
    </w:p>
    <w:p>
      <w:pPr>
        <w:spacing w:after="0" w:line="82" w:lineRule="exact"/>
        <w:rPr>
          <w:sz w:val="20"/>
          <w:szCs w:val="20"/>
          <w:color w:val="auto"/>
        </w:rPr>
      </w:pPr>
    </w:p>
    <w:p>
      <w:pPr>
        <w:ind w:right="2280" w:firstLine="456"/>
        <w:spacing w:after="0" w:line="375" w:lineRule="auto"/>
        <w:rPr>
          <w:sz w:val="20"/>
          <w:szCs w:val="20"/>
          <w:color w:val="auto"/>
        </w:rPr>
      </w:pPr>
      <w:r>
        <w:rPr>
          <w:rFonts w:ascii="Arial" w:cs="Arial" w:eastAsia="Arial" w:hAnsi="Arial"/>
          <w:sz w:val="18"/>
          <w:szCs w:val="18"/>
          <w:color w:val="auto"/>
        </w:rPr>
        <w:t xml:space="preserve">There were no derivative instruments not designated as hedges under ASC 815 for the three months ended March 31, 2009. </w:t>
      </w:r>
      <w:r>
        <w:rPr>
          <w:rFonts w:ascii="Arial" w:cs="Arial" w:eastAsia="Arial" w:hAnsi="Arial"/>
          <w:sz w:val="18"/>
          <w:szCs w:val="18"/>
          <w:b w:val="1"/>
          <w:bCs w:val="1"/>
          <w:i w:val="1"/>
          <w:iCs w:val="1"/>
          <w:color w:val="auto"/>
        </w:rPr>
        <w:t>Credit Risk-Related Contingent Features</w:t>
      </w:r>
    </w:p>
    <w:p>
      <w:pPr>
        <w:spacing w:after="0" w:line="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derivatives whose amounts vary over time based on the market value, notional amount and remaining term of the derivative contract. In the event of a default by a counterparty we may not receive payments provided for under the terms of our derivative agreement, and may have difficulty obtaining our assets pledged as collateral for our derivatives. We do not anticipate any defaults by our derivative counterparties. The cash and cash equivalents and agency securities pledged as collateral for our derivative instruments is included in restricted cash and agency securities, respectively, on our consolidated balance sheets.</w:t>
      </w:r>
    </w:p>
    <w:p>
      <w:pPr>
        <w:spacing w:after="0" w:line="105"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Each of our ISDA Master Agreements contains provisions under which we are required to fully collateralize our obligations under the interest rate swap instrument if at any point the fair value of the interest rate swap represents a liability greater than the minimum transfer amount contained within our agreements. We were also required to post initial collateral upon execution of certain of our interest rate swaps transactions. If we breach any of these provisions we will be required to settle our obligations under the agreements at their termination values. As of March 31, 2010 and December 31, 2009, the fair value of our interest rate swaps in a liability position related to these agreements was $28.4 million and $14.7 million, respectively. We had agency securities with fair values of $29.5 million and $15.4 million, and cash and cash equivalents of $22.2 million and $10.2 million, or $51.7 million and $25.6 million in total agency securities and cash and cash equivalents, pledged as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collateral against our interest rate swaps as of March 31, 2010 and December 31, 2009, respectively. Termination values totaled $29.8 million and $15.4 million as of March 31, 2010 and December 31, 2009, respectively, which includes accrued interest.</w:t>
      </w:r>
    </w:p>
    <w:p>
      <w:pPr>
        <w:spacing w:after="0" w:line="118"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Each of our ISDA Master Agreements also contains a cross default provision under which a default under certain of our other indebtedness in excess of a certain threshold causes an event of default under the agreement. Threshold amounts range from $5 million to $25 million. Following an event of default, a termination event may occur and we could be required to settle our obligations under the agreements at their termination values.</w:t>
      </w:r>
    </w:p>
    <w:p>
      <w:pPr>
        <w:spacing w:after="0" w:line="93"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One of our ISDA Master Agreements contains an additional termination event that is triggered if our net worth at the end of any calendar quarter declines by 30% or more from the end of any previous calendar quarter or if our net worth declines by 40% or more at any time during any consecutive twelve-month period. As of March 31, 2010 and December 31, 2009, the fair value of interest rate swaps in a liability position related to this agreement was $6.3 million and $1.7 million, respectively. As of March 31, 2010 and December 31, 2009, we were not in violation of this provision.</w:t>
      </w:r>
    </w:p>
    <w:p>
      <w:pPr>
        <w:spacing w:after="0" w:line="99"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One of our ISDA Master Agreements contains an additional termination event that is triggered if we fail to maintain minimum stockholders’ equity of the greater of (a) $200 million or (b) 50% of the highest stockholders’ equity from the date of the agreement. As of March 31, 2010 and December 31, 2009, the fair value of interest rate swaps in a liability position related to this agreement was $10.7 million and $7.7 million, respectively. As of March 31, 2010 and December 31, 2009, we were not in violation of this provision.</w:t>
      </w:r>
    </w:p>
    <w:p>
      <w:pPr>
        <w:spacing w:after="0" w:line="130"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One of our ISDA Master Agreements contains an additional termination event that is triggered if our total stockholders’ equity declines by 50% or more from our total stockholders’ equity at our IPO date. As of March 31, 2010 and December 31, 2009, the fair value of interest rate swaps in a liability position related to this agreement was $7.3 million and $1.8 million, respectively. As of March 31, 2010 and December 31, 2009, we were not in violation of this provision.</w:t>
      </w:r>
    </w:p>
    <w:p>
      <w:pPr>
        <w:spacing w:after="0" w:line="130"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One of our ISDA Master Agreements contains an additional termination event that is triggered if our net asset value declines by 25% or more as of the end of the third preceding month or by 35% or more as of the end of the twelfth preceding month. As of March 31, 2010 and December 31, 2009, there were no derivatives outstanding related to this agreement. As of March 31, 2010 and December 31, 2009, we were not in violation of this provision.</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 xml:space="preserve">FASB ASC Topic 820, </w:t>
      </w:r>
      <w:r>
        <w:rPr>
          <w:rFonts w:ascii="Arial" w:cs="Arial" w:eastAsia="Arial" w:hAnsi="Arial"/>
          <w:sz w:val="16"/>
          <w:szCs w:val="16"/>
          <w:i w:val="1"/>
          <w:iCs w:val="1"/>
          <w:color w:val="auto"/>
        </w:rPr>
        <w:t>Fair Value Measurements and Disclosures</w:t>
      </w:r>
      <w:r>
        <w:rPr>
          <w:rFonts w:ascii="Arial" w:cs="Arial" w:eastAsia="Arial" w:hAnsi="Arial"/>
          <w:sz w:val="16"/>
          <w:szCs w:val="16"/>
          <w:color w:val="auto"/>
        </w:rPr>
        <w:t xml:space="preserve"> (“ASC 820”)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ASC 820 are defined as follows:</w:t>
      </w:r>
    </w:p>
    <w:p>
      <w:pPr>
        <w:spacing w:after="0" w:line="18" w:lineRule="exact"/>
        <w:rPr>
          <w:sz w:val="20"/>
          <w:szCs w:val="20"/>
          <w:color w:val="auto"/>
        </w:rPr>
      </w:pPr>
    </w:p>
    <w:p>
      <w:pPr>
        <w:ind w:left="780" w:right="280" w:hanging="326"/>
        <w:spacing w:after="0" w:line="268" w:lineRule="auto"/>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60" w:hanging="326"/>
        <w:spacing w:after="0" w:line="325" w:lineRule="auto"/>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There was no transfers between hierarchy levels during the three months ended March 31, 2010 and 2009.</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Due to their short-term nature, repurchase agreements are carried at cost, which approximates fair value.</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40"/>
          </w:cols>
          <w:pgMar w:left="240" w:top="459" w:right="31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Agency securities are valued based on a market approach using Level 2 Inputs from third-party pricing services and dealer quotes at March 31, 2010 and December 31, 2009. The third-party pricing services use pricing models that incorporate such factors as coupons, primary and secondary mortgage rates, prepayment speeds, spread to the Treasury and interest rate swap curves, convexity, duration, periodic and life caps and credit enhancement.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Interest rate swaps and swaptions are valued based on an income and market approach using Level 2 Inputs from a third-party pricing model at March 31, 2010 and December 31, 2009. The third-party pricing model incorporates such factors as the Treasury curve, LIBOR rates and the pay rate on the interest rate swaps and, in the case of interest rate swaptions, on the future interest rate swap that we have the option to enter into. We also incorporate both our own and our counterparties’ nonperformance risk in estimating the fair value of our interest rate swap and swaption agreements. In considering the effect of nonperformance risk, we considered the impact of netting and credit enhancements, such as collateral postings and guarantees, and have concluded that our own and our counterparty risk is not significant to the overall valuation of these agreements.</w:t>
      </w:r>
    </w:p>
    <w:p>
      <w:pPr>
        <w:spacing w:after="0" w:line="107" w:lineRule="exact"/>
        <w:rPr>
          <w:sz w:val="20"/>
          <w:szCs w:val="20"/>
          <w:color w:val="auto"/>
        </w:rPr>
      </w:pPr>
    </w:p>
    <w:p>
      <w:pPr>
        <w:ind w:right="40" w:firstLine="456"/>
        <w:spacing w:after="0" w:line="370" w:lineRule="auto"/>
        <w:rPr>
          <w:sz w:val="20"/>
          <w:szCs w:val="20"/>
          <w:color w:val="auto"/>
        </w:rPr>
      </w:pPr>
      <w:r>
        <w:rPr>
          <w:rFonts w:ascii="Arial" w:cs="Arial" w:eastAsia="Arial" w:hAnsi="Arial"/>
          <w:sz w:val="15"/>
          <w:szCs w:val="15"/>
          <w:color w:val="auto"/>
        </w:rPr>
        <w:t>Contracts to purchase or sell TBA securities and specified agency securities on a forward basis and options to purchase or sell TBA securities are valued using Level 2 Inputs at March 31, 2010 and December 31, 2009 based on a market approach using the same methods to value agency securities described above.</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Management Agreement and Related Party Transactions</w:t>
      </w:r>
    </w:p>
    <w:p>
      <w:pPr>
        <w:spacing w:after="0" w:line="8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which provides for an initial term through May 20, 2011 with automatic one-year extension options and subject to certain termination rights. We 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For the three months ended March 31, 2010 and 2009, we recorded an expense for management fees of $1.8 million and $0.9 million, respectively.</w:t>
      </w:r>
    </w:p>
    <w:p>
      <w:pPr>
        <w:spacing w:after="0" w:line="10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We are obligated to reimburse our Manager for its expenses incurred directly related to our operations, excluding employment-related expenses of our Manager’s officers and employees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the three months ended March 31, 2010 and 2009, we recorded expense reimbursements to our Manager of $0.8 million. As of March 31, 2010 and December 31, 2009, $0.8 million and $1.7 million, respectively, was payable to our Manager.</w:t>
      </w:r>
    </w:p>
    <w:p>
      <w:pPr>
        <w:spacing w:after="0" w:line="13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340"/>
          </w:cols>
          <w:pgMar w:left="240" w:top="459" w:right="3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We will be required to pay our Manager a termination fee for non-renewal of the management agreement without cause. The termination fee will be equal to three times the average annual management fee earned by the Manager during the prior 24-month period immediately preceding the most recently completed month prior to the effective date of the termination.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Stockholders’ Equity</w:t>
      </w:r>
    </w:p>
    <w:p>
      <w:pPr>
        <w:spacing w:after="0" w:line="83"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An aggregate of 3.0 million shares of our common stock has been reserved for issuance under the plan. During the three months ended March 31, 2010, we issued approximately 2.4 million shares under the plan for cash proceeds of $62.1 million. We did not issue any shares under the plan prior to December 31, 2009. As of March 31, 2010 and December 31, 2009, there were approximately 0.6 million and 3.0 million shares available for issuance under this plan, respectively.</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Dividends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On March 16, 2010, our Board of Directors declared a dividend of $1.40 per share for the first quarter of 2010. The dividend was paid on April 28, 2010.</w:t>
      </w:r>
    </w:p>
    <w:p>
      <w:pPr>
        <w:spacing w:after="0" w:line="18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80"/>
          </w:cols>
          <w:pgMar w:left="240" w:top="459" w:right="37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10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consolidated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American Capital Agency Corp. (together with its consolidated subsidiary, is referred throughout this report as the “Company”, “we”, “us” and “our”) is a real estate investment trust (“REIT”) that invests exclusively in residential mortgage pass-through securities and collateralized mortgage obligations on a leveraged basis. These investments consist of securities for which principal and interest are guaranteed by government-sponsored entities such as the Federal National Mortgage Association (“Fannie Mae”) and the Federal Home Loan Mortgage Corporation (“Freddie Mac”), or by a U.S. Government agency such as the Government National Mortgage Association (“Ginnie Mae”). We refer to these types of securities as agency securities and the specific agency securities in which we invest as our investment portfolio.</w:t>
      </w:r>
    </w:p>
    <w:p>
      <w:pPr>
        <w:spacing w:after="0" w:line="131"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IPO. Our common stock is traded on The NASDAQ Global Select Market under the symbol “AGNC”.</w:t>
      </w:r>
    </w:p>
    <w:p>
      <w:pPr>
        <w:spacing w:after="0" w:line="118"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Our principal objective is to generate net income for distribution to our stockholders through regular quarterly dividends from our net interest income, which is the spread between the interest income earned on our investment portfolio and the interest costs of our borrowings and hedging activities, and realized gains on our investments. We fund our investments through short-term borrowings structured as repurchase agreements. Since our IPO, we have declared or paid dividends of $9.06 per share.</w:t>
      </w:r>
    </w:p>
    <w:p>
      <w:pPr>
        <w:spacing w:after="0" w:line="130"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We have elected to be taxed as a REIT under the Internal Revenue Code of 1986, as amended (the “Code”), commencing with our taxable year ending December 31, 2008. As long as we qualify as a REIT, we generally will not be subject to federal income taxes on our taxable income to the extent that we annually distribute all of our taxable income to stockholders.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Because we have no employees or separate facilities, we rely on our Manager to administer our business activities and day-to-day operations, subject to the supervision and oversight of our Board of Directors. Our Manager is a subsidiary of a wholly-owned portfolio company of American Capital. American Capital is a publicly traded private equity firm and global asset manager. American Capital, both directly and through its asset management business, originates, underwrites and manages investments in middle market private equity, leveraged finance, real estate and structured products. Founded in 1986, American Capital has $12.7 billion in capital resources under management, as of December 31, 2009, and eight offices in the U.S., Europe and Asia. Gary Kain is the President of our Manager and also serves as our Senior Vice President and Chief Investment Officer.</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Our investment strategy is to manage an investment portfolio consisting exclusively of agency securities that seeks to generate attractive, risk-adjusted returns. Our Manager has established an investment committee comprised of certain of its officers. The investment committee has established investment guidelines, certain of which have been approved by our Board of Directors. The investment committee can change those investment guidelines at any time with the approval of our Board of Directors. The following are our investment guidelines approved by our Board of Directors:</w:t>
      </w:r>
    </w:p>
    <w:p>
      <w:pPr>
        <w:spacing w:after="0" w:line="18" w:lineRule="exact"/>
        <w:rPr>
          <w:sz w:val="20"/>
          <w:szCs w:val="20"/>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9"/>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20" w:hanging="326"/>
        <w:spacing w:after="0" w:line="268" w:lineRule="auto"/>
        <w:tabs>
          <w:tab w:leader="none" w:pos="7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In February 2010, our Board of Directors approved the removal of a guideline that limited our leverage to not greater than 10 times our stockholders’ equity (as computed in accordance with GAAP).</w:t>
      </w:r>
    </w:p>
    <w:p>
      <w:pPr>
        <w:spacing w:after="0" w:line="11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Agency securities consist of residential pass-through certificates and collateralized mortgage obligations for which the principal and interest are guaranteed by a U.S. Government agency or a U.S. Government sponsored entity.</w:t>
      </w:r>
    </w:p>
    <w:p>
      <w:pPr>
        <w:spacing w:after="0" w:line="31" w:lineRule="exact"/>
        <w:rPr>
          <w:sz w:val="20"/>
          <w:szCs w:val="20"/>
          <w:color w:val="auto"/>
        </w:rPr>
      </w:pPr>
    </w:p>
    <w:p>
      <w:pPr>
        <w:ind w:left="780" w:right="40" w:hanging="326"/>
        <w:spacing w:after="0" w:line="256" w:lineRule="auto"/>
        <w:tabs>
          <w:tab w:leader="none" w:pos="780" w:val="left"/>
        </w:tabs>
        <w:numPr>
          <w:ilvl w:val="0"/>
          <w:numId w:val="10"/>
        </w:numPr>
        <w:rPr>
          <w:rFonts w:ascii="Arial" w:cs="Arial" w:eastAsia="Arial" w:hAnsi="Arial"/>
          <w:sz w:val="18"/>
          <w:szCs w:val="18"/>
          <w:color w:val="auto"/>
        </w:rPr>
      </w:pPr>
      <w:r>
        <w:rPr>
          <w:rFonts w:ascii="Arial" w:cs="Arial" w:eastAsia="Arial" w:hAnsi="Arial"/>
          <w:sz w:val="18"/>
          <w:szCs w:val="18"/>
          <w:b w:val="1"/>
          <w:bCs w:val="1"/>
          <w:i w:val="1"/>
          <w:iCs w:val="1"/>
          <w:color w:val="auto"/>
        </w:rPr>
        <w:t>Residential Pass-Through Certificates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are securities representing interests in “pools” of mortgage loans secured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residential real property where payments of both 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 Holders of the securities also receive guarantor advances of principal and interest for delinquent loans in the mortgage pools.</w:t>
      </w:r>
    </w:p>
    <w:p>
      <w:pPr>
        <w:spacing w:after="0" w:line="50" w:lineRule="exact"/>
        <w:rPr>
          <w:rFonts w:ascii="Arial" w:cs="Arial" w:eastAsia="Arial" w:hAnsi="Arial"/>
          <w:sz w:val="18"/>
          <w:szCs w:val="18"/>
          <w:color w:val="auto"/>
        </w:rPr>
      </w:pPr>
    </w:p>
    <w:p>
      <w:pPr>
        <w:ind w:left="780" w:hanging="326"/>
        <w:spacing w:after="0" w:line="294" w:lineRule="auto"/>
        <w:tabs>
          <w:tab w:leader="none" w:pos="780" w:val="left"/>
        </w:tabs>
        <w:numPr>
          <w:ilvl w:val="0"/>
          <w:numId w:val="10"/>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w:t>
      </w:r>
      <w:r>
        <w:rPr>
          <w:rFonts w:ascii="Arial" w:cs="Arial" w:eastAsia="Arial" w:hAnsi="Arial"/>
          <w:sz w:val="16"/>
          <w:szCs w:val="16"/>
          <w:color w:val="auto"/>
        </w:rPr>
        <w:t>CMOs are structured instruments representing interests in residential pass-through certificates. CMOs consist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multiple classes of securities, with each class having specified characteristics, including stated maturity dates, weighted average lives and rules governing principal and interest distribution. Monthly payments of interest and principal, including prepayments, are typically returned to different classes based on rules described in the trust documents. Principal and interest payments may also be divided between holders of different securities in the CMO and some securities may only receive interest payments while others receive only principal payments.</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254" w:lineRule="auto"/>
        <w:rPr>
          <w:sz w:val="20"/>
          <w:szCs w:val="20"/>
          <w:color w:val="auto"/>
        </w:rPr>
      </w:pPr>
      <w:r>
        <w:rPr>
          <w:rFonts w:ascii="Arial" w:cs="Arial" w:eastAsia="Arial" w:hAnsi="Arial"/>
          <w:sz w:val="18"/>
          <w:szCs w:val="18"/>
          <w:color w:val="auto"/>
        </w:rPr>
        <w:t>These securities are collateralized by pools of fixed-rate mortgage loans (“FRMs”), adjustable-rate mortgage loans (“ARMs”) or hybrid ARMs. Hybrid ARMs are mortgage loans that have interest rates that are fixed for an initial period (typically three, five, seven or 10 years) and, thereafter, reset at regular intervals subject to interest rate caps. Our allocation of investments among securities collateralized by FRMs, ARMs or hybrid ARMs will depend on our assessment of the relative value of the securities, which will be based on numerous factors including, but not limited to, expected future prepayment trends, supply and demand, costs of financing, costs of hedging, expected future interest rate volatility and the overall shape of the U.S. Treasury and interest rate swap yield curves.</w:t>
      </w:r>
    </w:p>
    <w:p>
      <w:pPr>
        <w:spacing w:after="0" w:line="131" w:lineRule="exact"/>
        <w:rPr>
          <w:sz w:val="20"/>
          <w:szCs w:val="20"/>
          <w:color w:val="auto"/>
        </w:rPr>
      </w:pPr>
    </w:p>
    <w:p>
      <w:pPr>
        <w:ind w:right="220" w:firstLine="456"/>
        <w:spacing w:after="0" w:line="255" w:lineRule="auto"/>
        <w:rPr>
          <w:sz w:val="20"/>
          <w:szCs w:val="20"/>
          <w:color w:val="auto"/>
        </w:rPr>
      </w:pPr>
      <w:r>
        <w:rPr>
          <w:rFonts w:ascii="Arial" w:cs="Arial" w:eastAsia="Arial" w:hAnsi="Arial"/>
          <w:sz w:val="18"/>
          <w:szCs w:val="18"/>
          <w:color w:val="auto"/>
        </w:rPr>
        <w:t>As of March 31, 2010, our $5.2 billion investment portfolio was financed with $4.7 billion of repurchase agreements and $0.6 billion of equity capital, resulting in a leverage ratio of approximately 7.6 times our stockholders’ equity. When adjusted for the net payable for agency securities purchased but not yet settled, the leverage ratio was approximately 7.9 times our stockholders’ equity as of March 31, 2010. Financing spreads (the difference between yields on our investments and rates on related borrowings, including amortization expense related to terminated swaps) averaged 216 basis points for the three months ended March 31, 2010.</w:t>
      </w:r>
    </w:p>
    <w:p>
      <w:pPr>
        <w:spacing w:after="0" w:line="129"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short-term interest rates, mortgage prepayments, market liquidity and government participation in the market.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Active Portfolio Management Strategy</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Manager employs on our behalf an active management strategy to achieve our principal objectives of generating attractive risk-adjusted returns and the preserving our net asset value. Our active management strategy involves buying and selling securities in all sectors of the agency securities market, including fixed-rate agency securities, adjustable-rate agency securities, options on agency securities, interest-only strips and agency CMOs, based on our Manager’s continual assessment of the relative value and risk and return of these securities. Therefore, the composition of our portfolio will vary as our Manager believes changes to market conditions, risks and valuations warrant. Consequently, we may experience investment gains or losses when we sell securities that our Manager no longer believes provide attractive risk-adjusted returns or when our Manager believes more attractive alternatives are available in the agency security market. We may also experience fluctuations in leverage as we pursue our active management strategy, but we generally would expect our leverage to be within six to eleven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right="20" w:firstLine="456"/>
        <w:spacing w:after="0" w:line="314" w:lineRule="auto"/>
        <w:rPr>
          <w:sz w:val="20"/>
          <w:szCs w:val="20"/>
          <w:color w:val="auto"/>
        </w:rPr>
      </w:pPr>
      <w:r>
        <w:rPr>
          <w:rFonts w:ascii="Arial" w:cs="Arial" w:eastAsia="Arial" w:hAnsi="Arial"/>
          <w:sz w:val="15"/>
          <w:szCs w:val="15"/>
          <w:color w:val="auto"/>
        </w:rPr>
        <w:t>As part of our investment strategy, we leverage our investment portfolio pursuant to master repurchase agreements. A repurchase transaction acts as a financing arrangement under which we effectively pledge our agency securities as collateral to secure a short-term loan. Our borrowings pursuant to these repurchase transactions generally have maturities that range from 30 to 90 days, but may have maturities of less than 30 days or up to 364 days. Our leverage may vary periodically depending on market conditions and our assessment of risk and returns. We generally would expect our leverage to be within six to eleven times the amount of our stockholders’ equity. However, under certain market conditions, we may operate at leverage levels outside of this range for extended periods of time. We also cannot assure you that we will continue to be successful in borrowing sufficient amounts to fund our intended acquisitions of agency securities.</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that could otherwise be hedged when our Manager believes, based on all relevant facts, that bearing the risk enhances our risk/return profile. Our Manager designs an interest rate risk management program consistent with its outlook for the market to attempt to mitigate the impact of changes in interest rates on our investment portfolio and related borrowings. We may enter into interest rate swap agreements, interest rate swaptions, caps, collars, floors, forward contracts, options or futures to attempt to manage the overall interest rate risk of the portfolio, reduce fluctuations in book value and generate additional income distributable to stockholders.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Option Strategy</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part of our risk management strategy, we may purchase or sell TBA securities or purchase or write put or call options on TBA securities as a method of insulating our stockholders’ equity and enhancing our risk/return profile. Our Manager implements this strategy based upon overall market conditions, the level of volatility in the mortgage market, size of our agency securities portfolio, notional value of our swap positions outstanding and our intention to qualify as a REIT.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rely on our Manager’s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excluded from earnings and reported in other comprehensive income (loss) (“OCI”), a component of stockholders’ equity. Upon the sale of our agency securities, we determine the cost of the security and the amount to reclassify out of accumulated OCI into earnings based on the specific identification method.</w:t>
      </w:r>
    </w:p>
    <w:p>
      <w:pPr>
        <w:spacing w:after="0" w:line="107" w:lineRule="exact"/>
        <w:rPr>
          <w:sz w:val="20"/>
          <w:szCs w:val="20"/>
          <w:color w:val="auto"/>
        </w:rPr>
      </w:pPr>
    </w:p>
    <w:p>
      <w:pPr>
        <w:ind w:right="220" w:firstLine="456"/>
        <w:spacing w:after="0" w:line="335" w:lineRule="auto"/>
        <w:rPr>
          <w:sz w:val="20"/>
          <w:szCs w:val="20"/>
          <w:color w:val="auto"/>
        </w:rPr>
      </w:pPr>
      <w:r>
        <w:rPr>
          <w:rFonts w:ascii="Arial" w:cs="Arial" w:eastAsia="Arial" w:hAnsi="Arial"/>
          <w:sz w:val="15"/>
          <w:szCs w:val="15"/>
          <w:color w:val="auto"/>
        </w:rPr>
        <w:t>Interest-only strips represent our right to receive a specified proportion of the contractual interest flows of specific agency and CMO securities. Interest-only strips are measured at fair value through earnings in gain (loss) on derivative instruments, net in our consolidated statements of operations and comprehensive income. Our investments in interest-only strips are included in agency securities, at fair value on the accompanying consolidated balance sheet.</w:t>
      </w:r>
    </w:p>
    <w:p>
      <w:pPr>
        <w:spacing w:after="0" w:line="75"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evaluate securities for other-than-temporary impairment (“OTTI”) on at least a quarterly basis, and more frequently when economic or market conditions warrant such evaluation. The determination of whether a security is other-than-temporarily impaired involves judgments and assumptions based on subjective and objective factors. When an agency security is impaired, an OTTI is considered to have occurred if (i) we intend to sell the agency security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is recognized in earnings as an unrealized loss and the cost basis of the security is adjusted.</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 xml:space="preserve">We maintain an interest rate risk management strategy under which we use derivative financial instruments to manage the adverse impact of interest rate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options to enter into interest rate swap agreements (“interest rate swaptions”), to-be-announced agency securities (“TBAs”), options and futures. We account for derivatives in accordance with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 ASC 815 requires an entity to recognize all derivatives as either assets or liabilities in the balance sheet and to measure those instruments at fair value.</w:t>
      </w:r>
    </w:p>
    <w:p>
      <w:pPr>
        <w:spacing w:after="0" w:line="10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OCI (a component of stockholders’ equity) and reclassified to income at the time that the hedged transactions affect earnings. The ineffective portion of the fair value adjustments is recognized in gain (loss) on derivative instruments, net immediately. When the underlying hedged transaction ceases to exist, all changes in the fair value of the instrument are included in gain (loss) on derivative instruments, net, for each period until the derivative instrument matures or is settled. Any amounts that have been previously recorded in accumulated OCI may need to be reclassified to net income. For derivatives not designated in hedging relationships under ASC 815, the fair value adjustments are recorded directly in gain (loss) on derivative instruments, net. Derivatives in a gain position are reported as derivative assets at fair value, and derivatives in a loss position are reported as derivative liabilities at fair value in our consolidated balance sheet. Any gain (loss) on derivative instruments is included in the operating section in our consolidated statement of cash flows.</w:t>
      </w:r>
    </w:p>
    <w:p>
      <w:pPr>
        <w:spacing w:after="0" w:line="109"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w:t>
      </w:r>
    </w:p>
    <w:p>
      <w:pPr>
        <w:spacing w:after="0" w:line="118"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large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The difference between the premium and the fair value of the swaption is reported in gain (loss) on derivative instruments, net in our consolidated statement of operations and comprehensive income. When a swaption expires unexercised, a realized loss is reported in our consolidated statement of operations and comprehensive income equal to the premium paid. When we exercise a swaption, a realized gain or loss is reported in our consolidated statement of operations and comprehensive income equal to the difference between the fair value of the underlying interest rate swap and the premium paid.</w:t>
      </w:r>
    </w:p>
    <w:p>
      <w:pPr>
        <w:spacing w:after="0" w:line="105"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if there is no other way to purchase or sell that security, delivery of that security and settlement will occur within the shortest period possible for that type of security and it is probable at inception and throughout the term of the individual contract that physical delivery of the security will occur. For the TBA security contracts that we have entered into, we have not asserted that physical settlement is probable and therefore, we did not designate such forward commitments as hedging instruments. Accordingly, all realized and unrealized gains and losses are recognized in our consolidated statement of operations in the line item gain (loss) on derivative instruments, net.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109"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may also write put and call options on TBA securities to hedge against short-term changes in interest rates.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The difference between the premium and the fair value of the option is reported in gain (loss) on derivative instruments,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in the line item gain (loss) on derivative instruments, net.</w:t>
      </w:r>
    </w:p>
    <w:p>
      <w:pPr>
        <w:spacing w:after="0" w:line="107" w:lineRule="exact"/>
        <w:rPr>
          <w:sz w:val="20"/>
          <w:szCs w:val="20"/>
          <w:color w:val="auto"/>
        </w:rPr>
      </w:pPr>
    </w:p>
    <w:p>
      <w:pPr>
        <w:ind w:right="160" w:firstLine="456"/>
        <w:spacing w:after="0" w:line="318" w:lineRule="auto"/>
        <w:rPr>
          <w:sz w:val="20"/>
          <w:szCs w:val="20"/>
          <w:color w:val="auto"/>
        </w:rPr>
      </w:pPr>
      <w:r>
        <w:rPr>
          <w:rFonts w:ascii="Arial" w:cs="Arial" w:eastAsia="Arial" w:hAnsi="Arial"/>
          <w:sz w:val="15"/>
          <w:szCs w:val="15"/>
          <w:color w:val="auto"/>
        </w:rPr>
        <w:t>We estimate the fair value of interest rate swaps and interest rate swaptions based on the estimated net present value of the future cash flows using a forward interest rate yield curve in effect as of the measurement period, adjusted for non-performance risk based on our credit risk and our counterparty’s credit risk. We consider the impact of any collateral requirements, credit enhancements or netting arrangements on credit risk. TBA securities and forward settling contracts to purchase or sell securities are valued using third-party pricing services. These third-party pricing services use pricing models that incorporate such factors as coupons, prepayment speeds, spread to the Treasury and swap curves, convexity, duration, periodic and life caps and credit enhancement.</w:t>
      </w:r>
    </w:p>
    <w:p>
      <w:pPr>
        <w:spacing w:after="0" w:line="86" w:lineRule="exact"/>
        <w:rPr>
          <w:sz w:val="20"/>
          <w:szCs w:val="20"/>
          <w:color w:val="auto"/>
        </w:rPr>
      </w:pPr>
    </w:p>
    <w:p>
      <w:pPr>
        <w:ind w:right="54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240" w:firstLine="456"/>
        <w:spacing w:after="0" w:line="332" w:lineRule="auto"/>
        <w:rPr>
          <w:sz w:val="20"/>
          <w:szCs w:val="20"/>
          <w:color w:val="auto"/>
        </w:rPr>
      </w:pPr>
      <w:r>
        <w:rPr>
          <w:rFonts w:ascii="Arial" w:cs="Arial" w:eastAsia="Arial" w:hAnsi="Arial"/>
          <w:sz w:val="16"/>
          <w:szCs w:val="16"/>
          <w:color w:val="auto"/>
        </w:rPr>
        <w:t>As of March 31, 2010 and December 31, 2009, our investment portfolio consisted of $5.2 billion and $4.3 billion, respectively, of agency securities. The following tables summarize certain characteristics of our investment portfolio as of March 31, 2010 and December 31, 2009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6"/>
          </w:tcPr>
          <w:p>
            <w:pPr>
              <w:jc w:val="center"/>
              <w:ind w:right="760"/>
              <w:spacing w:after="0"/>
              <w:rPr>
                <w:sz w:val="20"/>
                <w:szCs w:val="20"/>
                <w:color w:val="auto"/>
              </w:rPr>
            </w:pPr>
            <w:r>
              <w:rPr>
                <w:rFonts w:ascii="Arial" w:cs="Arial" w:eastAsia="Arial" w:hAnsi="Arial"/>
                <w:sz w:val="14"/>
                <w:szCs w:val="14"/>
                <w:b w:val="1"/>
                <w:bCs w:val="1"/>
                <w:color w:val="auto"/>
                <w:w w:val="88"/>
              </w:rPr>
              <w:t>As of March 31, 2010</w:t>
            </w:r>
          </w:p>
        </w:tc>
        <w:tc>
          <w:tcPr>
            <w:tcW w:w="4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90"/>
              </w:rPr>
              <w:t>Amortized</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7"/>
              </w:rPr>
              <w:t>Amortized</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3"/>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9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83"/>
              </w:rPr>
              <w:t>Cost</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2"/>
              </w:rPr>
              <w:t>Cost Basis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Fair Value</w:t>
            </w:r>
          </w:p>
        </w:tc>
        <w:tc>
          <w:tcPr>
            <w:tcW w:w="8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Coupon</w:t>
            </w:r>
          </w:p>
        </w:tc>
        <w:tc>
          <w:tcPr>
            <w:tcW w:w="400" w:type="dxa"/>
            <w:vAlign w:val="bottom"/>
          </w:tcPr>
          <w:p>
            <w:pPr>
              <w:ind w:left="40"/>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5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Fannie Mae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$3,035,735</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3,150,883</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103.8%</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3,175,246</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5.01%</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1,913,115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2,005,615</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2,018,984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5.07%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Ginnie Mae</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7,827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8,151</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104.1%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8,370</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6.00%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5.12%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Available- For-Sale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5,164,649</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104.2%</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5,202,600</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5.04%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3.52%</w:t>
            </w:r>
          </w:p>
        </w:tc>
        <w:tc>
          <w:tcPr>
            <w:tcW w:w="0" w:type="dxa"/>
            <w:vAlign w:val="bottom"/>
          </w:tcPr>
          <w:p>
            <w:pPr>
              <w:spacing w:after="0"/>
              <w:rPr>
                <w:sz w:val="1"/>
                <w:szCs w:val="1"/>
                <w:color w:val="auto"/>
              </w:rPr>
            </w:pPr>
          </w:p>
        </w:tc>
      </w:tr>
      <w:tr>
        <w:trPr>
          <w:trHeight w:val="222"/>
        </w:trPr>
        <w:tc>
          <w:tcPr>
            <w:tcW w:w="5360" w:type="dxa"/>
            <w:vAlign w:val="bottom"/>
            <w:gridSpan w:val="2"/>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500" w:type="dxa"/>
            <w:vAlign w:val="bottom"/>
          </w:tcPr>
          <w:p>
            <w:pPr>
              <w:spacing w:after="0"/>
              <w:rPr>
                <w:sz w:val="19"/>
                <w:szCs w:val="19"/>
                <w:color w:val="auto"/>
              </w:rPr>
            </w:pPr>
          </w:p>
        </w:tc>
        <w:tc>
          <w:tcPr>
            <w:tcW w:w="8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460" w:type="dxa"/>
            <w:vAlign w:val="bottom"/>
            <w:tcBorders>
              <w:top w:val="single" w:sz="8" w:color="auto"/>
            </w:tcBorders>
          </w:tcPr>
          <w:p>
            <w:pPr>
              <w:spacing w:after="0"/>
              <w:rPr>
                <w:sz w:val="19"/>
                <w:szCs w:val="19"/>
                <w:color w:val="auto"/>
              </w:rPr>
            </w:pPr>
          </w:p>
        </w:tc>
        <w:tc>
          <w:tcPr>
            <w:tcW w:w="4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Inerest-Only Strips, Amortized Cost</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860"/>
              <w:spacing w:after="0"/>
              <w:rPr>
                <w:sz w:val="20"/>
                <w:szCs w:val="20"/>
                <w:color w:val="auto"/>
              </w:rPr>
            </w:pPr>
            <w:r>
              <w:rPr>
                <w:rFonts w:ascii="Arial" w:cs="Arial" w:eastAsia="Arial" w:hAnsi="Arial"/>
                <w:sz w:val="18"/>
                <w:szCs w:val="18"/>
                <w:color w:val="auto"/>
              </w:rPr>
              <w:t>Fannie Mae</w:t>
            </w:r>
          </w:p>
        </w:tc>
        <w:tc>
          <w:tcPr>
            <w:tcW w:w="500" w:type="dxa"/>
            <w:vAlign w:val="bottom"/>
          </w:tcPr>
          <w:p>
            <w:pPr>
              <w:spacing w:after="0"/>
              <w:rPr>
                <w:sz w:val="18"/>
                <w:szCs w:val="18"/>
                <w:color w:val="auto"/>
              </w:rPr>
            </w:pPr>
          </w:p>
        </w:tc>
        <w:tc>
          <w:tcPr>
            <w:tcW w:w="900" w:type="dxa"/>
            <w:vAlign w:val="bottom"/>
            <w:gridSpan w:val="2"/>
          </w:tcPr>
          <w:p>
            <w:pPr>
              <w:jc w:val="center"/>
              <w:ind w:left="317"/>
              <w:spacing w:after="0"/>
              <w:rPr>
                <w:sz w:val="20"/>
                <w:szCs w:val="20"/>
                <w:color w:val="auto"/>
              </w:rPr>
            </w:pPr>
            <w:r>
              <w:rPr>
                <w:rFonts w:ascii="Arial" w:cs="Arial" w:eastAsia="Arial" w:hAnsi="Arial"/>
                <w:sz w:val="18"/>
                <w:szCs w:val="18"/>
                <w:color w:val="auto"/>
                <w:w w:val="99"/>
              </w:rPr>
              <w:t>N/A</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3,072</w:t>
            </w:r>
          </w:p>
        </w:tc>
        <w:tc>
          <w:tcPr>
            <w:tcW w:w="140" w:type="dxa"/>
            <w:vAlign w:val="bottom"/>
          </w:tcPr>
          <w:p>
            <w:pPr>
              <w:spacing w:after="0"/>
              <w:rPr>
                <w:sz w:val="18"/>
                <w:szCs w:val="18"/>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2,471</w:t>
            </w:r>
          </w:p>
        </w:tc>
        <w:tc>
          <w:tcPr>
            <w:tcW w:w="220" w:type="dxa"/>
            <w:vAlign w:val="bottom"/>
          </w:tcPr>
          <w:p>
            <w:pPr>
              <w:spacing w:after="0"/>
              <w:rPr>
                <w:sz w:val="18"/>
                <w:szCs w:val="18"/>
                <w:color w:val="auto"/>
              </w:rPr>
            </w:pPr>
          </w:p>
        </w:tc>
        <w:tc>
          <w:tcPr>
            <w:tcW w:w="880" w:type="dxa"/>
            <w:vAlign w:val="bottom"/>
            <w:gridSpan w:val="2"/>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5"/>
              </w:rPr>
              <w:t>21.73%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Freddie Mac</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center"/>
              <w:ind w:left="417"/>
              <w:spacing w:after="0"/>
              <w:rPr>
                <w:sz w:val="20"/>
                <w:szCs w:val="20"/>
                <w:color w:val="auto"/>
              </w:rPr>
            </w:pPr>
            <w:r>
              <w:rPr>
                <w:rFonts w:ascii="Arial" w:cs="Arial" w:eastAsia="Arial" w:hAnsi="Arial"/>
                <w:sz w:val="18"/>
                <w:szCs w:val="18"/>
                <w:color w:val="auto"/>
                <w:w w:val="99"/>
              </w:rPr>
              <w:t>N/A</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32,495</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35,183</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5"/>
              </w:rPr>
              <w:t>25.34%</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w w:val="96"/>
              </w:rPr>
              <w:t>Total Agency Securities Remeasured at Fair Value Through Earnings</w:t>
            </w:r>
          </w:p>
        </w:tc>
        <w:tc>
          <w:tcPr>
            <w:tcW w:w="5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360" w:type="dxa"/>
            <w:vAlign w:val="bottom"/>
            <w:gridSpan w:val="2"/>
            <w:vMerge w:val="continue"/>
          </w:tcPr>
          <w:p>
            <w:pPr>
              <w:spacing w:after="0"/>
              <w:rPr>
                <w:sz w:val="19"/>
                <w:szCs w:val="19"/>
                <w:color w:val="auto"/>
              </w:rPr>
            </w:pPr>
          </w:p>
        </w:tc>
        <w:tc>
          <w:tcPr>
            <w:tcW w:w="500" w:type="dxa"/>
            <w:vAlign w:val="bottom"/>
          </w:tcPr>
          <w:p>
            <w:pPr>
              <w:spacing w:after="0"/>
              <w:rPr>
                <w:sz w:val="19"/>
                <w:szCs w:val="19"/>
                <w:color w:val="auto"/>
              </w:rPr>
            </w:pPr>
          </w:p>
        </w:tc>
        <w:tc>
          <w:tcPr>
            <w:tcW w:w="800" w:type="dxa"/>
            <w:vAlign w:val="bottom"/>
          </w:tcPr>
          <w:p>
            <w:pPr>
              <w:jc w:val="center"/>
              <w:ind w:left="417"/>
              <w:spacing w:after="0"/>
              <w:rPr>
                <w:sz w:val="20"/>
                <w:szCs w:val="20"/>
                <w:color w:val="auto"/>
              </w:rPr>
            </w:pPr>
            <w:r>
              <w:rPr>
                <w:rFonts w:ascii="Arial" w:cs="Arial" w:eastAsia="Arial" w:hAnsi="Arial"/>
                <w:sz w:val="18"/>
                <w:szCs w:val="18"/>
                <w:color w:val="auto"/>
                <w:w w:val="99"/>
              </w:rPr>
              <w:t>N/A</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35,567</w:t>
            </w:r>
          </w:p>
        </w:tc>
        <w:tc>
          <w:tcPr>
            <w:tcW w:w="140" w:type="dxa"/>
            <w:vAlign w:val="bottom"/>
          </w:tcPr>
          <w:p>
            <w:pPr>
              <w:spacing w:after="0"/>
              <w:rPr>
                <w:sz w:val="19"/>
                <w:szCs w:val="19"/>
                <w:color w:val="auto"/>
              </w:rPr>
            </w:pPr>
          </w:p>
        </w:tc>
        <w:tc>
          <w:tcPr>
            <w:tcW w:w="900" w:type="dxa"/>
            <w:vAlign w:val="bottom"/>
            <w:gridSpan w:val="2"/>
          </w:tcPr>
          <w:p>
            <w:pPr>
              <w:jc w:val="right"/>
              <w:ind w:right="280"/>
              <w:spacing w:after="0"/>
              <w:rPr>
                <w:sz w:val="20"/>
                <w:szCs w:val="20"/>
                <w:color w:val="auto"/>
              </w:rPr>
            </w:pPr>
            <w:r>
              <w:rPr>
                <w:rFonts w:ascii="Arial" w:cs="Arial" w:eastAsia="Arial" w:hAnsi="Arial"/>
                <w:sz w:val="18"/>
                <w:szCs w:val="18"/>
                <w:color w:val="auto"/>
              </w:rPr>
              <w:t>N/A</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37,654</w:t>
            </w:r>
          </w:p>
        </w:tc>
        <w:tc>
          <w:tcPr>
            <w:tcW w:w="220" w:type="dxa"/>
            <w:vAlign w:val="bottom"/>
          </w:tcPr>
          <w:p>
            <w:pPr>
              <w:spacing w:after="0"/>
              <w:rPr>
                <w:sz w:val="19"/>
                <w:szCs w:val="19"/>
                <w:color w:val="auto"/>
              </w:rPr>
            </w:pPr>
          </w:p>
        </w:tc>
        <w:tc>
          <w:tcPr>
            <w:tcW w:w="880" w:type="dxa"/>
            <w:vAlign w:val="bottom"/>
            <w:gridSpan w:val="2"/>
          </w:tcPr>
          <w:p>
            <w:pPr>
              <w:ind w:left="160"/>
              <w:spacing w:after="0"/>
              <w:rPr>
                <w:sz w:val="20"/>
                <w:szCs w:val="20"/>
                <w:color w:val="auto"/>
              </w:rPr>
            </w:pPr>
            <w:r>
              <w:rPr>
                <w:rFonts w:ascii="Arial" w:cs="Arial" w:eastAsia="Arial" w:hAnsi="Arial"/>
                <w:sz w:val="18"/>
                <w:szCs w:val="18"/>
                <w:color w:val="auto"/>
              </w:rPr>
              <w:t>N/A</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85"/>
              </w:rPr>
              <w:t>25.03%</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Agency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5,200,216</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104.9%</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5,240,254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5.34%</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0"/>
        </w:trPr>
        <w:tc>
          <w:tcPr>
            <w:tcW w:w="53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5360" w:type="dxa"/>
            <w:vAlign w:val="bottom"/>
            <w:gridSpan w:val="2"/>
          </w:tcPr>
          <w:p>
            <w:pPr>
              <w:spacing w:after="0"/>
              <w:rPr>
                <w:sz w:val="20"/>
                <w:szCs w:val="20"/>
                <w:color w:val="auto"/>
              </w:rPr>
            </w:pPr>
            <w:r>
              <w:rPr>
                <w:rFonts w:ascii="Arial" w:cs="Arial" w:eastAsia="Arial" w:hAnsi="Arial"/>
                <w:sz w:val="18"/>
                <w:szCs w:val="18"/>
                <w:color w:val="auto"/>
              </w:rPr>
              <w:t>Fixed-Rate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$1,757,746</w:t>
            </w:r>
          </w:p>
        </w:tc>
        <w:tc>
          <w:tcPr>
            <w:tcW w:w="100" w:type="dxa"/>
            <w:vAlign w:val="bottom"/>
          </w:tcPr>
          <w:p>
            <w:pPr>
              <w:spacing w:after="0"/>
              <w:rPr>
                <w:sz w:val="24"/>
                <w:szCs w:val="24"/>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1,823,809</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103.8%</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1,834,924</w:t>
            </w:r>
          </w:p>
        </w:tc>
        <w:tc>
          <w:tcPr>
            <w:tcW w:w="220" w:type="dxa"/>
            <w:vAlign w:val="bottom"/>
          </w:tcPr>
          <w:p>
            <w:pPr>
              <w:spacing w:after="0"/>
              <w:rPr>
                <w:sz w:val="24"/>
                <w:szCs w:val="24"/>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5.04%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4.31%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2,569,852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2,694,280</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2,710,557</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5.17%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CMO</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629,079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646,560</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102.8%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657,119</w:t>
            </w: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4.48%</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3.63%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Interest-Only Strips</w:t>
            </w:r>
          </w:p>
        </w:tc>
        <w:tc>
          <w:tcPr>
            <w:tcW w:w="500" w:type="dxa"/>
            <w:vAlign w:val="bottom"/>
            <w:shd w:val="clear" w:color="auto" w:fill="CCEEFF"/>
          </w:tcPr>
          <w:p>
            <w:pPr>
              <w:spacing w:after="0"/>
              <w:rPr>
                <w:sz w:val="18"/>
                <w:szCs w:val="18"/>
                <w:color w:val="auto"/>
              </w:rPr>
            </w:pPr>
          </w:p>
        </w:tc>
        <w:tc>
          <w:tcPr>
            <w:tcW w:w="800" w:type="dxa"/>
            <w:vAlign w:val="bottom"/>
            <w:shd w:val="clear" w:color="auto" w:fill="CCEEFF"/>
          </w:tcPr>
          <w:p>
            <w:pPr>
              <w:jc w:val="center"/>
              <w:ind w:left="337"/>
              <w:spacing w:after="0"/>
              <w:rPr>
                <w:sz w:val="20"/>
                <w:szCs w:val="20"/>
                <w:color w:val="auto"/>
              </w:rPr>
            </w:pPr>
            <w:r>
              <w:rPr>
                <w:rFonts w:ascii="Arial" w:cs="Arial" w:eastAsia="Arial" w:hAnsi="Arial"/>
                <w:sz w:val="18"/>
                <w:szCs w:val="18"/>
                <w:color w:val="auto"/>
                <w:w w:val="99"/>
              </w:rPr>
              <w:t>—</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35,567</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N/A</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37,654</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5"/>
              </w:rPr>
              <w:t>25.03%</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rPr>
              <w:t>Total Agency Securities</w:t>
            </w:r>
          </w:p>
        </w:tc>
        <w:tc>
          <w:tcPr>
            <w:tcW w:w="5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360" w:type="dxa"/>
            <w:vAlign w:val="bottom"/>
            <w:gridSpan w:val="2"/>
            <w:vMerge w:val="continue"/>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4,956,677</w:t>
            </w:r>
          </w:p>
        </w:tc>
        <w:tc>
          <w:tcPr>
            <w:tcW w:w="100" w:type="dxa"/>
            <w:vAlign w:val="bottom"/>
          </w:tcPr>
          <w:p>
            <w:pPr>
              <w:spacing w:after="0"/>
              <w:rPr>
                <w:sz w:val="19"/>
                <w:szCs w:val="19"/>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5,200,216</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104.9%</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5,240,254</w:t>
            </w:r>
          </w:p>
        </w:tc>
        <w:tc>
          <w:tcPr>
            <w:tcW w:w="220" w:type="dxa"/>
            <w:vAlign w:val="bottom"/>
          </w:tcPr>
          <w:p>
            <w:pPr>
              <w:spacing w:after="0"/>
              <w:rPr>
                <w:sz w:val="19"/>
                <w:szCs w:val="19"/>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5.34%</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3.68%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80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0"/>
        </w:trPr>
        <w:tc>
          <w:tcPr>
            <w:tcW w:w="20" w:type="dxa"/>
            <w:vAlign w:val="bottom"/>
          </w:tcPr>
          <w:p>
            <w:pPr>
              <w:spacing w:after="0"/>
              <w:rPr>
                <w:sz w:val="24"/>
                <w:szCs w:val="24"/>
                <w:color w:val="auto"/>
              </w:rPr>
            </w:pPr>
          </w:p>
        </w:tc>
        <w:tc>
          <w:tcPr>
            <w:tcW w:w="5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gridSpan w:val="7"/>
          </w:tcPr>
          <w:p>
            <w:pPr>
              <w:jc w:val="center"/>
              <w:ind w:right="620"/>
              <w:spacing w:after="0"/>
              <w:rPr>
                <w:sz w:val="20"/>
                <w:szCs w:val="20"/>
                <w:color w:val="auto"/>
              </w:rPr>
            </w:pPr>
            <w:r>
              <w:rPr>
                <w:rFonts w:ascii="Arial" w:cs="Arial" w:eastAsia="Arial" w:hAnsi="Arial"/>
                <w:sz w:val="14"/>
                <w:szCs w:val="14"/>
                <w:b w:val="1"/>
                <w:bCs w:val="1"/>
                <w:color w:val="auto"/>
                <w:w w:val="86"/>
              </w:rPr>
              <w:t>As of December 31, 2009</w:t>
            </w:r>
          </w:p>
        </w:tc>
        <w:tc>
          <w:tcPr>
            <w:tcW w:w="4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90"/>
              </w:rPr>
              <w:t>Amortized</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7"/>
              </w:rPr>
              <w:t>Amortized</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Borders>
              <w:bottom w:val="single" w:sz="8" w:color="auto"/>
            </w:tcBorders>
            <w:gridSpan w:val="3"/>
          </w:tcPr>
          <w:p>
            <w:pPr>
              <w:ind w:left="120"/>
              <w:spacing w:after="0" w:line="142" w:lineRule="exact"/>
              <w:rPr>
                <w:sz w:val="20"/>
                <w:szCs w:val="20"/>
                <w:color w:val="auto"/>
              </w:rPr>
            </w:pPr>
            <w:r>
              <w:rPr>
                <w:rFonts w:ascii="Arial" w:cs="Arial" w:eastAsia="Arial" w:hAnsi="Arial"/>
                <w:sz w:val="14"/>
                <w:szCs w:val="14"/>
                <w:b w:val="1"/>
                <w:bCs w:val="1"/>
                <w:color w:val="auto"/>
                <w:w w:val="93"/>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9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gridSpan w:val="2"/>
          </w:tcPr>
          <w:p>
            <w:pPr>
              <w:jc w:val="center"/>
              <w:ind w:right="160"/>
              <w:spacing w:after="0" w:line="142" w:lineRule="exact"/>
              <w:rPr>
                <w:sz w:val="20"/>
                <w:szCs w:val="20"/>
                <w:color w:val="auto"/>
              </w:rPr>
            </w:pPr>
            <w:r>
              <w:rPr>
                <w:rFonts w:ascii="Arial" w:cs="Arial" w:eastAsia="Arial" w:hAnsi="Arial"/>
                <w:sz w:val="14"/>
                <w:szCs w:val="14"/>
                <w:b w:val="1"/>
                <w:bCs w:val="1"/>
                <w:color w:val="auto"/>
                <w:w w:val="83"/>
              </w:rPr>
              <w:t>Cost</w:t>
            </w:r>
          </w:p>
        </w:tc>
        <w:tc>
          <w:tcPr>
            <w:tcW w:w="140" w:type="dxa"/>
            <w:vAlign w:val="bottom"/>
          </w:tcPr>
          <w:p>
            <w:pPr>
              <w:spacing w:after="0"/>
              <w:rPr>
                <w:sz w:val="12"/>
                <w:szCs w:val="12"/>
                <w:color w:val="auto"/>
              </w:rPr>
            </w:pPr>
          </w:p>
        </w:tc>
        <w:tc>
          <w:tcPr>
            <w:tcW w:w="900" w:type="dxa"/>
            <w:vAlign w:val="bottom"/>
            <w:gridSpan w:val="2"/>
          </w:tcPr>
          <w:p>
            <w:pPr>
              <w:jc w:val="right"/>
              <w:ind w:right="280"/>
              <w:spacing w:after="0" w:line="142" w:lineRule="exact"/>
              <w:rPr>
                <w:sz w:val="20"/>
                <w:szCs w:val="20"/>
                <w:color w:val="auto"/>
              </w:rPr>
            </w:pPr>
            <w:r>
              <w:rPr>
                <w:rFonts w:ascii="Arial" w:cs="Arial" w:eastAsia="Arial" w:hAnsi="Arial"/>
                <w:sz w:val="14"/>
                <w:szCs w:val="14"/>
                <w:b w:val="1"/>
                <w:bCs w:val="1"/>
                <w:color w:val="auto"/>
                <w:w w:val="82"/>
              </w:rPr>
              <w:t>Cost Basis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Fair Value</w:t>
            </w:r>
          </w:p>
        </w:tc>
        <w:tc>
          <w:tcPr>
            <w:tcW w:w="8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Coupon</w:t>
            </w:r>
          </w:p>
        </w:tc>
        <w:tc>
          <w:tcPr>
            <w:tcW w:w="400" w:type="dxa"/>
            <w:vAlign w:val="bottom"/>
          </w:tcPr>
          <w:p>
            <w:pPr>
              <w:ind w:left="40"/>
              <w:spacing w:after="0" w:line="142" w:lineRule="exact"/>
              <w:rPr>
                <w:sz w:val="20"/>
                <w:szCs w:val="20"/>
                <w:color w:val="auto"/>
              </w:rPr>
            </w:pPr>
            <w:r>
              <w:rPr>
                <w:rFonts w:ascii="Arial" w:cs="Arial" w:eastAsia="Arial" w:hAnsi="Arial"/>
                <w:sz w:val="14"/>
                <w:szCs w:val="14"/>
                <w:b w:val="1"/>
                <w:bCs w:val="1"/>
                <w:color w:val="auto"/>
              </w:rPr>
              <w:t>Yield</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50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Fannie Mae</w:t>
            </w: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$2,853,278</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2,952,895</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103.5%</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2,983,310</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5.26%</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1,248,698</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1,298,360</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1,303,623</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5.31%</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ind w:left="420"/>
              <w:spacing w:after="0"/>
              <w:rPr>
                <w:sz w:val="20"/>
                <w:szCs w:val="20"/>
                <w:color w:val="auto"/>
              </w:rPr>
            </w:pPr>
            <w:r>
              <w:rPr>
                <w:rFonts w:ascii="Arial" w:cs="Arial" w:eastAsia="Arial" w:hAnsi="Arial"/>
                <w:sz w:val="18"/>
                <w:szCs w:val="18"/>
                <w:color w:val="auto"/>
              </w:rPr>
              <w:t>Ginnie Mae</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12,456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12,842</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13,182</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6.00%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Available- For-Sale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4,114,432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4,264,097</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103.6%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4,300,115</w:t>
            </w: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5.28%</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5360" w:type="dxa"/>
            <w:vAlign w:val="bottom"/>
            <w:gridSpan w:val="2"/>
            <w:vMerge w:val="restart"/>
          </w:tcPr>
          <w:p>
            <w:pPr>
              <w:spacing w:after="0"/>
              <w:rPr>
                <w:sz w:val="20"/>
                <w:szCs w:val="20"/>
                <w:color w:val="auto"/>
              </w:rPr>
            </w:pPr>
            <w:r>
              <w:rPr>
                <w:rFonts w:ascii="Arial" w:cs="Arial" w:eastAsia="Arial" w:hAnsi="Arial"/>
                <w:sz w:val="18"/>
                <w:szCs w:val="18"/>
                <w:color w:val="auto"/>
              </w:rPr>
              <w:t>Fixed-Rate</w:t>
            </w: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5360" w:type="dxa"/>
            <w:vAlign w:val="bottom"/>
            <w:gridSpan w:val="2"/>
            <w:vMerge w:val="continue"/>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$1,806,559</w:t>
            </w:r>
          </w:p>
        </w:tc>
        <w:tc>
          <w:tcPr>
            <w:tcW w:w="10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w w:val="84"/>
              </w:rPr>
              <w:t>1,863,261</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103.1%</w:t>
            </w:r>
          </w:p>
        </w:tc>
        <w:tc>
          <w:tcPr>
            <w:tcW w:w="2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1,887,404</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5.40%</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4.77%</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1,625,477</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1,699,513</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104.6%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1,705,487</w:t>
            </w:r>
          </w:p>
        </w:tc>
        <w:tc>
          <w:tcPr>
            <w:tcW w:w="2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5.17%</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40" w:type="dxa"/>
            <w:vAlign w:val="bottom"/>
          </w:tcPr>
          <w:p>
            <w:pPr>
              <w:spacing w:after="0"/>
              <w:rPr>
                <w:sz w:val="20"/>
                <w:szCs w:val="20"/>
                <w:color w:val="auto"/>
              </w:rPr>
            </w:pPr>
            <w:r>
              <w:rPr>
                <w:rFonts w:ascii="Arial" w:cs="Arial" w:eastAsia="Arial" w:hAnsi="Arial"/>
                <w:sz w:val="18"/>
                <w:szCs w:val="18"/>
                <w:color w:val="auto"/>
              </w:rPr>
              <w:t>CMO</w:t>
            </w:r>
          </w:p>
        </w:tc>
        <w:tc>
          <w:tcPr>
            <w:tcW w:w="5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682,396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80"/>
              <w:spacing w:after="0"/>
              <w:rPr>
                <w:sz w:val="20"/>
                <w:szCs w:val="20"/>
                <w:color w:val="auto"/>
              </w:rPr>
            </w:pPr>
            <w:r>
              <w:rPr>
                <w:rFonts w:ascii="Arial" w:cs="Arial" w:eastAsia="Arial" w:hAnsi="Arial"/>
                <w:sz w:val="18"/>
                <w:szCs w:val="18"/>
                <w:color w:val="auto"/>
              </w:rPr>
              <w:t>701,323</w:t>
            </w: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102.8%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707,224</w:t>
            </w:r>
          </w:p>
        </w:tc>
        <w:tc>
          <w:tcPr>
            <w:tcW w:w="220" w:type="dxa"/>
            <w:vAlign w:val="bottom"/>
          </w:tcPr>
          <w:p>
            <w:pPr>
              <w:spacing w:after="0"/>
              <w:rPr>
                <w:sz w:val="18"/>
                <w:szCs w:val="18"/>
                <w:color w:val="auto"/>
              </w:rPr>
            </w:pPr>
          </w:p>
        </w:tc>
        <w:tc>
          <w:tcPr>
            <w:tcW w:w="880" w:type="dxa"/>
            <w:vAlign w:val="bottom"/>
            <w:gridSpan w:val="2"/>
          </w:tcPr>
          <w:p>
            <w:pPr>
              <w:ind w:left="140"/>
              <w:spacing w:after="0"/>
              <w:rPr>
                <w:sz w:val="20"/>
                <w:szCs w:val="20"/>
                <w:color w:val="auto"/>
              </w:rPr>
            </w:pPr>
            <w:r>
              <w:rPr>
                <w:rFonts w:ascii="Arial" w:cs="Arial" w:eastAsia="Arial" w:hAnsi="Arial"/>
                <w:sz w:val="18"/>
                <w:szCs w:val="18"/>
                <w:color w:val="auto"/>
              </w:rPr>
              <w:t>5.23%</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3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40" w:type="dxa"/>
            <w:vAlign w:val="bottom"/>
            <w:shd w:val="clear" w:color="auto" w:fill="CCEEFF"/>
          </w:tcPr>
          <w:p>
            <w:pPr>
              <w:spacing w:after="0"/>
              <w:rPr>
                <w:sz w:val="20"/>
                <w:szCs w:val="20"/>
                <w:color w:val="auto"/>
              </w:rPr>
            </w:pPr>
            <w:r>
              <w:rPr>
                <w:rFonts w:ascii="Arial" w:cs="Arial" w:eastAsia="Arial" w:hAnsi="Arial"/>
                <w:sz w:val="18"/>
                <w:szCs w:val="18"/>
                <w:color w:val="auto"/>
              </w:rPr>
              <w:t>Total Agency Securities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4,114,432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4"/>
              </w:rPr>
              <w:t>4,264,097</w:t>
            </w: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103.6%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4"/>
              </w:rPr>
              <w:t>4,300,115</w:t>
            </w:r>
          </w:p>
        </w:tc>
        <w:tc>
          <w:tcPr>
            <w:tcW w:w="8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5.28%</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80" w:firstLine="456"/>
        <w:spacing w:after="0" w:line="259" w:lineRule="auto"/>
        <w:rPr>
          <w:sz w:val="20"/>
          <w:szCs w:val="20"/>
          <w:color w:val="auto"/>
        </w:rPr>
      </w:pPr>
      <w:r>
        <w:rPr>
          <w:rFonts w:ascii="Arial" w:cs="Arial" w:eastAsia="Arial" w:hAnsi="Arial"/>
          <w:sz w:val="18"/>
          <w:szCs w:val="18"/>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314" w:lineRule="auto"/>
        <w:rPr>
          <w:sz w:val="20"/>
          <w:szCs w:val="20"/>
          <w:color w:val="auto"/>
        </w:rPr>
      </w:pPr>
      <w:r>
        <w:rPr>
          <w:rFonts w:ascii="Arial" w:cs="Arial" w:eastAsia="Arial" w:hAnsi="Arial"/>
          <w:sz w:val="15"/>
          <w:szCs w:val="15"/>
          <w:color w:val="auto"/>
        </w:rPr>
        <w:t>subject to change based on the actual and expected future prepayments of the underlying loans. As of March 31, 2010 and December 31, 2009, the average final contractual maturity of the agency securities in our investment portfolio was 25 and 27 years, respectively. The estimated weighted average months to maturity of the agency securities in the tables below are based upon our prepayment expectations, which are estimated, based on assumptions for different securities using a combination of third-party services, market data and internal models. The third-party services estimate prepayment speeds using models that incorporate the forward yield curve, mortgage rates, current mortgage rates of the outstanding loans, loan age, volatility and other factors. As market conditions are changing rapidly, we use judgment in making adjustments to our models for some products. Various market participants could use materially different assumptions.</w:t>
      </w:r>
    </w:p>
    <w:p>
      <w:pPr>
        <w:spacing w:after="0" w:line="9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As of March 31, 2010 and December 31, 2009, we held fixed-rate pass-through agency securities, pass-through agency securities collateralized by ARMs and hybrid ARMs, with coupons linked to various indices, and CMOs. The following tables detail the characteristics of our ARMs and hybrid ARMs portfolio by index as of March 31, 2010 and December 31, 2009 (dollars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3"/>
          </w:tcPr>
          <w:p>
            <w:pPr>
              <w:jc w:val="center"/>
              <w:ind w:right="80"/>
              <w:spacing w:after="0"/>
              <w:rPr>
                <w:sz w:val="20"/>
                <w:szCs w:val="20"/>
                <w:color w:val="auto"/>
              </w:rPr>
            </w:pPr>
            <w:r>
              <w:rPr>
                <w:rFonts w:ascii="Arial" w:cs="Arial" w:eastAsia="Arial" w:hAnsi="Arial"/>
                <w:sz w:val="14"/>
                <w:szCs w:val="14"/>
                <w:b w:val="1"/>
                <w:bCs w:val="1"/>
                <w:color w:val="auto"/>
                <w:w w:val="88"/>
              </w:rPr>
              <w:t>As of March 31, 2010</w:t>
            </w:r>
          </w:p>
        </w:tc>
        <w:tc>
          <w:tcPr>
            <w:tcW w:w="1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6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6"/>
              </w:rPr>
              <w:t>As of December 31, 2009</w:t>
            </w:r>
          </w:p>
        </w:tc>
        <w:tc>
          <w:tcPr>
            <w:tcW w:w="6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29"/>
        </w:trPr>
        <w:tc>
          <w:tcPr>
            <w:tcW w:w="39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jc w:val="right"/>
              <w:ind w:right="240"/>
              <w:spacing w:after="0" w:line="129" w:lineRule="exact"/>
              <w:rPr>
                <w:sz w:val="20"/>
                <w:szCs w:val="20"/>
                <w:color w:val="auto"/>
              </w:rPr>
            </w:pPr>
            <w:r>
              <w:rPr>
                <w:rFonts w:ascii="Arial" w:cs="Arial" w:eastAsia="Arial" w:hAnsi="Arial"/>
                <w:sz w:val="14"/>
                <w:szCs w:val="14"/>
                <w:b w:val="1"/>
                <w:bCs w:val="1"/>
                <w:color w:val="auto"/>
                <w:w w:val="91"/>
              </w:rPr>
              <w:t>Six-Month</w:t>
            </w:r>
          </w:p>
        </w:tc>
        <w:tc>
          <w:tcPr>
            <w:tcW w:w="280" w:type="dxa"/>
            <w:vAlign w:val="bottom"/>
          </w:tcPr>
          <w:p>
            <w:pPr>
              <w:spacing w:after="0"/>
              <w:rPr>
                <w:sz w:val="11"/>
                <w:szCs w:val="11"/>
                <w:color w:val="auto"/>
              </w:rPr>
            </w:pPr>
          </w:p>
        </w:tc>
        <w:tc>
          <w:tcPr>
            <w:tcW w:w="1140" w:type="dxa"/>
            <w:vAlign w:val="bottom"/>
            <w:gridSpan w:val="2"/>
          </w:tcPr>
          <w:p>
            <w:pPr>
              <w:jc w:val="center"/>
              <w:ind w:right="340"/>
              <w:spacing w:after="0" w:line="129" w:lineRule="exact"/>
              <w:rPr>
                <w:sz w:val="20"/>
                <w:szCs w:val="20"/>
                <w:color w:val="auto"/>
              </w:rPr>
            </w:pPr>
            <w:r>
              <w:rPr>
                <w:rFonts w:ascii="Arial" w:cs="Arial" w:eastAsia="Arial" w:hAnsi="Arial"/>
                <w:sz w:val="14"/>
                <w:szCs w:val="14"/>
                <w:b w:val="1"/>
                <w:bCs w:val="1"/>
                <w:color w:val="auto"/>
                <w:w w:val="89"/>
              </w:rPr>
              <w:t>One-Year</w:t>
            </w:r>
          </w:p>
        </w:tc>
        <w:tc>
          <w:tcPr>
            <w:tcW w:w="140" w:type="dxa"/>
            <w:vAlign w:val="bottom"/>
          </w:tcPr>
          <w:p>
            <w:pPr>
              <w:spacing w:after="0"/>
              <w:rPr>
                <w:sz w:val="11"/>
                <w:szCs w:val="11"/>
                <w:color w:val="auto"/>
              </w:rPr>
            </w:pP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6"/>
              </w:rPr>
              <w:t>One-Year</w:t>
            </w: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tcPr>
          <w:p>
            <w:pPr>
              <w:jc w:val="right"/>
              <w:ind w:right="452"/>
              <w:spacing w:after="0" w:line="129" w:lineRule="exact"/>
              <w:rPr>
                <w:sz w:val="20"/>
                <w:szCs w:val="20"/>
                <w:color w:val="auto"/>
              </w:rPr>
            </w:pPr>
            <w:r>
              <w:rPr>
                <w:rFonts w:ascii="Arial" w:cs="Arial" w:eastAsia="Arial" w:hAnsi="Arial"/>
                <w:sz w:val="14"/>
                <w:szCs w:val="14"/>
                <w:b w:val="1"/>
                <w:bCs w:val="1"/>
                <w:color w:val="auto"/>
                <w:w w:val="91"/>
              </w:rPr>
              <w:t>Six-Month</w:t>
            </w:r>
          </w:p>
        </w:tc>
        <w:tc>
          <w:tcPr>
            <w:tcW w:w="1180" w:type="dxa"/>
            <w:vAlign w:val="bottom"/>
            <w:gridSpan w:val="2"/>
          </w:tcPr>
          <w:p>
            <w:pPr>
              <w:jc w:val="center"/>
              <w:ind w:right="500"/>
              <w:spacing w:after="0" w:line="129" w:lineRule="exact"/>
              <w:rPr>
                <w:sz w:val="20"/>
                <w:szCs w:val="20"/>
                <w:color w:val="auto"/>
              </w:rPr>
            </w:pPr>
            <w:r>
              <w:rPr>
                <w:rFonts w:ascii="Arial" w:cs="Arial" w:eastAsia="Arial" w:hAnsi="Arial"/>
                <w:sz w:val="14"/>
                <w:szCs w:val="14"/>
                <w:b w:val="1"/>
                <w:bCs w:val="1"/>
                <w:color w:val="auto"/>
                <w:w w:val="89"/>
              </w:rPr>
              <w:t>One-Year</w:t>
            </w:r>
          </w:p>
        </w:tc>
        <w:tc>
          <w:tcPr>
            <w:tcW w:w="68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96"/>
              </w:rPr>
              <w:t>One-Year</w:t>
            </w:r>
          </w:p>
        </w:tc>
        <w:tc>
          <w:tcPr>
            <w:tcW w:w="200" w:type="dxa"/>
            <w:vAlign w:val="bottom"/>
          </w:tcPr>
          <w:p>
            <w:pPr>
              <w:spacing w:after="0"/>
              <w:rPr>
                <w:sz w:val="11"/>
                <w:szCs w:val="11"/>
                <w:color w:val="auto"/>
              </w:rPr>
            </w:pPr>
          </w:p>
        </w:tc>
      </w:tr>
      <w:tr>
        <w:trPr>
          <w:trHeight w:val="161"/>
        </w:trPr>
        <w:tc>
          <w:tcPr>
            <w:tcW w:w="39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Libor</w:t>
            </w:r>
          </w:p>
        </w:tc>
        <w:tc>
          <w:tcPr>
            <w:tcW w:w="2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Libor</w:t>
            </w: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97"/>
              </w:rPr>
              <w:t>Treasury</w:t>
            </w:r>
          </w:p>
        </w:tc>
        <w:tc>
          <w:tcPr>
            <w:tcW w:w="3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Borders>
              <w:bottom w:val="single" w:sz="8" w:color="auto"/>
            </w:tcBorders>
          </w:tcPr>
          <w:p>
            <w:pPr>
              <w:jc w:val="right"/>
              <w:ind w:right="92"/>
              <w:spacing w:after="0"/>
              <w:rPr>
                <w:sz w:val="20"/>
                <w:szCs w:val="20"/>
                <w:color w:val="auto"/>
              </w:rPr>
            </w:pPr>
            <w:r>
              <w:rPr>
                <w:rFonts w:ascii="Arial" w:cs="Arial" w:eastAsia="Arial" w:hAnsi="Arial"/>
                <w:sz w:val="14"/>
                <w:szCs w:val="14"/>
                <w:b w:val="1"/>
                <w:bCs w:val="1"/>
                <w:color w:val="auto"/>
              </w:rPr>
              <w:t>Libor</w:t>
            </w:r>
          </w:p>
        </w:tc>
        <w:tc>
          <w:tcPr>
            <w:tcW w:w="500" w:type="dxa"/>
            <w:vAlign w:val="bottom"/>
          </w:tcPr>
          <w:p>
            <w:pPr>
              <w:spacing w:after="0"/>
              <w:rPr>
                <w:sz w:val="14"/>
                <w:szCs w:val="14"/>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Libor</w:t>
            </w:r>
          </w:p>
        </w:tc>
        <w:tc>
          <w:tcPr>
            <w:tcW w:w="500" w:type="dxa"/>
            <w:vAlign w:val="bottom"/>
          </w:tcPr>
          <w:p>
            <w:pPr>
              <w:spacing w:after="0"/>
              <w:rPr>
                <w:sz w:val="14"/>
                <w:szCs w:val="14"/>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Treasury</w:t>
            </w:r>
          </w:p>
        </w:tc>
        <w:tc>
          <w:tcPr>
            <w:tcW w:w="200" w:type="dxa"/>
            <w:vAlign w:val="bottom"/>
          </w:tcPr>
          <w:p>
            <w:pPr>
              <w:spacing w:after="0"/>
              <w:rPr>
                <w:sz w:val="14"/>
                <w:szCs w:val="14"/>
                <w:color w:val="auto"/>
              </w:rPr>
            </w:pPr>
          </w:p>
        </w:tc>
      </w:tr>
      <w:tr>
        <w:trPr>
          <w:trHeight w:val="210"/>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term to next reset (months)</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34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52</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54</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Weighted average margin</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1.62%</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1.76%</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2.25%</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1.60%</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1.72%</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2.24%</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annual period cap</w:t>
            </w:r>
          </w:p>
        </w:tc>
        <w:tc>
          <w:tcPr>
            <w:tcW w:w="15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1.18%</w:t>
            </w:r>
          </w:p>
        </w:tc>
        <w:tc>
          <w:tcPr>
            <w:tcW w:w="14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2.00%</w:t>
            </w:r>
          </w:p>
        </w:tc>
        <w:tc>
          <w:tcPr>
            <w:tcW w:w="11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2.00%</w:t>
            </w:r>
          </w:p>
        </w:tc>
        <w:tc>
          <w:tcPr>
            <w:tcW w:w="1340" w:type="dxa"/>
            <w:vAlign w:val="bottom"/>
            <w:gridSpan w:val="3"/>
            <w:shd w:val="clear" w:color="auto" w:fill="CCEEFF"/>
          </w:tcPr>
          <w:p>
            <w:pPr>
              <w:jc w:val="right"/>
              <w:ind w:right="272"/>
              <w:spacing w:after="0"/>
              <w:rPr>
                <w:sz w:val="20"/>
                <w:szCs w:val="20"/>
                <w:color w:val="auto"/>
              </w:rPr>
            </w:pPr>
            <w:r>
              <w:rPr>
                <w:rFonts w:ascii="Arial" w:cs="Arial" w:eastAsia="Arial" w:hAnsi="Arial"/>
                <w:sz w:val="18"/>
                <w:szCs w:val="18"/>
                <w:color w:val="auto"/>
              </w:rPr>
              <w:t>0.45%</w:t>
            </w:r>
          </w:p>
        </w:tc>
        <w:tc>
          <w:tcPr>
            <w:tcW w:w="11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2.00%</w:t>
            </w:r>
          </w:p>
        </w:tc>
        <w:tc>
          <w:tcPr>
            <w:tcW w:w="8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2.00%</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Weighted average lifetime cap</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10.81%</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10.17%</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10.33%</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10.65%</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10.28%</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10.22%</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Principal amount</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$120,890</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$1,483,975</w:t>
            </w:r>
          </w:p>
        </w:tc>
        <w:tc>
          <w:tcPr>
            <w:tcW w:w="340" w:type="dxa"/>
            <w:vAlign w:val="bottom"/>
            <w:shd w:val="clear" w:color="auto" w:fill="CCEEFF"/>
          </w:tcPr>
          <w:p>
            <w:pPr>
              <w:spacing w:after="0"/>
              <w:rPr>
                <w:sz w:val="18"/>
                <w:szCs w:val="18"/>
                <w:color w:val="auto"/>
              </w:rPr>
            </w:pPr>
          </w:p>
        </w:tc>
        <w:tc>
          <w:tcPr>
            <w:tcW w:w="114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$688,520</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$123,088</w:t>
            </w:r>
          </w:p>
        </w:tc>
        <w:tc>
          <w:tcPr>
            <w:tcW w:w="5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$750,375</w:t>
            </w:r>
          </w:p>
        </w:tc>
        <w:tc>
          <w:tcPr>
            <w:tcW w:w="5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$467,996</w:t>
            </w:r>
          </w:p>
        </w:tc>
      </w:tr>
      <w:tr>
        <w:trPr>
          <w:trHeight w:val="222"/>
        </w:trPr>
        <w:tc>
          <w:tcPr>
            <w:tcW w:w="3940" w:type="dxa"/>
            <w:vAlign w:val="bottom"/>
          </w:tcPr>
          <w:p>
            <w:pPr>
              <w:spacing w:after="0"/>
              <w:rPr>
                <w:sz w:val="20"/>
                <w:szCs w:val="20"/>
                <w:color w:val="auto"/>
              </w:rPr>
            </w:pPr>
            <w:r>
              <w:rPr>
                <w:rFonts w:ascii="Arial" w:cs="Arial" w:eastAsia="Arial" w:hAnsi="Arial"/>
                <w:sz w:val="18"/>
                <w:szCs w:val="18"/>
                <w:color w:val="auto"/>
              </w:rPr>
              <w:t>Percentage of investment portfolio at fair value</w:t>
            </w:r>
          </w:p>
        </w:tc>
        <w:tc>
          <w:tcPr>
            <w:tcW w:w="1520" w:type="dxa"/>
            <w:vAlign w:val="bottom"/>
            <w:gridSpan w:val="3"/>
          </w:tcPr>
          <w:p>
            <w:pPr>
              <w:jc w:val="right"/>
              <w:ind w:right="60"/>
              <w:spacing w:after="0"/>
              <w:rPr>
                <w:sz w:val="20"/>
                <w:szCs w:val="20"/>
                <w:color w:val="auto"/>
              </w:rPr>
            </w:pPr>
            <w:r>
              <w:rPr>
                <w:rFonts w:ascii="Arial" w:cs="Arial" w:eastAsia="Arial" w:hAnsi="Arial"/>
                <w:sz w:val="18"/>
                <w:szCs w:val="18"/>
                <w:color w:val="auto"/>
              </w:rPr>
              <w:t>2%</w:t>
            </w:r>
          </w:p>
        </w:tc>
        <w:tc>
          <w:tcPr>
            <w:tcW w:w="1420" w:type="dxa"/>
            <w:vAlign w:val="bottom"/>
            <w:gridSpan w:val="3"/>
          </w:tcPr>
          <w:p>
            <w:pPr>
              <w:jc w:val="right"/>
              <w:ind w:right="200"/>
              <w:spacing w:after="0"/>
              <w:rPr>
                <w:sz w:val="20"/>
                <w:szCs w:val="20"/>
                <w:color w:val="auto"/>
              </w:rPr>
            </w:pPr>
            <w:r>
              <w:rPr>
                <w:rFonts w:ascii="Arial" w:cs="Arial" w:eastAsia="Arial" w:hAnsi="Arial"/>
                <w:sz w:val="18"/>
                <w:szCs w:val="18"/>
                <w:color w:val="auto"/>
              </w:rPr>
              <w:t>29%</w:t>
            </w:r>
          </w:p>
        </w:tc>
        <w:tc>
          <w:tcPr>
            <w:tcW w:w="1140" w:type="dxa"/>
            <w:vAlign w:val="bottom"/>
            <w:gridSpan w:val="3"/>
          </w:tcPr>
          <w:p>
            <w:pPr>
              <w:jc w:val="right"/>
              <w:ind w:right="180"/>
              <w:spacing w:after="0"/>
              <w:rPr>
                <w:sz w:val="20"/>
                <w:szCs w:val="20"/>
                <w:color w:val="auto"/>
              </w:rPr>
            </w:pPr>
            <w:r>
              <w:rPr>
                <w:rFonts w:ascii="Arial" w:cs="Arial" w:eastAsia="Arial" w:hAnsi="Arial"/>
                <w:sz w:val="18"/>
                <w:szCs w:val="18"/>
                <w:color w:val="auto"/>
              </w:rPr>
              <w:t>13%</w:t>
            </w:r>
          </w:p>
        </w:tc>
        <w:tc>
          <w:tcPr>
            <w:tcW w:w="1340" w:type="dxa"/>
            <w:vAlign w:val="bottom"/>
            <w:gridSpan w:val="3"/>
          </w:tcPr>
          <w:p>
            <w:pPr>
              <w:jc w:val="right"/>
              <w:ind w:right="272"/>
              <w:spacing w:after="0"/>
              <w:rPr>
                <w:sz w:val="20"/>
                <w:szCs w:val="20"/>
                <w:color w:val="auto"/>
              </w:rPr>
            </w:pPr>
            <w:r>
              <w:rPr>
                <w:rFonts w:ascii="Arial" w:cs="Arial" w:eastAsia="Arial" w:hAnsi="Arial"/>
                <w:sz w:val="18"/>
                <w:szCs w:val="18"/>
                <w:color w:val="auto"/>
              </w:rPr>
              <w:t>3%</w:t>
            </w:r>
          </w:p>
        </w:tc>
        <w:tc>
          <w:tcPr>
            <w:tcW w:w="1180" w:type="dxa"/>
            <w:vAlign w:val="bottom"/>
            <w:gridSpan w:val="2"/>
          </w:tcPr>
          <w:p>
            <w:pPr>
              <w:jc w:val="right"/>
              <w:ind w:right="360"/>
              <w:spacing w:after="0"/>
              <w:rPr>
                <w:sz w:val="20"/>
                <w:szCs w:val="20"/>
                <w:color w:val="auto"/>
              </w:rPr>
            </w:pPr>
            <w:r>
              <w:rPr>
                <w:rFonts w:ascii="Arial" w:cs="Arial" w:eastAsia="Arial" w:hAnsi="Arial"/>
                <w:sz w:val="18"/>
                <w:szCs w:val="18"/>
                <w:color w:val="auto"/>
              </w:rPr>
              <w:t>18%</w:t>
            </w: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11%</w:t>
            </w:r>
          </w:p>
        </w:tc>
      </w:tr>
    </w:tbl>
    <w:p>
      <w:pPr>
        <w:spacing w:after="0" w:line="13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detail the number of months to the next reset for our pass-through securities collateralized by ARMs and hybrid ARMs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March 31, 2010 and December 31, 2009 (dollars in thousands):</w:t>
      </w:r>
    </w:p>
    <w:p>
      <w:pPr>
        <w:spacing w:after="0" w:line="147"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rPr>
              <w:t>As of March 31, 2010</w:t>
            </w:r>
          </w:p>
        </w:tc>
        <w:tc>
          <w:tcPr>
            <w:tcW w:w="14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b w:val="1"/>
                <w:bCs w:val="1"/>
                <w:color w:val="auto"/>
              </w:rPr>
              <w:t>As of December 31, 2009</w:t>
            </w: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9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Average</w:t>
            </w:r>
          </w:p>
        </w:tc>
        <w:tc>
          <w:tcPr>
            <w:tcW w:w="3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6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4"/>
              </w:rPr>
              <w:t>Average</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ind w:right="18"/>
              <w:spacing w:after="0"/>
              <w:rPr>
                <w:sz w:val="20"/>
                <w:szCs w:val="20"/>
                <w:color w:val="auto"/>
              </w:rPr>
            </w:pPr>
            <w:r>
              <w:rPr>
                <w:rFonts w:ascii="Arial" w:cs="Arial" w:eastAsia="Arial" w:hAnsi="Arial"/>
                <w:sz w:val="14"/>
                <w:szCs w:val="14"/>
                <w:b w:val="1"/>
                <w:bCs w:val="1"/>
                <w:color w:val="auto"/>
                <w:w w:val="86"/>
              </w:rPr>
              <w:t>Fair Value</w:t>
            </w:r>
          </w:p>
        </w:tc>
        <w:tc>
          <w:tcPr>
            <w:tcW w:w="1280" w:type="dxa"/>
            <w:vAlign w:val="bottom"/>
            <w:gridSpan w:val="3"/>
          </w:tcPr>
          <w:p>
            <w:pPr>
              <w:jc w:val="right"/>
              <w:ind w:right="440"/>
              <w:spacing w:after="0"/>
              <w:rPr>
                <w:sz w:val="20"/>
                <w:szCs w:val="20"/>
                <w:color w:val="auto"/>
              </w:rPr>
            </w:pPr>
            <w:r>
              <w:rPr>
                <w:rFonts w:ascii="Arial" w:cs="Arial" w:eastAsia="Arial" w:hAnsi="Arial"/>
                <w:sz w:val="14"/>
                <w:szCs w:val="14"/>
                <w:b w:val="1"/>
                <w:bCs w:val="1"/>
                <w:color w:val="auto"/>
              </w:rPr>
              <w:t>% Total</w:t>
            </w:r>
          </w:p>
        </w:tc>
        <w:tc>
          <w:tcPr>
            <w:tcW w:w="140" w:type="dxa"/>
            <w:vAlign w:val="bottom"/>
          </w:tcPr>
          <w:p>
            <w:pPr>
              <w:spacing w:after="0"/>
              <w:rPr>
                <w:sz w:val="14"/>
                <w:szCs w:val="14"/>
                <w:color w:val="auto"/>
              </w:rPr>
            </w:pPr>
          </w:p>
        </w:tc>
        <w:tc>
          <w:tcPr>
            <w:tcW w:w="460" w:type="dxa"/>
            <w:vAlign w:val="bottom"/>
          </w:tcPr>
          <w:p>
            <w:pPr>
              <w:jc w:val="right"/>
              <w:ind w:right="12"/>
              <w:spacing w:after="0"/>
              <w:rPr>
                <w:sz w:val="20"/>
                <w:szCs w:val="20"/>
                <w:color w:val="auto"/>
              </w:rPr>
            </w:pPr>
            <w:r>
              <w:rPr>
                <w:rFonts w:ascii="Arial" w:cs="Arial" w:eastAsia="Arial" w:hAnsi="Arial"/>
                <w:sz w:val="14"/>
                <w:szCs w:val="14"/>
                <w:b w:val="1"/>
                <w:bCs w:val="1"/>
                <w:color w:val="auto"/>
                <w:w w:val="94"/>
              </w:rPr>
              <w:t>Reset</w:t>
            </w:r>
          </w:p>
        </w:tc>
        <w:tc>
          <w:tcPr>
            <w:tcW w:w="3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ind w:right="18"/>
              <w:spacing w:after="0"/>
              <w:rPr>
                <w:sz w:val="20"/>
                <w:szCs w:val="20"/>
                <w:color w:val="auto"/>
              </w:rPr>
            </w:pPr>
            <w:r>
              <w:rPr>
                <w:rFonts w:ascii="Arial" w:cs="Arial" w:eastAsia="Arial" w:hAnsi="Arial"/>
                <w:sz w:val="14"/>
                <w:szCs w:val="14"/>
                <w:b w:val="1"/>
                <w:bCs w:val="1"/>
                <w:color w:val="auto"/>
                <w:w w:val="89"/>
              </w:rPr>
              <w:t>Fair Value</w:t>
            </w:r>
          </w:p>
        </w:tc>
        <w:tc>
          <w:tcPr>
            <w:tcW w:w="134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rPr>
              <w:t>% Total</w:t>
            </w:r>
          </w:p>
        </w:tc>
        <w:tc>
          <w:tcPr>
            <w:tcW w:w="80" w:type="dxa"/>
            <w:vAlign w:val="bottom"/>
          </w:tcPr>
          <w:p>
            <w:pPr>
              <w:spacing w:after="0"/>
              <w:rPr>
                <w:sz w:val="14"/>
                <w:szCs w:val="14"/>
                <w:color w:val="auto"/>
              </w:rPr>
            </w:pPr>
          </w:p>
        </w:tc>
        <w:tc>
          <w:tcPr>
            <w:tcW w:w="480" w:type="dxa"/>
            <w:vAlign w:val="bottom"/>
          </w:tcPr>
          <w:p>
            <w:pPr>
              <w:jc w:val="right"/>
              <w:ind w:right="22"/>
              <w:spacing w:after="0"/>
              <w:rPr>
                <w:sz w:val="20"/>
                <w:szCs w:val="20"/>
                <w:color w:val="auto"/>
              </w:rPr>
            </w:pPr>
            <w:r>
              <w:rPr>
                <w:rFonts w:ascii="Arial" w:cs="Arial" w:eastAsia="Arial" w:hAnsi="Arial"/>
                <w:sz w:val="14"/>
                <w:szCs w:val="14"/>
                <w:b w:val="1"/>
                <w:bCs w:val="1"/>
                <w:color w:val="auto"/>
                <w:w w:val="94"/>
              </w:rPr>
              <w:t>Reset</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7,686</w:t>
            </w:r>
          </w:p>
        </w:tc>
        <w:tc>
          <w:tcPr>
            <w:tcW w:w="3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499,865</w:t>
            </w:r>
          </w:p>
        </w:tc>
        <w:tc>
          <w:tcPr>
            <w:tcW w:w="1280" w:type="dxa"/>
            <w:vAlign w:val="bottom"/>
            <w:gridSpan w:val="3"/>
          </w:tcPr>
          <w:p>
            <w:pPr>
              <w:jc w:val="right"/>
              <w:ind w:right="300"/>
              <w:spacing w:after="0"/>
              <w:rPr>
                <w:sz w:val="20"/>
                <w:szCs w:val="20"/>
                <w:color w:val="auto"/>
              </w:rPr>
            </w:pPr>
            <w:r>
              <w:rPr>
                <w:rFonts w:ascii="Arial" w:cs="Arial" w:eastAsia="Arial" w:hAnsi="Arial"/>
                <w:sz w:val="18"/>
                <w:szCs w:val="18"/>
                <w:color w:val="auto"/>
              </w:rPr>
              <w:t>19%</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28</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277,076</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16%</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w w:val="99"/>
              </w:rPr>
              <w:t>Greater than three years and less than five years</w:t>
            </w: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1,365,357</w:t>
            </w:r>
          </w:p>
        </w:tc>
        <w:tc>
          <w:tcPr>
            <w:tcW w:w="12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50%</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3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648,093</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38%</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2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837,648</w:t>
            </w:r>
          </w:p>
        </w:tc>
        <w:tc>
          <w:tcPr>
            <w:tcW w:w="38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31%</w:t>
            </w: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87</w:t>
            </w: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780,318</w:t>
            </w:r>
          </w:p>
        </w:tc>
        <w:tc>
          <w:tcPr>
            <w:tcW w:w="1340" w:type="dxa"/>
            <w:vAlign w:val="bottom"/>
            <w:gridSpan w:val="3"/>
          </w:tcPr>
          <w:p>
            <w:pPr>
              <w:jc w:val="right"/>
              <w:ind w:right="340"/>
              <w:spacing w:after="0"/>
              <w:rPr>
                <w:sz w:val="20"/>
                <w:szCs w:val="20"/>
                <w:color w:val="auto"/>
              </w:rPr>
            </w:pPr>
            <w:r>
              <w:rPr>
                <w:rFonts w:ascii="Arial" w:cs="Arial" w:eastAsia="Arial" w:hAnsi="Arial"/>
                <w:sz w:val="18"/>
                <w:szCs w:val="18"/>
                <w:color w:val="auto"/>
              </w:rPr>
              <w:t>46%</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920" w:type="dxa"/>
            <w:vAlign w:val="bottom"/>
          </w:tcPr>
          <w:p>
            <w:pPr>
              <w:spacing w:after="0"/>
              <w:rPr>
                <w:sz w:val="2"/>
                <w:szCs w:val="2"/>
                <w:color w:val="auto"/>
              </w:rPr>
            </w:pPr>
          </w:p>
        </w:tc>
        <w:tc>
          <w:tcPr>
            <w:tcW w:w="6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20" w:type="dxa"/>
            <w:vAlign w:val="bottom"/>
            <w:shd w:val="clear" w:color="auto" w:fill="CCEEFF"/>
          </w:tcPr>
          <w:p>
            <w:pPr>
              <w:spacing w:after="0"/>
              <w:rPr>
                <w:sz w:val="20"/>
                <w:szCs w:val="20"/>
                <w:color w:val="auto"/>
              </w:rPr>
            </w:pPr>
            <w:r>
              <w:rPr>
                <w:rFonts w:ascii="Arial" w:cs="Arial" w:eastAsia="Arial" w:hAnsi="Arial"/>
                <w:sz w:val="18"/>
                <w:szCs w:val="18"/>
                <w:color w:val="auto"/>
              </w:rPr>
              <w:t>Total / Weighted Average</w:t>
            </w:r>
          </w:p>
        </w:tc>
        <w:tc>
          <w:tcPr>
            <w:tcW w:w="6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2,710,556</w:t>
            </w:r>
          </w:p>
        </w:tc>
        <w:tc>
          <w:tcPr>
            <w:tcW w:w="12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100%</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1,705,487</w:t>
            </w:r>
          </w:p>
        </w:tc>
        <w:tc>
          <w:tcPr>
            <w:tcW w:w="134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100%</w:t>
            </w: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following tables summarize our agency securities, at fair value, according to their estimated weighted average life classifications as of March 31, 2010 and December 31, 2009 (in thousands):</w:t>
      </w:r>
    </w:p>
    <w:p>
      <w:pPr>
        <w:spacing w:after="0" w:line="10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42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78"/>
              <w:spacing w:after="0"/>
              <w:rPr>
                <w:sz w:val="20"/>
                <w:szCs w:val="20"/>
                <w:color w:val="auto"/>
              </w:rPr>
            </w:pPr>
            <w:r>
              <w:rPr>
                <w:rFonts w:ascii="Arial" w:cs="Arial" w:eastAsia="Arial" w:hAnsi="Arial"/>
                <w:sz w:val="14"/>
                <w:szCs w:val="14"/>
                <w:b w:val="1"/>
                <w:bCs w:val="1"/>
                <w:color w:val="auto"/>
                <w:w w:val="95"/>
              </w:rPr>
              <w:t>March 31,</w:t>
            </w:r>
          </w:p>
        </w:tc>
        <w:tc>
          <w:tcPr>
            <w:tcW w:w="520" w:type="dxa"/>
            <w:vAlign w:val="bottom"/>
          </w:tcPr>
          <w:p>
            <w:pPr>
              <w:spacing w:after="0"/>
              <w:rPr>
                <w:sz w:val="14"/>
                <w:szCs w:val="14"/>
                <w:color w:val="auto"/>
              </w:rPr>
            </w:pPr>
          </w:p>
        </w:tc>
        <w:tc>
          <w:tcPr>
            <w:tcW w:w="940" w:type="dxa"/>
            <w:vAlign w:val="bottom"/>
            <w:gridSpan w:val="2"/>
          </w:tcPr>
          <w:p>
            <w:pPr>
              <w:jc w:val="right"/>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61"/>
        </w:trPr>
        <w:tc>
          <w:tcPr>
            <w:tcW w:w="4200" w:type="dxa"/>
            <w:vAlign w:val="bottom"/>
          </w:tcPr>
          <w:p>
            <w:pPr>
              <w:spacing w:after="0"/>
              <w:rPr>
                <w:sz w:val="14"/>
                <w:szCs w:val="14"/>
                <w:color w:val="auto"/>
              </w:rPr>
            </w:pPr>
          </w:p>
        </w:tc>
        <w:tc>
          <w:tcPr>
            <w:tcW w:w="37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38"/>
              <w:spacing w:after="0"/>
              <w:rPr>
                <w:sz w:val="20"/>
                <w:szCs w:val="20"/>
                <w:color w:val="auto"/>
              </w:rPr>
            </w:pPr>
            <w:r>
              <w:rPr>
                <w:rFonts w:ascii="Arial" w:cs="Arial" w:eastAsia="Arial" w:hAnsi="Arial"/>
                <w:sz w:val="14"/>
                <w:szCs w:val="14"/>
                <w:b w:val="1"/>
                <w:bCs w:val="1"/>
                <w:color w:val="auto"/>
              </w:rPr>
              <w:t>2010</w:t>
            </w:r>
          </w:p>
        </w:tc>
        <w:tc>
          <w:tcPr>
            <w:tcW w:w="52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6"/>
              <w:spacing w:after="0"/>
              <w:rPr>
                <w:sz w:val="20"/>
                <w:szCs w:val="20"/>
                <w:color w:val="auto"/>
              </w:rPr>
            </w:pPr>
            <w:r>
              <w:rPr>
                <w:rFonts w:ascii="Arial" w:cs="Arial" w:eastAsia="Arial" w:hAnsi="Arial"/>
                <w:sz w:val="14"/>
                <w:szCs w:val="14"/>
                <w:b w:val="1"/>
                <w:bCs w:val="1"/>
                <w:color w:val="auto"/>
              </w:rPr>
              <w:t>2009</w:t>
            </w:r>
          </w:p>
        </w:tc>
        <w:tc>
          <w:tcPr>
            <w:tcW w:w="0" w:type="dxa"/>
            <w:vAlign w:val="bottom"/>
          </w:tcPr>
          <w:p>
            <w:pPr>
              <w:spacing w:after="0"/>
              <w:rPr>
                <w:sz w:val="1"/>
                <w:szCs w:val="1"/>
                <w:color w:val="auto"/>
              </w:rPr>
            </w:pPr>
          </w:p>
        </w:tc>
      </w:tr>
      <w:tr>
        <w:trPr>
          <w:trHeight w:val="210"/>
        </w:trPr>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3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4,620</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16"/>
        </w:trPr>
        <w:tc>
          <w:tcPr>
            <w:tcW w:w="4200" w:type="dxa"/>
            <w:vAlign w:val="bottom"/>
          </w:tcPr>
          <w:p>
            <w:pPr>
              <w:spacing w:after="0"/>
              <w:rPr>
                <w:sz w:val="20"/>
                <w:szCs w:val="20"/>
                <w:color w:val="auto"/>
              </w:rPr>
            </w:pPr>
            <w:r>
              <w:rPr>
                <w:rFonts w:ascii="Arial" w:cs="Arial" w:eastAsia="Arial" w:hAnsi="Arial"/>
                <w:sz w:val="18"/>
                <w:szCs w:val="18"/>
                <w:color w:val="auto"/>
              </w:rPr>
              <w:t>Greater than one year and less than three years</w:t>
            </w:r>
          </w:p>
        </w:tc>
        <w:tc>
          <w:tcPr>
            <w:tcW w:w="3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803,228</w:t>
            </w: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281,721</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Greater than three years and less than five years</w:t>
            </w:r>
          </w:p>
        </w:tc>
        <w:tc>
          <w:tcPr>
            <w:tcW w:w="3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2,050,046</w:t>
            </w: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1,340,665</w:t>
            </w:r>
          </w:p>
        </w:tc>
        <w:tc>
          <w:tcPr>
            <w:tcW w:w="0" w:type="dxa"/>
            <w:vAlign w:val="bottom"/>
          </w:tcPr>
          <w:p>
            <w:pPr>
              <w:spacing w:after="0"/>
              <w:rPr>
                <w:sz w:val="1"/>
                <w:szCs w:val="1"/>
                <w:color w:val="auto"/>
              </w:rPr>
            </w:pPr>
          </w:p>
        </w:tc>
      </w:tr>
      <w:tr>
        <w:trPr>
          <w:trHeight w:val="223"/>
        </w:trPr>
        <w:tc>
          <w:tcPr>
            <w:tcW w:w="420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37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2,382,360</w:t>
            </w:r>
          </w:p>
        </w:tc>
        <w:tc>
          <w:tcPr>
            <w:tcW w:w="5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2,677,297</w:t>
            </w: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38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5,240,254</w:t>
            </w:r>
          </w:p>
        </w:tc>
        <w:tc>
          <w:tcPr>
            <w:tcW w:w="68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4,300,115</w:t>
            </w: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3700" w:type="dxa"/>
            <w:vAlign w:val="bottom"/>
            <w:vMerge w:val="restart"/>
          </w:tcPr>
          <w:p>
            <w:pPr>
              <w:jc w:val="right"/>
              <w:ind w:right="2592"/>
              <w:spacing w:after="0"/>
              <w:rPr>
                <w:sz w:val="20"/>
                <w:szCs w:val="20"/>
                <w:color w:val="auto"/>
              </w:rPr>
            </w:pPr>
            <w:r>
              <w:rPr>
                <w:rFonts w:ascii="Arial" w:cs="Arial" w:eastAsia="Arial" w:hAnsi="Arial"/>
                <w:sz w:val="18"/>
                <w:szCs w:val="18"/>
                <w:color w:val="auto"/>
              </w:rPr>
              <w:t>31</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4200" w:type="dxa"/>
            <w:vAlign w:val="bottom"/>
          </w:tcPr>
          <w:p>
            <w:pPr>
              <w:spacing w:after="0"/>
              <w:rPr>
                <w:sz w:val="24"/>
                <w:szCs w:val="24"/>
                <w:color w:val="auto"/>
              </w:rPr>
            </w:pPr>
          </w:p>
        </w:tc>
        <w:tc>
          <w:tcPr>
            <w:tcW w:w="370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constant prepayment rate (“CPR”) reflects the percentage of principal that is prepaid over a period of time on an annualized basis. In general, while there are various factors that impact the rate of prepayments, as interest rates rise, the rate of refinancings typically declines, which may result in lower rates of prepayment and, as a result, a lower portfolio CPR. Conversely, as interest rates fall, the rate of refinancings typically increases, which we expect may result in higher rates of prepayment and, as a result, a higher portfolio CPR. As of March 31, 2010, our portfolio was purchased at a net premium. The actual CPR was approximately 21% and 20% for the three months ended March 31, 2010 and 2009, respectively. In determining the yield on our agency securities, we have assumed that the CPR over the remaining projected life of our aggregate investment portfolio is 18% as of March 31, 2010. We make different prepayment assumptions for the individual securities that comprise the investment portfolio and these individual assumptions can differ materially from the average. There is also considerable uncertainty around prepayment speeds in this environment and actual speeds could differ materially from our estimates.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In addition, securities were purchased with different amounts of premiums and therefore the yield on some securities is more sensitive to changes in prepayment speeds.</w:t>
      </w:r>
    </w:p>
    <w:p>
      <w:pPr>
        <w:spacing w:after="0" w:line="11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300"/>
          </w:cols>
          <w:pgMar w:left="240" w:top="459" w:right="3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The following analysis of our financial condition and results of operations should be read in conjunction with our interim consolidated financial statements and the notes thereto. The table below presents our condensed consolidated statements of operations and key portfolio statistics for the three months ended March 31, 2010 and 2009, respectively (in thousands, except per share amounts):</w:t>
      </w:r>
    </w:p>
    <w:p>
      <w:pPr>
        <w:spacing w:after="0" w:line="122" w:lineRule="exact"/>
        <w:rPr>
          <w:sz w:val="20"/>
          <w:szCs w:val="20"/>
          <w:color w:val="auto"/>
        </w:rPr>
      </w:pPr>
    </w:p>
    <w:p>
      <w:pPr>
        <w:jc w:val="center"/>
        <w:ind w:left="8780"/>
        <w:spacing w:after="0"/>
        <w:rPr>
          <w:sz w:val="20"/>
          <w:szCs w:val="20"/>
          <w:color w:val="auto"/>
        </w:rPr>
      </w:pPr>
      <w:r>
        <w:rPr>
          <w:rFonts w:ascii="Arial" w:cs="Arial" w:eastAsia="Arial" w:hAnsi="Arial"/>
          <w:sz w:val="14"/>
          <w:szCs w:val="14"/>
          <w:b w:val="1"/>
          <w:bCs w:val="1"/>
          <w:color w:val="auto"/>
        </w:rPr>
        <w:t>For the three months ended</w:t>
      </w:r>
    </w:p>
    <w:p>
      <w:pPr>
        <w:spacing w:after="0" w:line="1" w:lineRule="exact"/>
        <w:rPr>
          <w:sz w:val="20"/>
          <w:szCs w:val="20"/>
          <w:color w:val="auto"/>
        </w:rPr>
      </w:pPr>
    </w:p>
    <w:p>
      <w:pPr>
        <w:jc w:val="center"/>
        <w:ind w:left="8780"/>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5708015</wp:posOffset>
            </wp:positionH>
            <wp:positionV relativeFrom="paragraph">
              <wp:posOffset>-7620</wp:posOffset>
            </wp:positionV>
            <wp:extent cx="141478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414780" cy="8890"/>
                    </a:xfrm>
                    <a:prstGeom prst="rect">
                      <a:avLst/>
                    </a:prstGeom>
                    <a:noFill/>
                  </pic:spPr>
                </pic:pic>
              </a:graphicData>
            </a:graphic>
          </wp:anchor>
        </w:drawing>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2010</w:t>
            </w:r>
          </w:p>
        </w:tc>
        <w:tc>
          <w:tcPr>
            <w:tcW w:w="6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2009</w:t>
            </w: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7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Statement of Operations Data:</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Interest income</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38,797</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22,351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expense</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(15,510)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(8,129)</w:t>
            </w:r>
          </w:p>
        </w:tc>
        <w:tc>
          <w:tcPr>
            <w:tcW w:w="0" w:type="dxa"/>
            <w:vAlign w:val="bottom"/>
          </w:tcPr>
          <w:p>
            <w:pPr>
              <w:spacing w:after="0"/>
              <w:rPr>
                <w:sz w:val="1"/>
                <w:szCs w:val="1"/>
                <w:color w:val="auto"/>
              </w:rPr>
            </w:pPr>
          </w:p>
        </w:tc>
      </w:tr>
      <w:tr>
        <w:trPr>
          <w:trHeight w:val="230"/>
        </w:trPr>
        <w:tc>
          <w:tcPr>
            <w:tcW w:w="7200" w:type="dxa"/>
            <w:vAlign w:val="bottom"/>
          </w:tcPr>
          <w:p>
            <w:pPr>
              <w:ind w:left="880"/>
              <w:spacing w:after="0"/>
              <w:rPr>
                <w:sz w:val="20"/>
                <w:szCs w:val="20"/>
                <w:color w:val="auto"/>
              </w:rPr>
            </w:pPr>
            <w:r>
              <w:rPr>
                <w:rFonts w:ascii="Arial" w:cs="Arial" w:eastAsia="Arial" w:hAnsi="Arial"/>
                <w:sz w:val="18"/>
                <w:szCs w:val="18"/>
                <w:color w:val="auto"/>
              </w:rPr>
              <w:t>Net interest income</w:t>
            </w:r>
          </w:p>
        </w:tc>
        <w:tc>
          <w:tcPr>
            <w:tcW w:w="178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23,287</w:t>
            </w:r>
          </w:p>
        </w:tc>
        <w:tc>
          <w:tcPr>
            <w:tcW w:w="6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14,222</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Gain on sale of agency securities, net</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27,408</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4,818</w:t>
            </w:r>
          </w:p>
        </w:tc>
        <w:tc>
          <w:tcPr>
            <w:tcW w:w="0" w:type="dxa"/>
            <w:vAlign w:val="bottom"/>
          </w:tcPr>
          <w:p>
            <w:pPr>
              <w:spacing w:after="0"/>
              <w:rPr>
                <w:sz w:val="1"/>
                <w:szCs w:val="1"/>
                <w:color w:val="auto"/>
              </w:rPr>
            </w:pPr>
          </w:p>
        </w:tc>
      </w:tr>
      <w:tr>
        <w:trPr>
          <w:trHeight w:val="223"/>
        </w:trPr>
        <w:tc>
          <w:tcPr>
            <w:tcW w:w="7200" w:type="dxa"/>
            <w:vAlign w:val="bottom"/>
          </w:tcPr>
          <w:p>
            <w:pPr>
              <w:ind w:left="440"/>
              <w:spacing w:after="0"/>
              <w:rPr>
                <w:sz w:val="20"/>
                <w:szCs w:val="20"/>
                <w:color w:val="auto"/>
              </w:rPr>
            </w:pPr>
            <w:r>
              <w:rPr>
                <w:rFonts w:ascii="Arial" w:cs="Arial" w:eastAsia="Arial" w:hAnsi="Arial"/>
                <w:sz w:val="18"/>
                <w:szCs w:val="18"/>
                <w:color w:val="auto"/>
              </w:rPr>
              <w:t>Gain (loss) on derivative instruments, net</w:t>
            </w: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5,920</w:t>
            </w: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(358)</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other income, net</w:t>
            </w:r>
          </w:p>
        </w:tc>
        <w:tc>
          <w:tcPr>
            <w:tcW w:w="17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33,328</w:t>
            </w:r>
          </w:p>
        </w:tc>
        <w:tc>
          <w:tcPr>
            <w:tcW w:w="6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4,460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7200" w:type="dxa"/>
            <w:vAlign w:val="bottom"/>
          </w:tcPr>
          <w:p>
            <w:pPr>
              <w:ind w:left="440"/>
              <w:spacing w:after="0"/>
              <w:rPr>
                <w:sz w:val="20"/>
                <w:szCs w:val="20"/>
                <w:color w:val="auto"/>
              </w:rPr>
            </w:pPr>
            <w:r>
              <w:rPr>
                <w:rFonts w:ascii="Arial" w:cs="Arial" w:eastAsia="Arial" w:hAnsi="Arial"/>
                <w:sz w:val="18"/>
                <w:szCs w:val="18"/>
                <w:color w:val="auto"/>
              </w:rPr>
              <w:t>Management fees</w:t>
            </w: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gridSpan w:val="2"/>
          </w:tcPr>
          <w:p>
            <w:pPr>
              <w:jc w:val="right"/>
              <w:ind w:right="580"/>
              <w:spacing w:after="0"/>
              <w:rPr>
                <w:sz w:val="20"/>
                <w:szCs w:val="20"/>
                <w:color w:val="auto"/>
              </w:rPr>
            </w:pPr>
            <w:r>
              <w:rPr>
                <w:rFonts w:ascii="Arial" w:cs="Arial" w:eastAsia="Arial" w:hAnsi="Arial"/>
                <w:sz w:val="18"/>
                <w:szCs w:val="18"/>
                <w:color w:val="auto"/>
              </w:rPr>
              <w:t>(1,784)</w:t>
            </w:r>
          </w:p>
        </w:tc>
        <w:tc>
          <w:tcPr>
            <w:tcW w:w="100" w:type="dxa"/>
            <w:vAlign w:val="bottom"/>
          </w:tcPr>
          <w:p>
            <w:pPr>
              <w:spacing w:after="0"/>
              <w:rPr>
                <w:sz w:val="19"/>
                <w:szCs w:val="19"/>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(903)</w:t>
            </w:r>
          </w:p>
        </w:tc>
        <w:tc>
          <w:tcPr>
            <w:tcW w:w="0" w:type="dxa"/>
            <w:vAlign w:val="bottom"/>
          </w:tcPr>
          <w:p>
            <w:pPr>
              <w:spacing w:after="0"/>
              <w:rPr>
                <w:sz w:val="1"/>
                <w:szCs w:val="1"/>
                <w:color w:val="auto"/>
              </w:rPr>
            </w:pPr>
          </w:p>
        </w:tc>
      </w:tr>
      <w:tr>
        <w:trPr>
          <w:trHeight w:val="217"/>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General and administrative expenses</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(1,681)</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(1,468)</w:t>
            </w:r>
          </w:p>
        </w:tc>
        <w:tc>
          <w:tcPr>
            <w:tcW w:w="0" w:type="dxa"/>
            <w:vAlign w:val="bottom"/>
          </w:tcPr>
          <w:p>
            <w:pPr>
              <w:spacing w:after="0"/>
              <w:rPr>
                <w:sz w:val="1"/>
                <w:szCs w:val="1"/>
                <w:color w:val="auto"/>
              </w:rPr>
            </w:pPr>
          </w:p>
        </w:tc>
      </w:tr>
      <w:tr>
        <w:trPr>
          <w:trHeight w:val="20"/>
        </w:trPr>
        <w:tc>
          <w:tcPr>
            <w:tcW w:w="7200" w:type="dxa"/>
            <w:vAlign w:val="bottom"/>
            <w:vMerge w:val="restart"/>
          </w:tcPr>
          <w:p>
            <w:pPr>
              <w:ind w:left="880"/>
              <w:spacing w:after="0"/>
              <w:rPr>
                <w:sz w:val="20"/>
                <w:szCs w:val="20"/>
                <w:color w:val="auto"/>
              </w:rPr>
            </w:pPr>
            <w:r>
              <w:rPr>
                <w:rFonts w:ascii="Arial" w:cs="Arial" w:eastAsia="Arial" w:hAnsi="Arial"/>
                <w:sz w:val="18"/>
                <w:szCs w:val="18"/>
                <w:color w:val="auto"/>
              </w:rPr>
              <w:t>Total expenses</w:t>
            </w:r>
          </w:p>
        </w:tc>
        <w:tc>
          <w:tcPr>
            <w:tcW w:w="17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7200" w:type="dxa"/>
            <w:vAlign w:val="bottom"/>
            <w:vMerge w:val="continue"/>
          </w:tcPr>
          <w:p>
            <w:pPr>
              <w:spacing w:after="0"/>
              <w:rPr>
                <w:sz w:val="20"/>
                <w:szCs w:val="20"/>
                <w:color w:val="auto"/>
              </w:rPr>
            </w:pPr>
          </w:p>
        </w:tc>
        <w:tc>
          <w:tcPr>
            <w:tcW w:w="1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2"/>
          </w:tcPr>
          <w:p>
            <w:pPr>
              <w:jc w:val="right"/>
              <w:ind w:right="580"/>
              <w:spacing w:after="0"/>
              <w:rPr>
                <w:sz w:val="20"/>
                <w:szCs w:val="20"/>
                <w:color w:val="auto"/>
              </w:rPr>
            </w:pPr>
            <w:r>
              <w:rPr>
                <w:rFonts w:ascii="Arial" w:cs="Arial" w:eastAsia="Arial" w:hAnsi="Arial"/>
                <w:sz w:val="18"/>
                <w:szCs w:val="18"/>
                <w:color w:val="auto"/>
              </w:rPr>
              <w:t>(3,465)</w:t>
            </w:r>
          </w:p>
        </w:tc>
        <w:tc>
          <w:tcPr>
            <w:tcW w:w="100" w:type="dxa"/>
            <w:vAlign w:val="bottom"/>
          </w:tcPr>
          <w:p>
            <w:pPr>
              <w:spacing w:after="0"/>
              <w:rPr>
                <w:sz w:val="20"/>
                <w:szCs w:val="20"/>
                <w:color w:val="auto"/>
              </w:rPr>
            </w:pPr>
          </w:p>
        </w:tc>
        <w:tc>
          <w:tcPr>
            <w:tcW w:w="900" w:type="dxa"/>
            <w:vAlign w:val="bottom"/>
            <w:gridSpan w:val="2"/>
          </w:tcPr>
          <w:p>
            <w:pPr>
              <w:jc w:val="right"/>
              <w:ind w:right="140"/>
              <w:spacing w:after="0"/>
              <w:rPr>
                <w:sz w:val="20"/>
                <w:szCs w:val="20"/>
                <w:color w:val="auto"/>
              </w:rPr>
            </w:pPr>
            <w:r>
              <w:rPr>
                <w:rFonts w:ascii="Arial" w:cs="Arial" w:eastAsia="Arial" w:hAnsi="Arial"/>
                <w:sz w:val="18"/>
                <w:szCs w:val="18"/>
                <w:color w:val="auto"/>
              </w:rPr>
              <w:t>(2,371)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w:t>
            </w:r>
          </w:p>
        </w:tc>
        <w:tc>
          <w:tcPr>
            <w:tcW w:w="178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53,150</w:t>
            </w:r>
          </w:p>
        </w:tc>
        <w:tc>
          <w:tcPr>
            <w:tcW w:w="640" w:type="dxa"/>
            <w:vAlign w:val="bottom"/>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16,311</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200" w:type="dxa"/>
            <w:vAlign w:val="bottom"/>
            <w:vMerge w:val="restart"/>
          </w:tcPr>
          <w:p>
            <w:pPr>
              <w:spacing w:after="0"/>
              <w:rPr>
                <w:sz w:val="20"/>
                <w:szCs w:val="20"/>
                <w:color w:val="auto"/>
              </w:rPr>
            </w:pPr>
            <w:r>
              <w:rPr>
                <w:rFonts w:ascii="Arial" w:cs="Arial" w:eastAsia="Arial" w:hAnsi="Arial"/>
                <w:sz w:val="18"/>
                <w:szCs w:val="18"/>
                <w:color w:val="auto"/>
              </w:rPr>
              <w:t>Net income per common share—basic and diluted</w:t>
            </w:r>
          </w:p>
        </w:tc>
        <w:tc>
          <w:tcPr>
            <w:tcW w:w="17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00" w:type="dxa"/>
            <w:vAlign w:val="bottom"/>
            <w:vMerge w:val="continue"/>
          </w:tcPr>
          <w:p>
            <w:pPr>
              <w:spacing w:after="0"/>
              <w:rPr>
                <w:sz w:val="18"/>
                <w:szCs w:val="18"/>
                <w:color w:val="auto"/>
              </w:rPr>
            </w:pP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2.13</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0"/>
        </w:trPr>
        <w:tc>
          <w:tcPr>
            <w:tcW w:w="72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720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outstanding—basic and diluted</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25,002</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15,005</w:t>
            </w:r>
          </w:p>
        </w:tc>
        <w:tc>
          <w:tcPr>
            <w:tcW w:w="0" w:type="dxa"/>
            <w:vAlign w:val="bottom"/>
          </w:tcPr>
          <w:p>
            <w:pPr>
              <w:spacing w:after="0"/>
              <w:rPr>
                <w:sz w:val="1"/>
                <w:szCs w:val="1"/>
                <w:color w:val="auto"/>
              </w:rPr>
            </w:pPr>
          </w:p>
        </w:tc>
      </w:tr>
      <w:tr>
        <w:trPr>
          <w:trHeight w:val="20"/>
        </w:trPr>
        <w:tc>
          <w:tcPr>
            <w:tcW w:w="7200" w:type="dxa"/>
            <w:vAlign w:val="bottom"/>
            <w:vMerge w:val="restart"/>
          </w:tcPr>
          <w:p>
            <w:pPr>
              <w:spacing w:after="0"/>
              <w:rPr>
                <w:sz w:val="20"/>
                <w:szCs w:val="20"/>
                <w:color w:val="auto"/>
              </w:rPr>
            </w:pPr>
            <w:r>
              <w:rPr>
                <w:rFonts w:ascii="Arial" w:cs="Arial" w:eastAsia="Arial" w:hAnsi="Arial"/>
                <w:sz w:val="18"/>
                <w:szCs w:val="18"/>
                <w:b w:val="1"/>
                <w:bCs w:val="1"/>
                <w:color w:val="auto"/>
              </w:rPr>
              <w:t>Key Portfolio Statistics*:</w:t>
            </w:r>
          </w:p>
        </w:tc>
        <w:tc>
          <w:tcPr>
            <w:tcW w:w="17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200" w:type="dxa"/>
            <w:vAlign w:val="bottom"/>
            <w:vMerge w:val="continue"/>
          </w:tcPr>
          <w:p>
            <w:pPr>
              <w:spacing w:after="0"/>
              <w:rPr>
                <w:sz w:val="18"/>
                <w:szCs w:val="18"/>
                <w:color w:val="auto"/>
              </w:rPr>
            </w:pP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agency securities, at cost</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4,099,855</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1,738,321</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total assets, at fair value</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4,591,850</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w w:val="84"/>
              </w:rPr>
              <w:t>1,969,307</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repurchase agreements</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3,787,583</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1,537,798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stockholders’ equity</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580,056</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274,278</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Fixed-rate agency securities at fair value—as of period end</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1,834,924</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1,387,278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Adjustable-rate agency securities at fair value—as of period end</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2,710,557</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870,196</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CMO agency securities at fair value—as of period end</w:t>
            </w:r>
          </w:p>
        </w:tc>
        <w:tc>
          <w:tcPr>
            <w:tcW w:w="1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657,119</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Interest-only strips agency securities, at fair value—as of period end</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37,654</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asset yield(1)</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3.78%</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5.13%</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cost of funds(2)</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2.03%</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cost of funds—terminated swap amortization expense(3)</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0.39%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0.08%</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Average net interest rate spread(4)</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2.16%</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3.02%</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Net return on average stockholders’ equity(5)</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37.16%</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24.12%</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)(6)</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6.5:1</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5.6:1</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as of period end</w:t>
            </w:r>
            <w:r>
              <w:rPr>
                <w:rFonts w:ascii="Arial" w:cs="Arial" w:eastAsia="Arial" w:hAnsi="Arial"/>
                <w:sz w:val="18"/>
                <w:szCs w:val="18"/>
                <w:color w:val="auto"/>
              </w:rPr>
              <w:t>)(7)</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7.9:1</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7.0:1</w:t>
            </w:r>
          </w:p>
        </w:tc>
        <w:tc>
          <w:tcPr>
            <w:tcW w:w="0" w:type="dxa"/>
            <w:vAlign w:val="bottom"/>
          </w:tcPr>
          <w:p>
            <w:pPr>
              <w:spacing w:after="0"/>
              <w:rPr>
                <w:sz w:val="1"/>
                <w:szCs w:val="1"/>
                <w:color w:val="auto"/>
              </w:rPr>
            </w:pPr>
          </w:p>
        </w:tc>
      </w:tr>
      <w:tr>
        <w:trPr>
          <w:trHeight w:val="216"/>
        </w:trPr>
        <w:tc>
          <w:tcPr>
            <w:tcW w:w="7200" w:type="dxa"/>
            <w:vAlign w:val="bottom"/>
          </w:tcPr>
          <w:p>
            <w:pPr>
              <w:ind w:left="440"/>
              <w:spacing w:after="0"/>
              <w:rPr>
                <w:sz w:val="20"/>
                <w:szCs w:val="20"/>
                <w:color w:val="auto"/>
              </w:rPr>
            </w:pPr>
            <w:r>
              <w:rPr>
                <w:rFonts w:ascii="Arial" w:cs="Arial" w:eastAsia="Arial" w:hAnsi="Arial"/>
                <w:sz w:val="18"/>
                <w:szCs w:val="18"/>
                <w:color w:val="auto"/>
              </w:rPr>
              <w:t>Annualized expenses % of average assets(8)</w:t>
            </w:r>
          </w:p>
        </w:tc>
        <w:tc>
          <w:tcPr>
            <w:tcW w:w="1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gridSpan w:val="2"/>
          </w:tcPr>
          <w:p>
            <w:pPr>
              <w:jc w:val="right"/>
              <w:ind w:right="480"/>
              <w:spacing w:after="0"/>
              <w:rPr>
                <w:sz w:val="20"/>
                <w:szCs w:val="20"/>
                <w:color w:val="auto"/>
              </w:rPr>
            </w:pPr>
            <w:r>
              <w:rPr>
                <w:rFonts w:ascii="Arial" w:cs="Arial" w:eastAsia="Arial" w:hAnsi="Arial"/>
                <w:sz w:val="18"/>
                <w:szCs w:val="18"/>
                <w:color w:val="auto"/>
              </w:rPr>
              <w:t>0.31%</w:t>
            </w:r>
          </w:p>
        </w:tc>
        <w:tc>
          <w:tcPr>
            <w:tcW w:w="100" w:type="dxa"/>
            <w:vAlign w:val="bottom"/>
          </w:tcPr>
          <w:p>
            <w:pPr>
              <w:spacing w:after="0"/>
              <w:rPr>
                <w:sz w:val="18"/>
                <w:szCs w:val="18"/>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0.49%</w:t>
            </w:r>
          </w:p>
        </w:tc>
        <w:tc>
          <w:tcPr>
            <w:tcW w:w="0" w:type="dxa"/>
            <w:vAlign w:val="bottom"/>
          </w:tcPr>
          <w:p>
            <w:pPr>
              <w:spacing w:after="0"/>
              <w:rPr>
                <w:sz w:val="1"/>
                <w:szCs w:val="1"/>
                <w:color w:val="auto"/>
              </w:rPr>
            </w:pPr>
          </w:p>
        </w:tc>
      </w:tr>
      <w:tr>
        <w:trPr>
          <w:trHeight w:val="216"/>
        </w:trPr>
        <w:tc>
          <w:tcPr>
            <w:tcW w:w="72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Annualized expenses % of average stockholders’ equity(9)</w:t>
            </w:r>
          </w:p>
        </w:tc>
        <w:tc>
          <w:tcPr>
            <w:tcW w:w="1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2.42%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3.51%</w:t>
            </w:r>
          </w:p>
        </w:tc>
        <w:tc>
          <w:tcPr>
            <w:tcW w:w="0" w:type="dxa"/>
            <w:vAlign w:val="bottom"/>
          </w:tcPr>
          <w:p>
            <w:pPr>
              <w:spacing w:after="0"/>
              <w:rPr>
                <w:sz w:val="1"/>
                <w:szCs w:val="1"/>
                <w:color w:val="auto"/>
              </w:rPr>
            </w:pPr>
          </w:p>
        </w:tc>
      </w:tr>
      <w:tr>
        <w:trPr>
          <w:trHeight w:val="222"/>
        </w:trPr>
        <w:tc>
          <w:tcPr>
            <w:tcW w:w="7200" w:type="dxa"/>
            <w:vAlign w:val="bottom"/>
          </w:tcPr>
          <w:p>
            <w:pPr>
              <w:ind w:left="440"/>
              <w:spacing w:after="0"/>
              <w:rPr>
                <w:sz w:val="20"/>
                <w:szCs w:val="20"/>
                <w:color w:val="auto"/>
              </w:rPr>
            </w:pPr>
            <w:r>
              <w:rPr>
                <w:rFonts w:ascii="Arial" w:cs="Arial" w:eastAsia="Arial" w:hAnsi="Arial"/>
                <w:sz w:val="18"/>
                <w:szCs w:val="18"/>
                <w:color w:val="auto"/>
              </w:rPr>
              <w:t>Book value per common share as of period end(10)</w:t>
            </w:r>
          </w:p>
        </w:tc>
        <w:tc>
          <w:tcPr>
            <w:tcW w:w="18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22.91</w:t>
            </w:r>
          </w:p>
        </w:tc>
        <w:tc>
          <w:tcPr>
            <w:tcW w:w="6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19.26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898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1" w:lineRule="exact"/>
        <w:rPr>
          <w:sz w:val="20"/>
          <w:szCs w:val="20"/>
          <w:color w:val="auto"/>
        </w:rPr>
      </w:pPr>
    </w:p>
    <w:p>
      <w:pPr>
        <w:ind w:left="340" w:hanging="298"/>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All percentages are annualized.</w:t>
      </w:r>
    </w:p>
    <w:p>
      <w:pPr>
        <w:ind w:left="340" w:right="56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Weighted average asset yield for the period was calculated by dividing our total interest income on agency securities less amortization of premiums and discounts by our weighted average agency securities.</w:t>
      </w:r>
    </w:p>
    <w:p>
      <w:pPr>
        <w:ind w:left="340" w:right="18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 Total interest expense excludes amortization expense related to the fair value of terminated swaps during the periods presented.</w:t>
      </w:r>
    </w:p>
    <w:p>
      <w:pPr>
        <w:ind w:left="340" w:hanging="332"/>
        <w:spacing w:after="0"/>
        <w:tabs>
          <w:tab w:leader="none" w:pos="340" w:val="left"/>
        </w:tabs>
        <w:numPr>
          <w:ilvl w:val="0"/>
          <w:numId w:val="12"/>
        </w:numPr>
        <w:rPr>
          <w:rFonts w:ascii="Arial" w:cs="Arial" w:eastAsia="Arial" w:hAnsi="Arial"/>
          <w:sz w:val="12"/>
          <w:szCs w:val="12"/>
          <w:color w:val="auto"/>
        </w:rPr>
      </w:pPr>
      <w:r>
        <w:rPr>
          <w:rFonts w:ascii="Arial" w:cs="Arial" w:eastAsia="Arial" w:hAnsi="Arial"/>
          <w:sz w:val="12"/>
          <w:szCs w:val="12"/>
          <w:color w:val="auto"/>
        </w:rPr>
        <w:t>Represents amortization expense associated with the termination of interest rate swaps of $3.7 million and $0.3 million for the three months ended March 31, 2010 and 2009, respectively.</w:t>
      </w:r>
    </w:p>
    <w:p>
      <w:pPr>
        <w:spacing w:after="0" w:line="10" w:lineRule="exact"/>
        <w:rPr>
          <w:rFonts w:ascii="Arial" w:cs="Arial" w:eastAsia="Arial" w:hAnsi="Arial"/>
          <w:sz w:val="12"/>
          <w:szCs w:val="12"/>
          <w:color w:val="auto"/>
        </w:rPr>
      </w:pPr>
    </w:p>
    <w:p>
      <w:pPr>
        <w:ind w:left="340" w:right="24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Average net interest rate spread for the period was calculated by subtracting our weighted average cost of funds, net of interest rate swaps and terminated swap amortization expense, from our weighted average asset yield.</w:t>
      </w:r>
    </w:p>
    <w:p>
      <w:pPr>
        <w:ind w:left="340" w:hanging="332"/>
        <w:spacing w:after="0" w:line="221" w:lineRule="auto"/>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Net return on average stockholders’ equity for the period was calculated by dividing our net income by our average stockholders’ equity.</w:t>
      </w:r>
    </w:p>
    <w:p>
      <w:pPr>
        <w:ind w:left="340" w:hanging="332"/>
        <w:spacing w:after="0"/>
        <w:tabs>
          <w:tab w:leader="none" w:pos="340" w:val="left"/>
        </w:tabs>
        <w:numPr>
          <w:ilvl w:val="0"/>
          <w:numId w:val="12"/>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outstanding by our average stockholders’ equity.</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3"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2"/>
          <w:szCs w:val="12"/>
          <w:color w:val="auto"/>
        </w:rPr>
      </w:pPr>
      <w:r>
        <w:rPr>
          <w:rFonts w:ascii="Arial" w:cs="Arial" w:eastAsia="Arial" w:hAnsi="Arial"/>
          <w:sz w:val="12"/>
          <w:szCs w:val="12"/>
          <w:color w:val="auto"/>
        </w:rPr>
        <w:t>Leverage at period end was calculated by dividing the amount outstanding under our repurchase agreements and net liabilities for unsettled agency securities by our total stockholders’ equity at period end.</w:t>
      </w:r>
    </w:p>
    <w:p>
      <w:pPr>
        <w:spacing w:after="0" w:line="22" w:lineRule="exact"/>
        <w:rPr>
          <w:rFonts w:ascii="Arial" w:cs="Arial" w:eastAsia="Arial" w:hAnsi="Arial"/>
          <w:sz w:val="12"/>
          <w:szCs w:val="12"/>
          <w:color w:val="auto"/>
        </w:rPr>
      </w:pPr>
    </w:p>
    <w:p>
      <w:pPr>
        <w:ind w:left="340" w:hanging="332"/>
        <w:spacing w:after="0" w:line="221" w:lineRule="auto"/>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Annualized expenses as a % of average total assets was calculated by dividing our total expenses by our average total assets.</w:t>
      </w:r>
    </w:p>
    <w:p>
      <w:pPr>
        <w:ind w:left="340" w:hanging="332"/>
        <w:spacing w:after="0" w:line="221" w:lineRule="auto"/>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Annualized expenses as a % of average stockholders’ equity was calculated by dividing our total expenses by our average stockholders’ equity.</w:t>
      </w:r>
    </w:p>
    <w:p>
      <w:pPr>
        <w:ind w:left="340" w:hanging="332"/>
        <w:spacing w:after="0"/>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stockholders’ equity by our number of shares outstanding.</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Interest income was $38.8 million and $22.4 million for the three months ended March 31, 2010 and 2009, which is net of $12.3 million and $3.4 million for net amortization of premiums and discounts on our investment portfolio, respectively. Our average agency securities for the three months ended March 31, 2010 was $4,099.9 million, with an average asset yield of 3.78% for the period, compared to $1,738.3 million, with an average asset yield of 5.13% for the three months ended March 31, 2009. We had $5.2 billion and $2.3 billion of agency securities and an unamortized net premium balance of $243.5 million and $57.8 million as of March 31, 2010 and 2009, respectively. Premiums and discounts associated with agency securities are amortized into interest income over the life of such securities using the effective yield method.</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Our leverage as of March 31, 2010 and 2009 was 7.6 and 6.4 times our stockholders’ equity, respectively. When adjusted for the net payable for agency securities purchased but not yet settled, our leverage ratio was 7.9 and 7.0 times our stockholders’ equity as of March 31, 2010 and 2009, respectively. Our actual leverage will vary from time to time based on various factors, including our Manager’s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 In February 2010, our Board of Directors approved the removal of a guideline that limited our leverage to not greater than 10 times our stockholders’ equity. Certain of our master repurchase agreements and master swap agreements contain a restriction that prohibits our leverage from exceeding 10 times the amount of our stockholders’ equity. We will seek to eliminate leverage restrictions from our repurchase agreements and master swap agreements.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Interest expense was $15.5 million and $8.1 million for the three months ended March 31, 2010 and 2009, respectively. Average repurchase agreements outstanding were $3,787.6 million and $1,537.8 million and the average cost of funds was 1.62% and 2.11%, which includes amortization expense for previously terminated interest rate swaps of 0.39% and 0.08%, for the three months ended March 31, 2010 and 2009, respectively.</w:t>
      </w:r>
    </w:p>
    <w:p>
      <w:pPr>
        <w:spacing w:after="0" w:line="93"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did not terminate any interest rate swaps accounted for as hedges under ASC 815 during the three months ended March 31, 2010. During the three months ended March 31, 2009 we terminated interest rate swaps with notional amounts of $200.0 million, resulting in net settlement payments of $6.5 million equal to their fair value on the date of termination. The net settlements are amortized into income over the remaining life of the terminated interest rate swaps through the second quarter of 2010 and included in interest expense on our consolidated statements of operations and comprehensive income. Amortization expense for terminated swaps was $3.7 million and $0.3 million, or 0.39% and 0.08% of interest bearing liabilities, for the three months ended March 31, 2010 and 2009, respectively. As of March 31, 2010 and 2009, the unamortized amount of fees associated with terminated swaps included in accumulated OCI was $2.6 million and $6.4 million, respectively.</w:t>
      </w:r>
    </w:p>
    <w:p>
      <w:pPr>
        <w:spacing w:after="0" w:line="134"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of March 31, 2010 and 2009, we had outstanding interest rate swap agreements for a total notional amount of $2.4 billion and $0.7 billion, or 51% and 38% of the outstanding balance under our repurchase agreements, respectively. Our interest rate swaps increased the cost of our borrowings by $13.4 million and $3.7 million, or 101 and 97 basis points, excluding the amortization expense associated with the termination of interest rate swaps, for the three months ended March 31, 2010 and 2009, respectively.</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80"/>
          </w:cols>
          <w:pgMar w:left="240" w:top="459" w:right="27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Net interest income, which equals interest income less interest expense, was $23.3 million and $14.2 million for the three months ended March 31, 2010 and 2009, respectively. The average net interest rate spread, which equals the average yield on our assets less the average cost of funds for the respective periods, was 2.16% and 3.02%, respectively. Excluding the terminated swap amortization expense, the net interest rate spread for the three months ended March 31, 2010 and 2009 was 2.55% and 3.10%, respectively. As of March 31, 2010 and 2009, the net interest rate spread was 2.36% and 2.47%, respectively. Excluding the terminated swap amortization expense, the net interest rate spread as of March 31, 2010 and 2009 was 2.58% and 2.73%, respectively.</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net gain on sale of agency securities for the three months ended March 31, 2010 and 2009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54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42"/>
        </w:trPr>
        <w:tc>
          <w:tcPr>
            <w:tcW w:w="5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80" w:type="dxa"/>
            <w:vAlign w:val="bottom"/>
            <w:tcBorders>
              <w:top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86"/>
              </w:rPr>
              <w:t>March 31, 2010</w:t>
            </w:r>
          </w:p>
        </w:tc>
        <w:tc>
          <w:tcPr>
            <w:tcW w:w="380" w:type="dxa"/>
            <w:vAlign w:val="bottom"/>
            <w:tcBorders>
              <w:top w:val="single" w:sz="8" w:color="auto"/>
            </w:tcBorders>
          </w:tcPr>
          <w:p>
            <w:pPr>
              <w:spacing w:after="0"/>
              <w:rPr>
                <w:sz w:val="12"/>
                <w:szCs w:val="12"/>
                <w:color w:val="auto"/>
              </w:rPr>
            </w:pPr>
          </w:p>
        </w:tc>
        <w:tc>
          <w:tcPr>
            <w:tcW w:w="1240" w:type="dxa"/>
            <w:vAlign w:val="bottom"/>
            <w:tcBorders>
              <w:top w:val="single" w:sz="8" w:color="auto"/>
            </w:tcBorders>
            <w:gridSpan w:val="3"/>
          </w:tcPr>
          <w:p>
            <w:pPr>
              <w:ind w:left="340"/>
              <w:spacing w:after="0" w:line="142" w:lineRule="exact"/>
              <w:rPr>
                <w:sz w:val="20"/>
                <w:szCs w:val="20"/>
                <w:color w:val="auto"/>
              </w:rPr>
            </w:pPr>
            <w:r>
              <w:rPr>
                <w:rFonts w:ascii="Arial" w:cs="Arial" w:eastAsia="Arial" w:hAnsi="Arial"/>
                <w:sz w:val="14"/>
                <w:szCs w:val="14"/>
                <w:b w:val="1"/>
                <w:bCs w:val="1"/>
                <w:color w:val="auto"/>
                <w:w w:val="88"/>
              </w:rPr>
              <w:t>March 31, 2009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580" w:type="dxa"/>
            <w:vAlign w:val="bottom"/>
            <w:vMerge w:val="restart"/>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8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Agency securities purchased</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3,317,128</w:t>
            </w:r>
          </w:p>
        </w:tc>
        <w:tc>
          <w:tcPr>
            <w:tcW w:w="3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1,838,501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0" w:type="dxa"/>
            <w:vAlign w:val="bottom"/>
          </w:tcPr>
          <w:p>
            <w:pPr>
              <w:spacing w:after="0"/>
              <w:rPr>
                <w:sz w:val="18"/>
                <w:szCs w:val="18"/>
                <w:color w:val="auto"/>
              </w:rPr>
            </w:pPr>
          </w:p>
        </w:tc>
        <w:tc>
          <w:tcPr>
            <w:tcW w:w="7640" w:type="dxa"/>
            <w:vAlign w:val="bottom"/>
            <w:gridSpan w:val="2"/>
          </w:tcPr>
          <w:p>
            <w:pPr>
              <w:spacing w:after="0"/>
              <w:rPr>
                <w:sz w:val="20"/>
                <w:szCs w:val="20"/>
                <w:color w:val="auto"/>
              </w:rPr>
            </w:pPr>
            <w:r>
              <w:rPr>
                <w:rFonts w:ascii="Arial" w:cs="Arial" w:eastAsia="Arial" w:hAnsi="Arial"/>
                <w:sz w:val="18"/>
                <w:szCs w:val="18"/>
                <w:color w:val="auto"/>
              </w:rPr>
              <w:t>Agency securities sold</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320"/>
              <w:spacing w:after="0"/>
              <w:rPr>
                <w:sz w:val="20"/>
                <w:szCs w:val="20"/>
                <w:color w:val="auto"/>
              </w:rPr>
            </w:pPr>
            <w:r>
              <w:rPr>
                <w:rFonts w:ascii="Arial" w:cs="Arial" w:eastAsia="Arial" w:hAnsi="Arial"/>
                <w:sz w:val="18"/>
                <w:szCs w:val="18"/>
                <w:color w:val="auto"/>
                <w:w w:val="91"/>
              </w:rPr>
              <w:t>(2,144,474)</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60"/>
              <w:spacing w:after="0"/>
              <w:rPr>
                <w:sz w:val="20"/>
                <w:szCs w:val="20"/>
                <w:color w:val="auto"/>
              </w:rPr>
            </w:pPr>
            <w:r>
              <w:rPr>
                <w:rFonts w:ascii="Arial" w:cs="Arial" w:eastAsia="Arial" w:hAnsi="Arial"/>
                <w:sz w:val="18"/>
                <w:szCs w:val="18"/>
                <w:color w:val="auto"/>
                <w:w w:val="91"/>
              </w:rPr>
              <w:t>(1,056,444)</w:t>
            </w:r>
          </w:p>
        </w:tc>
        <w:tc>
          <w:tcPr>
            <w:tcW w:w="0" w:type="dxa"/>
            <w:vAlign w:val="bottom"/>
          </w:tcPr>
          <w:p>
            <w:pPr>
              <w:spacing w:after="0"/>
              <w:rPr>
                <w:sz w:val="1"/>
                <w:szCs w:val="1"/>
                <w:color w:val="auto"/>
              </w:rPr>
            </w:pPr>
          </w:p>
        </w:tc>
      </w:tr>
      <w:tr>
        <w:trPr>
          <w:trHeight w:val="27"/>
        </w:trPr>
        <w:tc>
          <w:tcPr>
            <w:tcW w:w="580" w:type="dxa"/>
            <w:vAlign w:val="bottom"/>
            <w:vMerge w:val="restart"/>
          </w:tcPr>
          <w:p>
            <w:pPr>
              <w:spacing w:after="0"/>
              <w:rPr>
                <w:sz w:val="2"/>
                <w:szCs w:val="2"/>
                <w:color w:val="auto"/>
              </w:rPr>
            </w:pPr>
          </w:p>
        </w:tc>
        <w:tc>
          <w:tcPr>
            <w:tcW w:w="580" w:type="dxa"/>
            <w:vAlign w:val="bottom"/>
          </w:tcPr>
          <w:p>
            <w:pPr>
              <w:spacing w:after="0"/>
              <w:rPr>
                <w:sz w:val="2"/>
                <w:szCs w:val="2"/>
                <w:color w:val="auto"/>
              </w:rPr>
            </w:pPr>
          </w:p>
        </w:tc>
        <w:tc>
          <w:tcPr>
            <w:tcW w:w="70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0" w:type="dxa"/>
            <w:vAlign w:val="bottom"/>
            <w:vMerge w:val="continue"/>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agency securities purchased (sold)</w:t>
            </w:r>
          </w:p>
        </w:tc>
        <w:tc>
          <w:tcPr>
            <w:tcW w:w="1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1,172,654</w:t>
            </w:r>
          </w:p>
        </w:tc>
        <w:tc>
          <w:tcPr>
            <w:tcW w:w="380" w:type="dxa"/>
            <w:vAlign w:val="bottom"/>
            <w:shd w:val="clear" w:color="auto" w:fill="CCEEFF"/>
          </w:tcPr>
          <w:p>
            <w:pPr>
              <w:spacing w:after="0"/>
              <w:rPr>
                <w:sz w:val="18"/>
                <w:szCs w:val="18"/>
                <w:color w:val="auto"/>
              </w:rPr>
            </w:pP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782,057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220" w:type="dxa"/>
            <w:vAlign w:val="bottom"/>
            <w:gridSpan w:val="3"/>
            <w:vMerge w:val="restart"/>
          </w:tcPr>
          <w:p>
            <w:pPr>
              <w:ind w:left="580"/>
              <w:spacing w:after="0"/>
              <w:rPr>
                <w:sz w:val="20"/>
                <w:szCs w:val="20"/>
                <w:color w:val="auto"/>
              </w:rPr>
            </w:pPr>
            <w:r>
              <w:rPr>
                <w:rFonts w:ascii="Arial" w:cs="Arial" w:eastAsia="Arial" w:hAnsi="Arial"/>
                <w:sz w:val="18"/>
                <w:szCs w:val="18"/>
                <w:color w:val="auto"/>
              </w:rPr>
              <w:t>Gross gains on sale of agency securities</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220" w:type="dxa"/>
            <w:vAlign w:val="bottom"/>
            <w:gridSpan w:val="3"/>
            <w:vMerge w:val="continue"/>
          </w:tcPr>
          <w:p>
            <w:pPr>
              <w:spacing w:after="0"/>
              <w:rPr>
                <w:sz w:val="18"/>
                <w:szCs w:val="18"/>
                <w:color w:val="auto"/>
              </w:rPr>
            </w:pPr>
          </w:p>
        </w:tc>
        <w:tc>
          <w:tcPr>
            <w:tcW w:w="100" w:type="dxa"/>
            <w:vAlign w:val="bottom"/>
            <w:gridSpan w:val="2"/>
          </w:tcPr>
          <w:p>
            <w:pPr>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30,054</w:t>
            </w:r>
          </w:p>
        </w:tc>
        <w:tc>
          <w:tcPr>
            <w:tcW w:w="380" w:type="dxa"/>
            <w:vAlign w:val="bottom"/>
          </w:tcPr>
          <w:p>
            <w:pPr>
              <w:spacing w:after="0"/>
              <w:rPr>
                <w:sz w:val="18"/>
                <w:szCs w:val="18"/>
                <w:color w:val="auto"/>
              </w:rPr>
            </w:pP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5,106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580" w:type="dxa"/>
            <w:vAlign w:val="bottom"/>
          </w:tcPr>
          <w:p>
            <w:pPr>
              <w:spacing w:after="0"/>
              <w:rPr>
                <w:sz w:val="18"/>
                <w:szCs w:val="18"/>
                <w:color w:val="auto"/>
              </w:rPr>
            </w:pPr>
          </w:p>
        </w:tc>
        <w:tc>
          <w:tcPr>
            <w:tcW w:w="76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(2,646)</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(288)</w:t>
            </w:r>
          </w:p>
        </w:tc>
        <w:tc>
          <w:tcPr>
            <w:tcW w:w="0" w:type="dxa"/>
            <w:vAlign w:val="bottom"/>
          </w:tcPr>
          <w:p>
            <w:pPr>
              <w:spacing w:after="0"/>
              <w:rPr>
                <w:sz w:val="1"/>
                <w:szCs w:val="1"/>
                <w:color w:val="auto"/>
              </w:rPr>
            </w:pPr>
          </w:p>
        </w:tc>
      </w:tr>
      <w:tr>
        <w:trPr>
          <w:trHeight w:val="20"/>
        </w:trPr>
        <w:tc>
          <w:tcPr>
            <w:tcW w:w="8220" w:type="dxa"/>
            <w:vAlign w:val="bottom"/>
            <w:gridSpan w:val="3"/>
            <w:vMerge w:val="restart"/>
          </w:tcPr>
          <w:p>
            <w:pPr>
              <w:ind w:left="580"/>
              <w:spacing w:after="0"/>
              <w:rPr>
                <w:sz w:val="20"/>
                <w:szCs w:val="20"/>
                <w:color w:val="auto"/>
              </w:rPr>
            </w:pPr>
            <w:r>
              <w:rPr>
                <w:rFonts w:ascii="Arial" w:cs="Arial" w:eastAsia="Arial" w:hAnsi="Arial"/>
                <w:sz w:val="18"/>
                <w:szCs w:val="18"/>
                <w:color w:val="auto"/>
              </w:rPr>
              <w:t>Net gains on sale of agency securities</w:t>
            </w: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220" w:type="dxa"/>
            <w:vAlign w:val="bottom"/>
            <w:gridSpan w:val="3"/>
            <w:vMerge w:val="continue"/>
          </w:tcPr>
          <w:p>
            <w:pPr>
              <w:spacing w:after="0"/>
              <w:rPr>
                <w:sz w:val="19"/>
                <w:szCs w:val="19"/>
                <w:color w:val="auto"/>
              </w:rPr>
            </w:pPr>
          </w:p>
        </w:tc>
        <w:tc>
          <w:tcPr>
            <w:tcW w:w="100" w:type="dxa"/>
            <w:vAlign w:val="bottom"/>
            <w:gridSpan w:val="2"/>
          </w:tcPr>
          <w:p>
            <w:pPr>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27,408</w:t>
            </w:r>
          </w:p>
        </w:tc>
        <w:tc>
          <w:tcPr>
            <w:tcW w:w="380" w:type="dxa"/>
            <w:vAlign w:val="bottom"/>
          </w:tcPr>
          <w:p>
            <w:pPr>
              <w:spacing w:after="0"/>
              <w:rPr>
                <w:sz w:val="19"/>
                <w:szCs w:val="19"/>
                <w:color w:val="auto"/>
              </w:rPr>
            </w:pPr>
          </w:p>
        </w:tc>
        <w:tc>
          <w:tcPr>
            <w:tcW w:w="440" w:type="dxa"/>
            <w:vAlign w:val="bottom"/>
            <w:gridSpan w:val="2"/>
          </w:tcPr>
          <w:p>
            <w:pPr>
              <w:ind w:left="34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4,818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580" w:type="dxa"/>
            <w:vAlign w:val="bottom"/>
            <w:tcBorders>
              <w:bottom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70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6" w:lineRule="exact"/>
        <w:rPr>
          <w:sz w:val="20"/>
          <w:szCs w:val="20"/>
          <w:color w:val="auto"/>
        </w:rPr>
      </w:pPr>
    </w:p>
    <w:p>
      <w:pPr>
        <w:ind w:left="340" w:hanging="332"/>
        <w:spacing w:after="0"/>
        <w:tabs>
          <w:tab w:leader="none" w:pos="3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Agency securities purchased and sold amounts include payables and receivables for unsettled securities, respectively, and exclude accrued interest</w:t>
      </w:r>
    </w:p>
    <w:p>
      <w:pPr>
        <w:spacing w:after="0" w:line="139"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During the three months ended March 31, 2010, we sold agency securities with a cost basis of $2,117.5 million for proceeds of $2,144.9 million (including a receivable for sold agency securities of $273.8 million, excluding sold interest of $1.5 million), realizing a gross gain of $30.1 million and a gross loss of $2.7 million, for a net gain of $27.4 million. The transactions were predominately completed before Fannie Mae and Freddie Mac announced on February 10, 2010 that they would buy out delinquent mortgages from their outstanding mortgage pools and were a continuation of our Manager’s strategy to reduce our leverage and insulate our portfolio from the possibility and negative implications of GSE buyouts. Sales primarily consisted of our remaining holdings of interest-only, higher coupon adjustable-rate and fixed-rate mortgages. Following the announced GSE buyouts, additional transactions were completed to reposition our portfolio into shorter maturity securities based on our Manager’s views of a potential rising interest rate environment and possible implications from the Federal Reserve’s withdrawal from the agency mortgage market.</w:t>
      </w:r>
    </w:p>
    <w:p>
      <w:pPr>
        <w:spacing w:after="0" w:line="10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During the three months ended March 31, 2009, we sold agency securities with a cost basis of $1,051.6 million for proceeds of $1,056.4 million (including a receivable for sold agency securities of $38.1 million, excluding sold interest of $1.6 million), realizing a gross gain of $5.1 million and a gross loss of $0.3 million, for a net gain of $4.8 million. The transactions were primarily related to diversifying our portfolio into securities that based on our Manager’s belief would experience lower prepayment rates than what their valuations suggested in the current housing environment and, thus, provided a more attractive investment alternative.</w:t>
      </w:r>
    </w:p>
    <w:p>
      <w:pPr>
        <w:spacing w:after="0" w:line="12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60"/>
          </w:cols>
          <w:pgMar w:left="240" w:top="459" w:right="29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Net</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During the three months ended March 31, 2010, we recorded a net gain of $5.9 million primarily comprised of a net realized gain of $2.4 million and a net unrealized gain of $4.5 million related to our TBA and forward settling agency securities, an unrealized gain of $2.1 million related to interest-only strips which are remeasured at fair value through earnings, partially offset by a realized loss of $0.2 million and an unrealized loss of $1.9 million related to our interest rate swaptions, a loss of $0.2 million as a result of hedge ineffectiveness on our interest rate swaps and a $0.8 million realized loss for interest rate swaps not designated as hedges under ASC 815. During the quarter ended March 31, 2009, we realized a net loss of $0.4 million on our derivative instruments comprised of a loss of $1.0 million as a result of the reclassification from OCI of hedged forecasted transactions becoming probable not to occur partially offset by a gain of $0.6 million as a result of hedge ineffectiveness on our outstanding interest rate swaps.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77" w:lineRule="exact"/>
        <w:rPr>
          <w:sz w:val="20"/>
          <w:szCs w:val="20"/>
          <w:color w:val="auto"/>
        </w:rPr>
      </w:pPr>
    </w:p>
    <w:p>
      <w:pPr>
        <w:jc w:val="both"/>
        <w:ind w:firstLine="456"/>
        <w:spacing w:after="0" w:line="298" w:lineRule="auto"/>
        <w:rPr>
          <w:sz w:val="20"/>
          <w:szCs w:val="20"/>
          <w:color w:val="auto"/>
        </w:rPr>
      </w:pPr>
      <w:r>
        <w:rPr>
          <w:rFonts w:ascii="Arial" w:cs="Arial" w:eastAsia="Arial" w:hAnsi="Arial"/>
          <w:sz w:val="16"/>
          <w:szCs w:val="16"/>
          <w:color w:val="auto"/>
        </w:rPr>
        <w:t>We pay our Manager a base management fee payable monthly in arrears in an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incurred management fees of $1.8 million and $0.9 million during the three months ended March 31, 2010 and 2009, respectively.</w:t>
      </w:r>
    </w:p>
    <w:p>
      <w:pPr>
        <w:spacing w:after="0" w:line="99"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General and administrative expenses were $1.7 million and $1.5 million for the three months ended March 31, 2010 and 2009, respectively. Our general and administrative expenses for the respective periods included the allocation of overhead expenses of $0.8 million from our Manager related to our operations pursuant to our Management Agreement, which included $0.5 million and $0.6 million of reimbursements for use of third-party accounting, financial and analytical modeling software and services directly related to our operations.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Net income was $53.2 million and 16.3 million or $2.13 and $1.09 per basic and diluted share for the three months ended March 31, 2010 and 2009, respectively. The annualized net return on average equity was 37.2% and 24.1%, or 15.5% and 18.6% excluding other income, net, for the three months ended March 31, 2010 and 2009, respectively.</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80"/>
          </w:cols>
          <w:pgMar w:left="240" w:top="459" w:right="27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For the three months ended March 31, 2010 and 2009, we declared dividends of $1.40 and $0.85 per share, respectively. As a REIT, we are required to distribute annually 90% of our taxable income to maintain our status as a REIT and all of our taxable income to avoid Federal, state and local corporate income taxes. We can treat dividends declared by September 15 and paid by December 31 as having been a distribution of our taxable income for our prior tax year. As of March 31, 2010, we had undistributed taxable income of $21.8 million from 2009 that was included in the dividend declared during the quarter ended March 31, 2010 and paid by the extended due date of our 2009 federal income tax return. Accordingly, we do not expect to incur any income tax liability on our 2009 taxable income. Income as determined under GAAP differs from income as determined under tax rules because of both temporary and permanent differences in income and expense recognition. Examples include temporary differences in the CPR used to amortize premiums or accrete discounts as well as treatment of start-up organizational costs, hedge ineffectiveness, and stock-based compensation and permanent differences for excise tax expense.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debt and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0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During the three months ended March 31, 2010, we issued approximately 2.4 million shares of our common stock under our direct stock purchase plan for proceeds of approximately $62.1 million.</w:t>
      </w:r>
    </w:p>
    <w:p>
      <w:pPr>
        <w:spacing w:after="0" w:line="118"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To the extent we raise additional equity capital through secondary equity offerings or under our direct stock purchase plan, we currently anticipate using cash proceeds from such transactions to purchase additional agency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130"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less than 30 days or up to 364 days. When adjusted for the net payable for agency securities purchased but not yet settled, our leverage ratio was 7.9 times the amount of our stockholders’ equity as of March 31, 2010. Our cost of borrowings under master repurchase agreements generally corresponds to LIBOR plus or minus a margin. We have master repurchase agreements with 20 financial institutions, subject to certain conditions. Borrowings under repurchase arrangements secured by agency securities totaled $4.7 billion as of March 31, 2010. As of March 31, 2010, we did not have an amount at risk with any counterparty greater than 10% of our stockholders’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40"/>
        <w:spacing w:after="0" w:line="268" w:lineRule="auto"/>
        <w:rPr>
          <w:sz w:val="20"/>
          <w:szCs w:val="20"/>
          <w:color w:val="auto"/>
        </w:rPr>
      </w:pPr>
      <w:r>
        <w:rPr>
          <w:rFonts w:ascii="Arial" w:cs="Arial" w:eastAsia="Arial" w:hAnsi="Arial"/>
          <w:sz w:val="18"/>
          <w:szCs w:val="18"/>
          <w:color w:val="auto"/>
        </w:rPr>
        <w:t>equity. Refer to Note 5 to our consolidated financial statements in this Quarterly Report on Form 10-Q for further details regarding our borrowings under repurchase agreements and weighted average interest rates as of March 31, 2010 and December 31, 2009.</w:t>
      </w:r>
    </w:p>
    <w:p>
      <w:pPr>
        <w:spacing w:after="0" w:line="118"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March 31, 2010, we have met all margin requirements. We had unrestricted cash and cash equivalents of $105.3 million and unpledged agency securities of $384.6 million available to meet margin calls on our repurchase agreements and derivative instruments as of March 31, 2010.</w:t>
      </w:r>
    </w:p>
    <w:p>
      <w:pPr>
        <w:spacing w:after="0" w:line="106"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Although we believe that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29" w:lineRule="exact"/>
        <w:rPr>
          <w:sz w:val="20"/>
          <w:szCs w:val="20"/>
          <w:color w:val="auto"/>
        </w:rPr>
      </w:pPr>
    </w:p>
    <w:p>
      <w:pPr>
        <w:jc w:val="both"/>
        <w:ind w:right="120" w:firstLine="456"/>
        <w:spacing w:after="0" w:line="298" w:lineRule="auto"/>
        <w:rPr>
          <w:sz w:val="20"/>
          <w:szCs w:val="20"/>
          <w:color w:val="auto"/>
        </w:rPr>
      </w:pPr>
      <w:r>
        <w:rPr>
          <w:rFonts w:ascii="Arial" w:cs="Arial" w:eastAsia="Arial" w:hAnsi="Arial"/>
          <w:sz w:val="16"/>
          <w:szCs w:val="16"/>
          <w:color w:val="auto"/>
        </w:rPr>
        <w:t>We maintain an interest rate risk management strategy under which we use derivative financial instruments to manage the adverse impact of interest rates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interest rate swaptions, TBA agency securities, options and futures.</w:t>
      </w:r>
    </w:p>
    <w:p>
      <w:pPr>
        <w:spacing w:after="0" w:line="99"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rising during a period of rising interest rates, thereby compressing the net spreads that we earn on our long-term fixed-rate assets. As of March 31, 2010, our interest rate swap agreements had notional amounts totaling $2.4 billion and were designated as cash flow hedges for accounting purposes of a like amount of our short-term borrowings. Refer to Note 6 to our consolidated financial statements in this Quarterly Report on Form 10-Q for further details regarding our outstanding interest rate swaps as of March 31, 2010 and December 31, 2009 and the related activity for the three months ended March 31, 2010 and 2009.</w:t>
      </w:r>
    </w:p>
    <w:p>
      <w:pPr>
        <w:spacing w:after="0" w:line="134" w:lineRule="exact"/>
        <w:rPr>
          <w:sz w:val="20"/>
          <w:szCs w:val="20"/>
          <w:color w:val="auto"/>
        </w:rPr>
      </w:pPr>
    </w:p>
    <w:p>
      <w:pPr>
        <w:jc w:val="both"/>
        <w:ind w:right="140" w:firstLine="456"/>
        <w:spacing w:after="0" w:line="306" w:lineRule="auto"/>
        <w:rPr>
          <w:sz w:val="20"/>
          <w:szCs w:val="20"/>
          <w:color w:val="auto"/>
        </w:rPr>
      </w:pPr>
      <w:r>
        <w:rPr>
          <w:rFonts w:ascii="Arial" w:cs="Arial" w:eastAsia="Arial" w:hAnsi="Arial"/>
          <w:sz w:val="16"/>
          <w:szCs w:val="16"/>
          <w:color w:val="auto"/>
        </w:rPr>
        <w:t>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March 31, 2010, we had not transacted any hedging transactions through American Capital Agency TRS, LLC.</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As of March 31, 2010,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March 31, 2010, we had not guaranteed any obligations of unconsolidated entities or entered into any commitment or intent to provide funding to any such entities.</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00"/>
          </w:cols>
          <w:pgMar w:left="240" w:top="459" w:right="2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83"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Market Risk</w:t>
      </w:r>
    </w:p>
    <w:p>
      <w:pPr>
        <w:spacing w:after="0" w:line="77" w:lineRule="exact"/>
        <w:rPr>
          <w:sz w:val="20"/>
          <w:szCs w:val="20"/>
          <w:color w:val="auto"/>
        </w:rPr>
      </w:pPr>
    </w:p>
    <w:p>
      <w:pPr>
        <w:ind w:right="48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are exposed to are interest rate risk, prepayment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can also affect the rate of prepayments of our securities and the value of the agency securities that constitute our investment portfolio, which affects our ability to realize gains from the sale of these assets and impacts our ability and the amount that we can borrow against these securities.</w:t>
      </w:r>
    </w:p>
    <w:p>
      <w:pPr>
        <w:spacing w:after="0" w:line="129"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color w:val="auto"/>
        </w:rPr>
        <w:t>We may utilize a variety of financial instruments, including interest rate swaps, swaptions, caps, collars, floors, purchases and sales of TBA agency securities and specified agency securities on a forward basis, or put and call options on securities or securities underlying futures contracts,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102"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a combination of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as of March 31, 2010.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unaffected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Actual results could differ materially from estimates, especially in the current market environment. The accuracy of the projected agency securities prices relies on assumptions that define specific agency securities spreads and varying prepayment assumptions at projected interest rate levels.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In addition, while the tables below reflect the estimated impact of interest rate increases and decreases on a static portfolio we may from time to time sell any of our agency securities as a part of our overall management of our investment portfolio.</w:t>
      </w:r>
    </w:p>
    <w:p>
      <w:pPr>
        <w:spacing w:after="0" w:line="9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8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0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4960" w:type="dxa"/>
            <w:vAlign w:val="bottom"/>
            <w:gridSpan w:val="3"/>
          </w:tcPr>
          <w:p>
            <w:pPr>
              <w:jc w:val="center"/>
              <w:ind w:left="2196"/>
              <w:spacing w:after="0" w:line="149" w:lineRule="exact"/>
              <w:rPr>
                <w:sz w:val="20"/>
                <w:szCs w:val="20"/>
                <w:color w:val="auto"/>
              </w:rPr>
            </w:pPr>
            <w:r>
              <w:rPr>
                <w:rFonts w:ascii="Arial" w:cs="Arial" w:eastAsia="Arial" w:hAnsi="Arial"/>
                <w:sz w:val="14"/>
                <w:szCs w:val="14"/>
                <w:b w:val="1"/>
                <w:bCs w:val="1"/>
                <w:color w:val="auto"/>
                <w:w w:val="85"/>
              </w:rPr>
              <w:t>Percentage Change</w:t>
            </w:r>
          </w:p>
        </w:tc>
        <w:tc>
          <w:tcPr>
            <w:tcW w:w="640" w:type="dxa"/>
            <w:vAlign w:val="bottom"/>
          </w:tcPr>
          <w:p>
            <w:pPr>
              <w:spacing w:after="0"/>
              <w:rPr>
                <w:sz w:val="12"/>
                <w:szCs w:val="12"/>
                <w:color w:val="auto"/>
              </w:rPr>
            </w:pPr>
          </w:p>
        </w:tc>
        <w:tc>
          <w:tcPr>
            <w:tcW w:w="14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18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060" w:type="dxa"/>
            <w:vAlign w:val="bottom"/>
          </w:tcPr>
          <w:p>
            <w:pPr>
              <w:spacing w:after="0"/>
              <w:rPr>
                <w:sz w:val="12"/>
                <w:szCs w:val="12"/>
                <w:color w:val="auto"/>
              </w:rPr>
            </w:pPr>
          </w:p>
        </w:tc>
        <w:tc>
          <w:tcPr>
            <w:tcW w:w="1900" w:type="dxa"/>
            <w:vAlign w:val="bottom"/>
            <w:gridSpan w:val="2"/>
          </w:tcPr>
          <w:p>
            <w:pPr>
              <w:jc w:val="center"/>
              <w:ind w:right="76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2060" w:type="dxa"/>
            <w:vAlign w:val="bottom"/>
            <w:gridSpan w:val="3"/>
          </w:tcPr>
          <w:p>
            <w:pPr>
              <w:jc w:val="center"/>
              <w:ind w:left="336"/>
              <w:spacing w:after="0" w:line="149" w:lineRule="exact"/>
              <w:rPr>
                <w:sz w:val="20"/>
                <w:szCs w:val="20"/>
                <w:color w:val="auto"/>
              </w:rPr>
            </w:pPr>
            <w:r>
              <w:rPr>
                <w:rFonts w:ascii="Arial" w:cs="Arial" w:eastAsia="Arial" w:hAnsi="Arial"/>
                <w:sz w:val="14"/>
                <w:szCs w:val="14"/>
                <w:b w:val="1"/>
                <w:bCs w:val="1"/>
                <w:color w:val="auto"/>
                <w:w w:val="89"/>
              </w:rPr>
              <w:t>Portfolio Value, with</w:t>
            </w:r>
          </w:p>
        </w:tc>
      </w:tr>
      <w:tr>
        <w:trPr>
          <w:trHeight w:val="161"/>
        </w:trPr>
        <w:tc>
          <w:tcPr>
            <w:tcW w:w="1800" w:type="dxa"/>
            <w:vAlign w:val="bottom"/>
          </w:tcPr>
          <w:p>
            <w:pPr>
              <w:spacing w:after="0"/>
              <w:rPr>
                <w:sz w:val="14"/>
                <w:szCs w:val="14"/>
                <w:color w:val="auto"/>
              </w:rPr>
            </w:pPr>
          </w:p>
        </w:tc>
        <w:tc>
          <w:tcPr>
            <w:tcW w:w="14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0"/>
              </w:rPr>
              <w:t>Change in Interest Rate</w:t>
            </w:r>
          </w:p>
        </w:tc>
        <w:tc>
          <w:tcPr>
            <w:tcW w:w="306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Interest Income</w:t>
            </w:r>
          </w:p>
        </w:tc>
        <w:tc>
          <w:tcPr>
            <w:tcW w:w="7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Effect of Derivatives</w:t>
            </w:r>
          </w:p>
        </w:tc>
        <w:tc>
          <w:tcPr>
            <w:tcW w:w="200" w:type="dxa"/>
            <w:vAlign w:val="bottom"/>
          </w:tcPr>
          <w:p>
            <w:pPr>
              <w:spacing w:after="0"/>
              <w:rPr>
                <w:sz w:val="14"/>
                <w:szCs w:val="14"/>
                <w:color w:val="auto"/>
              </w:rPr>
            </w:pPr>
          </w:p>
        </w:tc>
      </w:tr>
      <w:tr>
        <w:trPr>
          <w:trHeight w:val="210"/>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1.3%</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-0.6%</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2.2%</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-0.2%</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4960" w:type="dxa"/>
            <w:vAlign w:val="bottom"/>
            <w:gridSpan w:val="3"/>
            <w:shd w:val="clear" w:color="auto" w:fill="CCEEFF"/>
          </w:tcPr>
          <w:p>
            <w:pPr>
              <w:jc w:val="right"/>
              <w:ind w:right="640"/>
              <w:spacing w:after="0"/>
              <w:rPr>
                <w:sz w:val="20"/>
                <w:szCs w:val="20"/>
                <w:color w:val="auto"/>
              </w:rPr>
            </w:pPr>
            <w:r>
              <w:rPr>
                <w:rFonts w:ascii="Arial" w:cs="Arial" w:eastAsia="Arial" w:hAnsi="Arial"/>
                <w:sz w:val="18"/>
                <w:szCs w:val="18"/>
                <w:color w:val="auto"/>
              </w:rPr>
              <w:t>-7.3%</w:t>
            </w:r>
          </w:p>
        </w:tc>
        <w:tc>
          <w:tcPr>
            <w:tcW w:w="206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-0.1%</w:t>
            </w:r>
          </w:p>
        </w:tc>
      </w:tr>
      <w:tr>
        <w:trPr>
          <w:trHeight w:val="222"/>
        </w:trPr>
        <w:tc>
          <w:tcPr>
            <w:tcW w:w="326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4960" w:type="dxa"/>
            <w:vAlign w:val="bottom"/>
            <w:gridSpan w:val="3"/>
          </w:tcPr>
          <w:p>
            <w:pPr>
              <w:jc w:val="right"/>
              <w:ind w:right="640"/>
              <w:spacing w:after="0"/>
              <w:rPr>
                <w:sz w:val="20"/>
                <w:szCs w:val="20"/>
                <w:color w:val="auto"/>
              </w:rPr>
            </w:pPr>
            <w:r>
              <w:rPr>
                <w:rFonts w:ascii="Arial" w:cs="Arial" w:eastAsia="Arial" w:hAnsi="Arial"/>
                <w:sz w:val="18"/>
                <w:szCs w:val="18"/>
                <w:color w:val="auto"/>
              </w:rPr>
              <w:t>-25.0%</w:t>
            </w:r>
          </w:p>
        </w:tc>
        <w:tc>
          <w:tcPr>
            <w:tcW w:w="2060" w:type="dxa"/>
            <w:vAlign w:val="bottom"/>
            <w:gridSpan w:val="3"/>
          </w:tcPr>
          <w:p>
            <w:pPr>
              <w:jc w:val="right"/>
              <w:ind w:right="80"/>
              <w:spacing w:after="0"/>
              <w:rPr>
                <w:sz w:val="20"/>
                <w:szCs w:val="20"/>
                <w:color w:val="auto"/>
              </w:rPr>
            </w:pPr>
            <w:r>
              <w:rPr>
                <w:rFonts w:ascii="Arial" w:cs="Arial" w:eastAsia="Arial" w:hAnsi="Arial"/>
                <w:sz w:val="18"/>
                <w:szCs w:val="18"/>
                <w:color w:val="auto"/>
              </w:rPr>
              <w:t>-0.6%</w:t>
            </w: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160" w:firstLine="456"/>
        <w:spacing w:after="0" w:line="290" w:lineRule="auto"/>
        <w:rPr>
          <w:sz w:val="20"/>
          <w:szCs w:val="20"/>
          <w:color w:val="auto"/>
        </w:rPr>
      </w:pPr>
      <w:r>
        <w:rPr>
          <w:rFonts w:ascii="Arial" w:cs="Arial" w:eastAsia="Arial" w:hAnsi="Arial"/>
          <w:sz w:val="16"/>
          <w:szCs w:val="16"/>
          <w:color w:val="auto"/>
        </w:rPr>
        <w:t>Premiums and discounts associated with the purchase of agency securities are amortized or accreted into interest income over the projected lives of the securities, including contractual payments and estimated prepayments using the interest method.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7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pursuant to ASC 320. As of March 31, 2010, the fair value of these securities was $5.2 billion. When the spread between the yield on our agency securities and U.S. Treasuries or swap rates widens, this could cause the value of our agency securities to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primary liquidity risk for us arises from financing long-term assets with shorter-term borrowings in the form of repurchase agreements. Our assets which are pledged to secure repurchase agreements are high-quality agency securities and cash. As of March 31, 2010, we had unrestricted cash and cash equivalents of $105.3 million and unpledged agency securities of $384.6 million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we cannot assure that we will always be able to renew (or roll) our repurchase agreements.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an agency security</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80"/>
          </w:cols>
          <w:pgMar w:left="240" w:top="459" w:right="27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spacing w:after="0" w:line="306" w:lineRule="auto"/>
        <w:rPr>
          <w:sz w:val="20"/>
          <w:szCs w:val="20"/>
          <w:color w:val="auto"/>
        </w:rPr>
      </w:pPr>
      <w:r>
        <w:rPr>
          <w:rFonts w:ascii="Arial" w:cs="Arial" w:eastAsia="Arial" w:hAnsi="Arial"/>
          <w:sz w:val="16"/>
          <w:szCs w:val="16"/>
          <w:color w:val="auto"/>
        </w:rPr>
        <w:t>collateralized by FRMs or hybrid ARMs,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93"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agency securities collateralized by FRMs or hybrid ARMs would remain fixed. This situation may also cause the market value of our agency security collateralized by FRMs or hybrid ARMs to decline, with little or no offsetting gain from the related hedging transactions. In extreme situations, we may be forced to sell assets to maintain adequate liquidity, which could cause us to incur losses.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7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consolidated financial statements are prepared in accordance with GAAP and our distributions are determined by our Board of Directors based primarily by our net income as calculated for income tax purposes. In each case, our activities and balance sheet are measured with reference to historical cost and/or fair market value without considering inflation.</w:t>
      </w:r>
    </w:p>
    <w:p>
      <w:pPr>
        <w:spacing w:after="0" w:line="123"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March 31, 2010.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Controls over Financial Reporting</w:t>
      </w:r>
    </w:p>
    <w:p>
      <w:pPr>
        <w:spacing w:after="0" w:line="83"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There have been no changes in our “internal control over financial reporting” (as defined in Rule 13a-15(f) of the Exchange Act) that occurred during the quarter ended March 31, 2010 that have materially affected, or are reasonably likely to materially affect, our internal control over financial reporting.</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March 31, 2010, we have no legal proceedings.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our Annual Report on Form 10-K for the year ended December 31, 2009, except as described below.</w:t>
      </w:r>
    </w:p>
    <w:p>
      <w:pPr>
        <w:spacing w:after="0" w:line="118"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Active Portfolio Management and Financing Strategy</w:t>
      </w:r>
    </w:p>
    <w:p>
      <w:pPr>
        <w:spacing w:after="0" w:line="83" w:lineRule="exact"/>
        <w:rPr>
          <w:sz w:val="20"/>
          <w:szCs w:val="20"/>
          <w:color w:val="auto"/>
        </w:rPr>
      </w:pPr>
    </w:p>
    <w:p>
      <w:pPr>
        <w:ind w:right="400"/>
        <w:spacing w:after="0" w:line="268" w:lineRule="auto"/>
        <w:rPr>
          <w:sz w:val="20"/>
          <w:szCs w:val="20"/>
          <w:color w:val="auto"/>
        </w:rPr>
      </w:pPr>
      <w:r>
        <w:rPr>
          <w:rFonts w:ascii="Arial" w:cs="Arial" w:eastAsia="Arial" w:hAnsi="Arial"/>
          <w:sz w:val="18"/>
          <w:szCs w:val="18"/>
          <w:i w:val="1"/>
          <w:iCs w:val="1"/>
          <w:color w:val="auto"/>
        </w:rPr>
        <w:t>The conservatorship of Fannie Mae and Freddie Mac and related efforts, along with any changes in laws and regulations affecting the relationship between Fannie Mae and Freddie Mac and the federal government, may adversely affect our business.</w:t>
      </w:r>
    </w:p>
    <w:p>
      <w:pPr>
        <w:spacing w:after="0" w:line="3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Due to increased market concerns about Fannie Mae and Freddie Mac’s ability to withstand future credit losses associated with securities held in their investment portfolios, and on which they provide guarantees, without the direct support of the federal government, on July 30, 2008, the government passed the Housing and Economic Recovery Act of 2008 (the “HERA”). On September 6, 2008, the FHFA placed Fannie Mae and Freddie Mac into conservatorship and, together with the U.S. Treasury, established a program designed to boost investor confidence in Fannie Mae’s and Freddie Mac’s debt and mortgage-backed securities. As the conservator of Fannie Mae and Freddie Mac, the FHFA controls and directs the operations of Fannie Mae and Freddie Mac and may (i) take over the assets of and operate Fannie Mae and Freddie Mac with all the powers of the stockholders, the directors and the officers of Fannie Mae and Freddie Mac and conduct all business of Fannie Mae and Freddie Mac; (ii) collect all obligations and money due to Fannie Mae and Freddie Mac; (iii) perform all functions of Fannie Mae and Freddie Mac which are consistent with the conservator’s appointment; (iv) preserve and conserve the assets and property of Fannie Mae and Freddie Mac; and (v) contract for assistance in fulfilling any function, activity, action or duty of the conservator. A primary focus of the HERA was to increase the availability of mortgage financing by allowing Fannie Mae and Freddie Mac to continue to grow their guarantee business without limit, while limiting net purchases of agency securities to a modest amount through the end of 2009. Fannie Mae and Freddie Mac began gradually reducing the size of their agency security portfolios in 2010.</w:t>
      </w:r>
    </w:p>
    <w:p>
      <w:pPr>
        <w:spacing w:after="0" w:line="111"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In addition to FHFA becoming the conservator of Fannie Mae and Freddie Mac, the U.S. Department of Treasury, or the U.S. Treasury, took three additional actions: (i) the U.S. Treasury and FHFA entered into preferred stock purchase agreements between the U.S. Treasury and Fannie Mae and Freddie Mac pursuant to which the U.S. Treasury required that each of Fannie Mae and Freddie Mac maintain a positive net worth; (ii) the U.S. Treasury established a secured lending credit facility which provided Fannie Mae, Freddie Mac and the Federal Home Loan Banks access to a liquidity backstop; and (iii) the U.S. Treasury initiated a temporary program to purchase agency securities issued by Fannie Mae and Freddie Mac.</w:t>
      </w:r>
    </w:p>
    <w:p>
      <w:pPr>
        <w:spacing w:after="0" w:line="102"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Initially, Fannie Mae and Freddie Mac each issued $1.0 billion of senior preferred stock to the U.S. Treasury and warrants to purchase 79.9% of the fully-diluted common stock outstanding of each government sponsored enterprise, or GSE, at a nominal exercise price. Pursuant to these stock purchase agreements, each of Fannie Mae’s and Freddie Mac’s mortgage and agency security portfolios may not exceed $900 billion as of December 31, 2009. In December 2009, these stock purchase agreements were amended to allow Freddie Mac</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380"/>
          </w:cols>
          <w:pgMar w:left="240" w:top="459" w:right="27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and Fannie Mae additional flexibility to reduce the size of their portfolios over time, such that each portfolio will be required to decline by 10% of the maximum portfolio size permitted as of December 31, 2009 each year until such portfolio reaches $250 billion. Given the highly fluid and evolving nature of these events, it is unclear how our business will be impacted.</w:t>
      </w:r>
    </w:p>
    <w:p>
      <w:pPr>
        <w:spacing w:after="0" w:line="127"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Although the U.S. Treasury has committed capital to Fannie Mae and Freddie Mac, there can be no assurance that these actions will be adequate for their needs. If these actions are inadequate, Fannie Mae and Freddie Mac could continue to suffer losses and could fail to honor their guarantees and other obligations. The future roles of Fannie Mae and Freddie Mac could be significantly reduced and the nature of their guarantees could be considerably limited relative to historical measurements. Any changes to the nature of the guarantees provided by Fannie Mae and Freddie Mac could redefine what constitutes an agency security and could have broad adverse market implications.</w:t>
      </w:r>
    </w:p>
    <w:p>
      <w:pPr>
        <w:spacing w:after="0" w:line="129"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On November 25, 2008, the Federal Reserve announced that it would initiate a program to purchase $100 billion in direct obligations of Fannie Mae, Freddie Mac and the Federal Home Loan Banks and $500 billion in agency securities backed by Fannie Mae, Freddie Mac and Ginnie Mae. In March 2009, the size of the direct obligation purchase program was expanded to $200 billion and the agency securities purchase program was expanded to a total of $1.25 trillion. Purchases of direct obligations began in December 2008 and purchases of agency securities began in January 2009. Both purchase programs were concluded in the first quarter of 2010. One of the effects of these programs has been to increase competition for available direct obligations and agency securities, with the result being an increase in pricing of such securities. The conclusion of the Federal Reserve’s purchase activities may result in decreased demand for these securities, which may reduce the market price of such securities. The Federal Reserve may hold the direct obligations and agency mortgage securities to maturity or may sell them on the open market. Sales by the Federal Reserve of the direct obligations or agency mortage securities that it currently holds may reduce the market price of such securities. Reductions in the market price of agency mortgage securities may negatively impact our book value.</w:t>
      </w:r>
    </w:p>
    <w:p>
      <w:pPr>
        <w:spacing w:after="0" w:line="106"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December 2009, the U.S. Treasury extended the duration and increased the size of its credit support commitment to Fannie Mae and Freddie Mac under the HERA. However, the U.S. Treasury could stop providing credit support to Fannie Mae and Freddie Mac in the future. The problems faced by Fannie Mae and Freddie Mac resulting in their being placed into conservatorship have stirred debate among some federal policy makers regarding the continued role of the federal government in providing liquidity for mortgage loans. Following expiration of the current authorization, each of Fannie Mae and Freddie Mac could be dissolved and the federal government could stop providing liquidity support of any kind to the mortgage market. If Fannie Mae or Freddie Mac were eliminated, or their structures were to change radically, we would not be able to acquire agency securities from these companies, which would eliminate the major component of our business model.</w:t>
      </w:r>
    </w:p>
    <w:p>
      <w:pPr>
        <w:spacing w:after="0" w:line="134"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In April 2010, Freddie Mac and Fannie Mae announced tighter underwriting guidelines for ARMs and hybrid interest-only ARMs in particular. Specifically, Freddie Mac announced that it would no longer purchase interest-only mortgages and Fannie Mae changed its eligibility criteria for purchasing and securitizing ARMs to protect consumers from potentially dramatic payment increases. Although our portfolio includes fixed-rate agency securities, we also purchase adjustable-rate agency securities and tighter underwriting standards could reduce the supply of ARMs, resulting in a reduction in the attractiveness of the asset class.</w:t>
      </w:r>
    </w:p>
    <w:p>
      <w:pPr>
        <w:spacing w:after="0" w:line="129" w:lineRule="exact"/>
        <w:rPr>
          <w:sz w:val="20"/>
          <w:szCs w:val="20"/>
          <w:color w:val="auto"/>
        </w:rPr>
      </w:pPr>
    </w:p>
    <w:p>
      <w:pPr>
        <w:ind w:right="200" w:firstLine="456"/>
        <w:spacing w:after="0" w:line="254" w:lineRule="auto"/>
        <w:rPr>
          <w:sz w:val="20"/>
          <w:szCs w:val="20"/>
          <w:color w:val="auto"/>
        </w:rPr>
      </w:pPr>
      <w:r>
        <w:rPr>
          <w:rFonts w:ascii="Arial" w:cs="Arial" w:eastAsia="Arial" w:hAnsi="Arial"/>
          <w:sz w:val="18"/>
          <w:szCs w:val="18"/>
          <w:color w:val="auto"/>
        </w:rPr>
        <w:t>Our income could be negatively affected in a number of ways depending on the manner in which related events unfold. For example, the current credit support provided by the U.S. Treasury to Fannie Mae and Freddie Mac, and any additional credit support it may provide in the future, could have the effect of lowering the interest rate we expect to receive from agency securities that we seek to acquire, thereby tightening the spread between the interest we earn on our portfolio of targeted assets and our cost of financing that portfolio. A reduction in the supply of agency securities could also negatively affect the pricing of agency securities we seek to acquire by reducing the spread between the interest we earn on our portfolio of targeted assets and our cost of financing that portfolio.</w:t>
      </w:r>
    </w:p>
    <w:p>
      <w:pPr>
        <w:spacing w:after="0" w:line="13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color w:val="auto"/>
        </w:rPr>
        <w:t>As indicated above, recent legislation has changed the relationship between Fannie Mae and Freddie Mac and the federal government and requires Fannie Mae and Freddie Mac to reduce the amount of mortgage loans they own or for which they provide guarantees on agency securities. Future legislation could further change the relationship between Fannie Mae and Freddie Mac and the federal government, and could also nationalize or eliminate such entities entirely. Any law affecting these GSEs may create market uncertainty and have the effect of reducing the actual or perceived credit quality of securities issued or guaranteed by Fannie Mae or Freddie Mac. As a result, such laws could increase the risk of loss on investments in Fannie Mae and/or Freddie Mac agency security. It also is possible that such laws could adversely impact the market for such securities and spreads at which they trade. All of the foregoing could materially adversely affect our business, operations and financial condition.</w:t>
      </w:r>
    </w:p>
    <w:p>
      <w:pPr>
        <w:spacing w:after="0" w:line="105"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i w:val="1"/>
          <w:iCs w:val="1"/>
          <w:color w:val="auto"/>
        </w:rPr>
        <w:t>There can be no assurance that the actions of the U.S. Treasury, the Federal Reserve and other governmental and regulatory bodies for the purpose of stabilizing the financial markets, or market response to those actions, will achieve the intended effect, our business may not benefit from these actions and further government or market developments could adversely impact us. Further, when the U.S. Government withdraws its support under these programs, the market may lose liquidity, adversely impacting us.</w:t>
      </w:r>
    </w:p>
    <w:p>
      <w:pPr>
        <w:spacing w:after="0" w:line="49"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In response to the financial issues affecting the banking system and financial markets and going concern threats to investment banks and other financial institutions, the U.S. Government has implemented a number of initiatives intended to bolster the banking system, the financial and housing markets and the economy as a whole. These initiatives include: (i) the Emergency Economic Stabilization Act of 2008, or the EESA, which established the Troubled Asset Relief Program, (ii) the voluntary Capital Purchase Program which was implemented under authority provided in the EESA and gives the U.S. Treasury the authority to purchase up to $250 billion of senior preferred shares in qualifying U.S. controlled banks, saving associations, and certain bank and savings and loan holding companies engaged only in financial activities, (iii) a program to purchase $200 billion in direction obligations issued by Fannie Mae, Freddie Mac and the Federal Home Loan Banks and $1.25 trillion in agency securities backed by Fannie Mae, Freddie Mac and Ginnie Mae, which was concluded during the first quarter of 2010, (iv) a program to purchase up to $300 billion of U.S. Treasury securities, (v) the creation of the PPIP for private investors to purchase mortgage-related assets from financial institutions and (vi) the TALF which is intended to increase securitization activity for various consumer and commercial loans and other financial assets, including student loans, automobile loans and leases, credit card receivables, SBA small business loans and commercial mortgage-backed securities. There can be no assurance these programs and proposals will have a beneficial impact on the financial and housing markets or the banking system. To the extent the market does not respond favorably to these programs and proposals or the initiatives do not function as intended, our business may not receive the anticipated positive impact therefrom.</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prepayment rates may adversely affect our profitability.</w:t>
      </w:r>
    </w:p>
    <w:p>
      <w:pPr>
        <w:spacing w:after="0" w:line="77" w:lineRule="exact"/>
        <w:rPr>
          <w:sz w:val="20"/>
          <w:szCs w:val="20"/>
          <w:color w:val="auto"/>
        </w:rPr>
      </w:pPr>
    </w:p>
    <w:p>
      <w:pPr>
        <w:jc w:val="both"/>
        <w:ind w:right="20" w:firstLine="456"/>
        <w:spacing w:after="0" w:line="335" w:lineRule="auto"/>
        <w:rPr>
          <w:sz w:val="20"/>
          <w:szCs w:val="20"/>
          <w:color w:val="auto"/>
        </w:rPr>
      </w:pPr>
      <w:r>
        <w:rPr>
          <w:rFonts w:ascii="Arial" w:cs="Arial" w:eastAsia="Arial" w:hAnsi="Arial"/>
          <w:sz w:val="15"/>
          <w:szCs w:val="15"/>
          <w:color w:val="auto"/>
        </w:rPr>
        <w:t>The agency securities in our investment portfolio are backed by pools of mortgage loans. We receive payments, generally, from the payments that are made on these underlying mortgage loans. When borrowers prepay their mortgage loans at rates that are faster or slower than expected, this results in prepayments that are faster or slower than expected on the related agency securities. These faster or slower than expected payments may adversely affect our profitability.</w:t>
      </w:r>
    </w:p>
    <w:p>
      <w:pPr>
        <w:spacing w:after="0" w:line="75"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may purchase agency securities that have a higher interest rate than the then prevailing market interest rate. In exchange for this higher interest rate, we may pay a premium to par value to acquire the security. In accordance with GAAP, we amortize this premium over the expected term of the agency security based on our prepayment assumptions. If the agency security is prepaid in whole or in part at a faster than expected rate, however, we must expense all or a part of the remaining unamortized portion of the premium that was paid at the time of the purchase, which will adversely affect our profitability.</w:t>
      </w:r>
    </w:p>
    <w:p>
      <w:pPr>
        <w:spacing w:after="0" w:line="99"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We also may purchase agency securities that have a lower interest rate than the then prevailing market interest rate. In exchange for this lower interest rate, we may pay a discount to par value to acquire the security.</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459"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40"/>
        <w:spacing w:after="0" w:line="259" w:lineRule="auto"/>
        <w:rPr>
          <w:sz w:val="20"/>
          <w:szCs w:val="20"/>
          <w:color w:val="auto"/>
        </w:rPr>
      </w:pPr>
      <w:r>
        <w:rPr>
          <w:rFonts w:ascii="Arial" w:cs="Arial" w:eastAsia="Arial" w:hAnsi="Arial"/>
          <w:sz w:val="18"/>
          <w:szCs w:val="18"/>
          <w:color w:val="auto"/>
        </w:rPr>
        <w:t>We accrete this discount over the expected term of the agency security based on our prepayment assumptions. If the agency security is prepaid at a slower than expected rate, however, we must accrete the remaining portion of the discount at a slower than expected rate. This will extend the expected life of the portfolio and result in a lower than expected yield on securities purchased at a discount to par.</w:t>
      </w:r>
    </w:p>
    <w:p>
      <w:pPr>
        <w:spacing w:after="0" w:line="12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Prepayment rates generally increase when interest rates fall and decrease when interest rates rise, but changes in prepayment rates are difficult to predict. Prepayments can also occur when borrowers sell the property and use the sale proceeds to prepay the mortgage as part of a physical relocation or when borrowers default on their mortgages and the mortgages are prepaid from the proceeds of a foreclosure sale of the property. Fannie Mae and Freddie Mac will generally, among other conditions, purchase mortgages that are 120 days or more delinquent from MBS trusts when the cost of guarantee payments to security holders, including advances of interest at the security coupon rate, exceeds the cost of holding the nonperforming loans in their portfolios. Consequently, prepayment rates also may be affected by conditions in the housing and financial markets, which may result in increased delinquencies on mortgage loans, the GSEs’ cost of capital, general economic conditions and the relative interest rates on FRM and ARM loans, which could lead to an acceleration of the payment of the related principal. Additionally, changes in the GSE’s decisions as to when to repurchase delinquent loans can materially impact prepayment rates.</w:t>
      </w:r>
    </w:p>
    <w:p>
      <w:pPr>
        <w:spacing w:after="0" w:line="105"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In addition, the introduction of government programs, such as the U.S. Treasury’s HASP program, are expected to increase the availability of mortgage credit to a large number of homeowners in the U.S., which we expect will impact the prepayment rates for the entire mortgage securities market, but primarily for Fannie Mae and Freddie Mac agency securities. While increased prepayment rates negatively impact our interest income for agency securities purchased at a premium, we believe we have sourced agency securities with collateral attributes that improve the prepayment profile of our investment portfolio. However, these are new programs and therefore there is substantial uncertainty around the magnitude of prepayment speed increases and our asset selection process may not provide the desired benefits. While we will seek to manage prepayment risk, in selecting investments we must balance prepayment risk against other risks, the potential returns of each investment and the cost of hedging our risks. No strategy can completely insulate us from prepayment or other such risks, and we may deliberately retain exposure to prepayment or other risks.</w:t>
      </w:r>
    </w:p>
    <w:p>
      <w:pPr>
        <w:spacing w:after="0" w:line="105" w:lineRule="exact"/>
        <w:rPr>
          <w:sz w:val="20"/>
          <w:szCs w:val="20"/>
          <w:color w:val="auto"/>
        </w:rPr>
      </w:pPr>
    </w:p>
    <w:p>
      <w:pPr>
        <w:ind w:right="140"/>
        <w:spacing w:after="0" w:line="325" w:lineRule="auto"/>
        <w:rPr>
          <w:sz w:val="20"/>
          <w:szCs w:val="20"/>
          <w:color w:val="auto"/>
        </w:rPr>
      </w:pPr>
      <w:r>
        <w:rPr>
          <w:rFonts w:ascii="Arial" w:cs="Arial" w:eastAsia="Arial" w:hAnsi="Arial"/>
          <w:sz w:val="16"/>
          <w:szCs w:val="16"/>
          <w:i w:val="1"/>
          <w:iCs w:val="1"/>
          <w:color w:val="auto"/>
        </w:rPr>
        <w:t>An increase in prepayment speeds will cause an increase in our principal receivable balance, which cannot be financed through our repurchase agreements and will typically result in margins calls that could result in defaults or force us to sell assets under adverse market conditions or through foreclosure.</w:t>
      </w:r>
    </w:p>
    <w:p>
      <w:pPr>
        <w:spacing w:after="0" w:line="1" w:lineRule="exact"/>
        <w:rPr>
          <w:sz w:val="20"/>
          <w:szCs w:val="20"/>
          <w:color w:val="auto"/>
        </w:rPr>
      </w:pPr>
    </w:p>
    <w:p>
      <w:pPr>
        <w:ind w:firstLine="456"/>
        <w:spacing w:after="0" w:line="318" w:lineRule="auto"/>
        <w:rPr>
          <w:sz w:val="20"/>
          <w:szCs w:val="20"/>
          <w:color w:val="auto"/>
        </w:rPr>
      </w:pPr>
      <w:r>
        <w:rPr>
          <w:rFonts w:ascii="Arial" w:cs="Arial" w:eastAsia="Arial" w:hAnsi="Arial"/>
          <w:sz w:val="15"/>
          <w:szCs w:val="15"/>
          <w:color w:val="auto"/>
        </w:rPr>
        <w:t>On February 10, 2010, Freddie Mac announced that it would purchase, from the company’s related fixed-rate and adjustable-rate (“ARM”) mortgage Participation Certificate (“PC”) securities, substantially all mortgage loans that are 120 days or more delinquent and Fannie Mae announced that it intended to increase significantly its purchases of delinquent loans from single-family MBS trusts. Freddie Mac purchased substantially all of these delinquent loans in February 2010. Fannie Mae began to purchase delinquent loans in March 2010 and expects to purchase a significant portion of their current delinquent population within a few month period, subject to market, servicer capacity and other constraints. These actions are collectively referred to herein as the “GSE buyouts”.</w:t>
      </w:r>
    </w:p>
    <w:p>
      <w:pPr>
        <w:spacing w:after="0" w:line="86"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The GSE buyouts have had the effect of substantially increasing the prepayment speeds of the subject Fannie Mae and Freddie Mac mortgage-backed securities and will continue to have this effect until the purchases are complete. After the initial purchases are complete, the GSE’s ongoing practices with respect to the purchase of delinquent loans could continue to materially impact prepayment rates. The exact impact of the GSEs’ initial and ongoing purchases of delinquent loans is difficult to determine and may not be uniform, even among securities with similar mortgage pool characteristics. Nevertheless, we believe that certain characteristics render a mortgage pool particularly susceptible to having seriously delinquent mortgages subject to the GSE buyouts and that prepayment speed increases will be disproportionally concentrated in securities backed by mortgage pools with these characteristics. These characteristics include having higher coupon or interest-only mortgages or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00"/>
          </w:cols>
          <w:pgMar w:left="240" w:top="459" w:right="25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332" w:lineRule="auto"/>
        <w:rPr>
          <w:sz w:val="20"/>
          <w:szCs w:val="20"/>
          <w:color w:val="auto"/>
        </w:rPr>
      </w:pPr>
      <w:r>
        <w:rPr>
          <w:rFonts w:ascii="Arial" w:cs="Arial" w:eastAsia="Arial" w:hAnsi="Arial"/>
          <w:sz w:val="16"/>
          <w:szCs w:val="16"/>
          <w:color w:val="auto"/>
        </w:rPr>
        <w:t>having mortgages that were originated during certain periods of high home price appreciation, which were followed by periods of decline. Consequently, we may experience a significant increase in prepayments as Fannie Mae and Freddie Mac complete their initial and ongoing purchases of delinquent loans.</w:t>
      </w:r>
    </w:p>
    <w:p>
      <w:pPr>
        <w:spacing w:after="0" w:line="72"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Securities that prepay more quickly, regardless of the source of the prepayment, also increase the frequency and magnitude of potential margin calls under our repurchase agreements as there is up to a 45 day time lag between when the prepayment is reported (which reduces the market value of the security) and when the principal payment is actually received. Since we are unable to finance the resultant increase in our principal receivable balance, we may be unable to satisfy the margin calls. If we are unable to satisfy the margin calls our lenders may foreclose on our collateral. The threat of or occurrence of a margin call could force us to sell, either directly or through a foreclosure, our agency securities under adverse market conditions. Because of leverage, we may incur substantial losses upon the threat or occurrence of a margin call.</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Manager’s management fee is based on the amount of our Equity and is payable regardless of our performance.</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Our Manager is entitled to receive a management fee from us that is based on the amount of our Equity (as defined in our management agreement), regardless of the performance of our investment portfolio. For example, we would pay our Manager a management fee for a specific period even if we experienced a net loss during the same period. The amount of the management fee is equal to one-twelfth of 1.25% of our Equity and therefore is only increased by raising new Equity, which could result in a conflict of interest between our manager and our shareholders with respect to the timing and terms of our equity offerings. Our Manager’s entitlement to substantial nonperformance-based compensation may reduce its incentive to devote sufficient time and effort to seeking investments that provide attractive risk-adjusted returns for our investment portfolio. This in turn could harm our ability to make distributions to our stockholders and the market price of our common stock.</w:t>
      </w:r>
    </w:p>
    <w:p>
      <w:pPr>
        <w:spacing w:after="0" w:line="99"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4"/>
          <w:szCs w:val="14"/>
          <w:b w:val="1"/>
          <w:bCs w:val="1"/>
          <w:i w:val="1"/>
          <w:iCs w:val="1"/>
          <w:color w:val="auto"/>
        </w:rPr>
        <w:t>Removed and Reserved</w:t>
      </w:r>
    </w:p>
    <w:p>
      <w:pPr>
        <w:spacing w:after="0" w:line="158"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41"/>
        <w:spacing w:after="0"/>
        <w:tabs>
          <w:tab w:leader="none" w:pos="1040" w:val="left"/>
        </w:tabs>
        <w:numPr>
          <w:ilvl w:val="0"/>
          <w:numId w:val="15"/>
        </w:numPr>
        <w:rPr>
          <w:rFonts w:ascii="Arial" w:cs="Arial" w:eastAsia="Arial" w:hAnsi="Arial"/>
          <w:sz w:val="14"/>
          <w:szCs w:val="14"/>
          <w:b w:val="1"/>
          <w:bCs w:val="1"/>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*3.1</w:t>
            </w:r>
          </w:p>
        </w:tc>
        <w:tc>
          <w:tcPr>
            <w:tcW w:w="10640" w:type="dxa"/>
            <w:vAlign w:val="bottom"/>
          </w:tcPr>
          <w:p>
            <w:pPr>
              <w:ind w:left="320"/>
              <w:spacing w:after="0"/>
              <w:rPr>
                <w:sz w:val="20"/>
                <w:szCs w:val="20"/>
                <w:color w:val="auto"/>
              </w:rPr>
            </w:pPr>
            <w:r>
              <w:rPr>
                <w:rFonts w:ascii="Arial" w:cs="Arial" w:eastAsia="Arial" w:hAnsi="Arial"/>
                <w:sz w:val="18"/>
                <w:szCs w:val="18"/>
                <w:color w:val="auto"/>
                <w:w w:val="89"/>
              </w:rPr>
              <w:t>American Capital Agency Corp. Amended and Restated Certificate of Incorporation, incorporated herein by reference to Exhibit 3.1 of Form 10-Q</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American Capital Agency Corp. Amended and Restated Bylaws, incorporated herein by reference to Exhibit 3.2 of Form 10-Q for the quarter</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*4.1</w:t>
            </w:r>
          </w:p>
        </w:tc>
        <w:tc>
          <w:tcPr>
            <w:tcW w:w="10640" w:type="dxa"/>
            <w:vAlign w:val="bottom"/>
          </w:tcPr>
          <w:p>
            <w:pPr>
              <w:ind w:left="320"/>
              <w:spacing w:after="0"/>
              <w:rPr>
                <w:sz w:val="20"/>
                <w:szCs w:val="20"/>
                <w:color w:val="auto"/>
              </w:rPr>
            </w:pPr>
            <w:r>
              <w:rPr>
                <w:rFonts w:ascii="Arial" w:cs="Arial" w:eastAsia="Arial" w:hAnsi="Arial"/>
                <w:sz w:val="18"/>
                <w:szCs w:val="18"/>
                <w:color w:val="auto"/>
                <w:w w:val="92"/>
              </w:rPr>
              <w:t>Instruments defining the rights of holders of securities: See Article IV of our Amended and Restated Certificate of Incorporation, incorporated</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herein by reference to Exhibit 4.1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*4.2</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Instruments defining the rights of holders of securities: See Article VI of our Amended and Restated Bylaws, incorporated herein by reference to</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Exhibit 4.2 of Form 10-Q for the quarter ended June 30, 2008 (File No. 001-34057), filed August 14, 2008.</w:t>
            </w:r>
          </w:p>
        </w:tc>
      </w:tr>
      <w:tr>
        <w:trPr>
          <w:trHeight w:val="318"/>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10640" w:type="dxa"/>
            <w:vAlign w:val="bottom"/>
          </w:tcPr>
          <w:p>
            <w:pPr>
              <w:ind w:left="320"/>
              <w:spacing w:after="0"/>
              <w:rPr>
                <w:sz w:val="20"/>
                <w:szCs w:val="20"/>
                <w:color w:val="auto"/>
              </w:rPr>
            </w:pPr>
            <w:r>
              <w:rPr>
                <w:rFonts w:ascii="Arial" w:cs="Arial" w:eastAsia="Arial" w:hAnsi="Arial"/>
                <w:sz w:val="18"/>
                <w:szCs w:val="18"/>
                <w:color w:val="auto"/>
                <w:w w:val="90"/>
              </w:rPr>
              <w:t>Underwriting Agreement, dated August 10, 2009, by and among American Capital Agency Corp., American Capital Agency Management, LLC,</w:t>
            </w:r>
          </w:p>
        </w:tc>
      </w:tr>
      <w:tr>
        <w:trPr>
          <w:trHeight w:val="216"/>
        </w:trPr>
        <w:tc>
          <w:tcPr>
            <w:tcW w:w="720" w:type="dxa"/>
            <w:vAlign w:val="bottom"/>
          </w:tcPr>
          <w:p>
            <w:pPr>
              <w:spacing w:after="0"/>
              <w:rPr>
                <w:sz w:val="18"/>
                <w:szCs w:val="18"/>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w w:val="93"/>
              </w:rPr>
              <w:t>Citigroup Global Markets Inc. and Deutsche Bank Securities Inc., incorporated herein by reference to Exhibit 1.1 of Form 8-K (File No. 001-</w:t>
            </w:r>
          </w:p>
        </w:tc>
      </w:tr>
      <w:tr>
        <w:trPr>
          <w:trHeight w:val="222"/>
        </w:trPr>
        <w:tc>
          <w:tcPr>
            <w:tcW w:w="720" w:type="dxa"/>
            <w:vAlign w:val="bottom"/>
          </w:tcPr>
          <w:p>
            <w:pPr>
              <w:spacing w:after="0"/>
              <w:rPr>
                <w:sz w:val="19"/>
                <w:szCs w:val="19"/>
                <w:color w:val="auto"/>
              </w:rPr>
            </w:pPr>
          </w:p>
        </w:tc>
        <w:tc>
          <w:tcPr>
            <w:tcW w:w="10640" w:type="dxa"/>
            <w:vAlign w:val="bottom"/>
          </w:tcPr>
          <w:p>
            <w:pPr>
              <w:ind w:left="320"/>
              <w:spacing w:after="0"/>
              <w:rPr>
                <w:sz w:val="20"/>
                <w:szCs w:val="20"/>
                <w:color w:val="auto"/>
              </w:rPr>
            </w:pPr>
            <w:r>
              <w:rPr>
                <w:rFonts w:ascii="Arial" w:cs="Arial" w:eastAsia="Arial" w:hAnsi="Arial"/>
                <w:sz w:val="18"/>
                <w:szCs w:val="18"/>
                <w:color w:val="auto"/>
              </w:rPr>
              <w:t>34057), filed August 14, 2009.</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31.1</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31.2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720" w:type="dxa"/>
            <w:vAlign w:val="bottom"/>
          </w:tcPr>
          <w:p>
            <w:pPr>
              <w:spacing w:after="0"/>
              <w:rPr>
                <w:sz w:val="20"/>
                <w:szCs w:val="20"/>
                <w:color w:val="auto"/>
              </w:rPr>
            </w:pPr>
            <w:r>
              <w:rPr>
                <w:rFonts w:ascii="Arial" w:cs="Arial" w:eastAsia="Arial" w:hAnsi="Arial"/>
                <w:sz w:val="18"/>
                <w:szCs w:val="18"/>
                <w:color w:val="auto"/>
              </w:rPr>
              <w:t>32</w:t>
            </w:r>
          </w:p>
        </w:tc>
        <w:tc>
          <w:tcPr>
            <w:tcW w:w="10640" w:type="dxa"/>
            <w:vAlign w:val="bottom"/>
          </w:tcPr>
          <w:p>
            <w:pPr>
              <w:ind w:left="320"/>
              <w:spacing w:after="0"/>
              <w:rPr>
                <w:sz w:val="20"/>
                <w:szCs w:val="20"/>
                <w:color w:val="auto"/>
              </w:rPr>
            </w:pPr>
            <w:r>
              <w:rPr>
                <w:rFonts w:ascii="Arial" w:cs="Arial" w:eastAsia="Arial" w:hAnsi="Arial"/>
                <w:sz w:val="18"/>
                <w:szCs w:val="18"/>
                <w:color w:val="auto"/>
              </w:rPr>
              <w:t>Certification pursuant to Section 906 of the Sarbanes-Oxley Act of 2002.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69850</wp:posOffset>
            </wp:positionV>
            <wp:extent cx="72898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Previously filed in whole or in part.</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360"/>
          </w:cols>
          <w:pgMar w:left="240" w:top="459" w:right="29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940" w:val="left"/>
          <w:tab w:leader="none" w:pos="7980" w:val="left"/>
          <w:tab w:leader="none" w:pos="8320" w:val="left"/>
        </w:tabs>
        <w:rPr>
          <w:sz w:val="20"/>
          <w:szCs w:val="20"/>
          <w:color w:val="auto"/>
        </w:rPr>
      </w:pPr>
      <w:r>
        <w:rPr>
          <w:rFonts w:ascii="Arial" w:cs="Arial" w:eastAsia="Arial" w:hAnsi="Arial"/>
          <w:sz w:val="18"/>
          <w:szCs w:val="18"/>
          <w:color w:val="auto"/>
        </w:rPr>
        <w:t>Date: July 12, 2010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4001135</wp:posOffset>
            </wp:positionH>
            <wp:positionV relativeFrom="paragraph">
              <wp:posOffset>10795</wp:posOffset>
            </wp:positionV>
            <wp:extent cx="324993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249930" cy="8890"/>
                    </a:xfrm>
                    <a:prstGeom prst="rect">
                      <a:avLst/>
                    </a:prstGeom>
                    <a:noFill/>
                  </pic:spPr>
                </pic:pic>
              </a:graphicData>
            </a:graphic>
          </wp:anchor>
        </w:drawing>
      </w:r>
    </w:p>
    <w:p>
      <w:pPr>
        <w:jc w:val="center"/>
        <w:ind w:left="6400"/>
        <w:spacing w:after="0"/>
        <w:rPr>
          <w:sz w:val="20"/>
          <w:szCs w:val="20"/>
          <w:color w:val="auto"/>
        </w:rPr>
      </w:pPr>
      <w:r>
        <w:rPr>
          <w:rFonts w:ascii="Arial" w:cs="Arial" w:eastAsia="Arial" w:hAnsi="Arial"/>
          <w:sz w:val="14"/>
          <w:szCs w:val="14"/>
          <w:b w:val="1"/>
          <w:bCs w:val="1"/>
          <w:color w:val="auto"/>
        </w:rPr>
        <w:t>Malon Wilkus</w:t>
      </w:r>
    </w:p>
    <w:p>
      <w:pPr>
        <w:jc w:val="center"/>
        <w:ind w:left="6400"/>
        <w:spacing w:after="0" w:line="223" w:lineRule="auto"/>
        <w:rPr>
          <w:sz w:val="20"/>
          <w:szCs w:val="20"/>
          <w:color w:val="auto"/>
        </w:rPr>
      </w:pPr>
      <w:r>
        <w:rPr>
          <w:rFonts w:ascii="Arial" w:cs="Arial" w:eastAsia="Arial" w:hAnsi="Arial"/>
          <w:sz w:val="14"/>
          <w:szCs w:val="14"/>
          <w:b w:val="1"/>
          <w:bCs w:val="1"/>
          <w:color w:val="auto"/>
        </w:rPr>
        <w:t>Chairman of the Board of Directors,</w:t>
      </w:r>
    </w:p>
    <w:p>
      <w:pPr>
        <w:jc w:val="center"/>
        <w:ind w:left="640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140"/>
          </w:cols>
          <w:pgMar w:left="240" w:top="459" w:right="51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20" w:type="dxa"/>
            <w:vAlign w:val="bottom"/>
          </w:tcPr>
          <w:p>
            <w:pPr>
              <w:jc w:val="center"/>
              <w:ind w:left="1932"/>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2"/>
              </w:rPr>
              <w:t>Exhibit No.</w:t>
            </w:r>
          </w:p>
        </w:tc>
        <w:tc>
          <w:tcPr>
            <w:tcW w:w="980" w:type="dxa"/>
            <w:vAlign w:val="bottom"/>
          </w:tcPr>
          <w:p>
            <w:pPr>
              <w:spacing w:after="0"/>
              <w:rPr>
                <w:sz w:val="24"/>
                <w:szCs w:val="2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Description</w:t>
            </w:r>
          </w:p>
        </w:tc>
        <w:tc>
          <w:tcPr>
            <w:tcW w:w="4620" w:type="dxa"/>
            <w:vAlign w:val="bottom"/>
          </w:tcPr>
          <w:p>
            <w:pPr>
              <w:spacing w:after="0"/>
              <w:rPr>
                <w:sz w:val="24"/>
                <w:szCs w:val="24"/>
                <w:color w:val="auto"/>
              </w:rPr>
            </w:pPr>
          </w:p>
        </w:tc>
      </w:tr>
      <w:tr>
        <w:trPr>
          <w:trHeight w:val="316"/>
        </w:trPr>
        <w:tc>
          <w:tcPr>
            <w:tcW w:w="720" w:type="dxa"/>
            <w:vAlign w:val="bottom"/>
          </w:tcPr>
          <w:p>
            <w:pPr>
              <w:ind w:left="200"/>
              <w:spacing w:after="0"/>
              <w:rPr>
                <w:sz w:val="20"/>
                <w:szCs w:val="20"/>
                <w:color w:val="auto"/>
              </w:rPr>
            </w:pPr>
            <w:r>
              <w:rPr>
                <w:rFonts w:ascii="Arial" w:cs="Arial" w:eastAsia="Arial" w:hAnsi="Arial"/>
                <w:sz w:val="18"/>
                <w:szCs w:val="18"/>
                <w:color w:val="auto"/>
              </w:rPr>
              <w:t>31.1</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r>
        <w:trPr>
          <w:trHeight w:val="324"/>
        </w:trPr>
        <w:tc>
          <w:tcPr>
            <w:tcW w:w="720" w:type="dxa"/>
            <w:vAlign w:val="bottom"/>
          </w:tcPr>
          <w:p>
            <w:pPr>
              <w:ind w:left="200"/>
              <w:spacing w:after="0"/>
              <w:rPr>
                <w:sz w:val="20"/>
                <w:szCs w:val="20"/>
                <w:color w:val="auto"/>
              </w:rPr>
            </w:pPr>
            <w:r>
              <w:rPr>
                <w:rFonts w:ascii="Arial" w:cs="Arial" w:eastAsia="Arial" w:hAnsi="Arial"/>
                <w:sz w:val="18"/>
                <w:szCs w:val="18"/>
                <w:color w:val="auto"/>
              </w:rPr>
              <w:t>31.2</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88"/>
              </w:rPr>
              <w:t>Certification pursuant to Section 302(a) of the Sarbanes-Oxley Act of 2002.</w:t>
            </w:r>
          </w:p>
        </w:tc>
      </w:tr>
      <w:tr>
        <w:trPr>
          <w:trHeight w:val="324"/>
        </w:trPr>
        <w:tc>
          <w:tcPr>
            <w:tcW w:w="720" w:type="dxa"/>
            <w:vAlign w:val="bottom"/>
          </w:tcPr>
          <w:p>
            <w:pPr>
              <w:ind w:left="200"/>
              <w:spacing w:after="0"/>
              <w:rPr>
                <w:sz w:val="20"/>
                <w:szCs w:val="20"/>
                <w:color w:val="auto"/>
              </w:rPr>
            </w:pPr>
            <w:r>
              <w:rPr>
                <w:rFonts w:ascii="Arial" w:cs="Arial" w:eastAsia="Arial" w:hAnsi="Arial"/>
                <w:sz w:val="18"/>
                <w:szCs w:val="18"/>
                <w:color w:val="auto"/>
              </w:rPr>
              <w:t>32</w:t>
            </w:r>
          </w:p>
        </w:tc>
        <w:tc>
          <w:tcPr>
            <w:tcW w:w="980" w:type="dxa"/>
            <w:vAlign w:val="bottom"/>
          </w:tcPr>
          <w:p>
            <w:pPr>
              <w:spacing w:after="0"/>
              <w:rPr>
                <w:sz w:val="24"/>
                <w:szCs w:val="24"/>
                <w:color w:val="auto"/>
              </w:rPr>
            </w:pPr>
          </w:p>
        </w:tc>
        <w:tc>
          <w:tcPr>
            <w:tcW w:w="5320" w:type="dxa"/>
            <w:vAlign w:val="bottom"/>
            <w:gridSpan w:val="2"/>
          </w:tcPr>
          <w:p>
            <w:pPr>
              <w:spacing w:after="0"/>
              <w:rPr>
                <w:sz w:val="20"/>
                <w:szCs w:val="20"/>
                <w:color w:val="auto"/>
              </w:rPr>
            </w:pPr>
            <w:r>
              <w:rPr>
                <w:rFonts w:ascii="Arial" w:cs="Arial" w:eastAsia="Arial" w:hAnsi="Arial"/>
                <w:sz w:val="18"/>
                <w:szCs w:val="18"/>
                <w:color w:val="auto"/>
                <w:w w:val="92"/>
              </w:rPr>
              <w:t>Certification pursuant to Section 906 of the Sarbanes-Oxley Act of 2002.</w:t>
            </w:r>
          </w:p>
        </w:tc>
      </w:tr>
      <w:tr>
        <w:trPr>
          <w:trHeight w:val="365"/>
        </w:trPr>
        <w:tc>
          <w:tcPr>
            <w:tcW w:w="720" w:type="dxa"/>
            <w:vAlign w:val="bottom"/>
          </w:tcPr>
          <w:p>
            <w:pPr>
              <w:spacing w:after="0"/>
              <w:rPr>
                <w:sz w:val="24"/>
                <w:szCs w:val="24"/>
                <w:color w:val="auto"/>
              </w:rPr>
            </w:pPr>
          </w:p>
        </w:tc>
        <w:tc>
          <w:tcPr>
            <w:tcW w:w="6300" w:type="dxa"/>
            <w:vAlign w:val="bottom"/>
            <w:gridSpan w:val="3"/>
          </w:tcPr>
          <w:p>
            <w:pPr>
              <w:jc w:val="right"/>
              <w:ind w:right="1132"/>
              <w:spacing w:after="0"/>
              <w:rPr>
                <w:sz w:val="20"/>
                <w:szCs w:val="20"/>
                <w:color w:val="auto"/>
              </w:rPr>
            </w:pPr>
            <w:r>
              <w:rPr>
                <w:rFonts w:ascii="Arial" w:cs="Arial" w:eastAsia="Arial" w:hAnsi="Arial"/>
                <w:sz w:val="18"/>
                <w:szCs w:val="18"/>
                <w:color w:val="auto"/>
              </w:rPr>
              <w:t>49</w:t>
            </w:r>
          </w:p>
        </w:tc>
      </w:tr>
    </w:tbl>
    <w:p>
      <w:pPr>
        <w:sectPr>
          <w:pgSz w:w="11900" w:h="16838" w:orient="portrait"/>
          <w:cols w:equalWidth="0" w:num="1">
            <w:col w:w="10219"/>
          </w:cols>
          <w:pgMar w:left="240" w:top="459" w:right="1440"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31.1</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300" w:hanging="446"/>
        <w:spacing w:after="0" w:line="259"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5"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right="28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7"/>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60" w:hanging="567"/>
        <w:spacing w:after="0" w:line="259"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July 12,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51" w:name="page52"/>
    <w:bookmarkEnd w:id="51"/>
    <w:p>
      <w:pPr>
        <w:jc w:val="right"/>
        <w:spacing w:after="0"/>
        <w:rPr>
          <w:sz w:val="20"/>
          <w:szCs w:val="20"/>
          <w:color w:val="auto"/>
        </w:rPr>
      </w:pPr>
      <w:r>
        <w:rPr>
          <w:rFonts w:ascii="Arial" w:cs="Arial" w:eastAsia="Arial" w:hAnsi="Arial"/>
          <w:sz w:val="18"/>
          <w:szCs w:val="18"/>
          <w:b w:val="1"/>
          <w:bCs w:val="1"/>
          <w:color w:val="auto"/>
        </w:rPr>
        <w:t>Exhibit 31.2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10-Q/A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300" w:hanging="446"/>
        <w:spacing w:after="0" w:line="259"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5"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right="28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8"/>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60" w:hanging="567"/>
        <w:spacing w:after="0" w:line="259"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5"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July 12,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ectPr>
          <w:pgSz w:w="11900" w:h="16838" w:orient="portrait"/>
          <w:cols w:equalWidth="0" w:num="1">
            <w:col w:w="11420"/>
          </w:cols>
          <w:pgMar w:left="240" w:top="125" w:right="23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32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60" w:hanging="446"/>
        <w:spacing w:after="0" w:line="268"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Quarterly Report on Form 10-Q/A of the Company for the quarter ended March 31, 2010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397"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July 12, 2010</w:t>
      </w:r>
      <w:r>
        <w:rPr>
          <w:sz w:val="20"/>
          <w:szCs w:val="20"/>
          <w:color w:val="auto"/>
        </w:rPr>
        <w:tab/>
      </w:r>
      <w:r>
        <w:rPr>
          <w:rFonts w:ascii="Arial" w:cs="Arial" w:eastAsia="Arial" w:hAnsi="Arial"/>
          <w:sz w:val="18"/>
          <w:szCs w:val="18"/>
          <w:color w:val="auto"/>
        </w:rPr>
        <w:t>By:</w:t>
        <w:tab/>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Chairman of the Board,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President and Chief Executive Officer</w:t>
      </w:r>
    </w:p>
    <w:p>
      <w:pPr>
        <w:spacing w:after="0" w:line="232" w:lineRule="exact"/>
        <w:rPr>
          <w:sz w:val="20"/>
          <w:szCs w:val="20"/>
          <w:color w:val="auto"/>
        </w:rPr>
      </w:pPr>
    </w:p>
    <w:p>
      <w:pPr>
        <w:spacing w:after="0"/>
        <w:tabs>
          <w:tab w:leader="none" w:pos="5480" w:val="left"/>
          <w:tab w:leader="none" w:pos="5940" w:val="left"/>
          <w:tab w:leader="none" w:pos="6280" w:val="left"/>
        </w:tabs>
        <w:rPr>
          <w:sz w:val="20"/>
          <w:szCs w:val="20"/>
          <w:color w:val="auto"/>
        </w:rPr>
      </w:pPr>
      <w:r>
        <w:rPr>
          <w:rFonts w:ascii="Arial" w:cs="Arial" w:eastAsia="Arial" w:hAnsi="Arial"/>
          <w:sz w:val="18"/>
          <w:szCs w:val="18"/>
          <w:color w:val="auto"/>
        </w:rPr>
        <w:t>Date: July 12, 2010</w:t>
      </w:r>
      <w:r>
        <w:rPr>
          <w:sz w:val="20"/>
          <w:szCs w:val="20"/>
          <w:color w:val="auto"/>
        </w:rPr>
        <w:tab/>
      </w:r>
      <w:r>
        <w:rPr>
          <w:rFonts w:ascii="Arial" w:cs="Arial" w:eastAsia="Arial" w:hAnsi="Arial"/>
          <w:sz w:val="18"/>
          <w:szCs w:val="18"/>
          <w:color w:val="auto"/>
        </w:rPr>
        <w:t>By:</w:t>
        <w:tab/>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Executive Vice President</w:t>
      </w:r>
    </w:p>
    <w:p>
      <w:pPr>
        <w:spacing w:after="0" w:line="16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1)"/>
      <w:numFmt w:val="decimal"/>
      <w:start w:val="1"/>
    </w:lvl>
  </w:abstractNum>
  <w:abstractNum w:abstractNumId="4">
    <w:nsid w:val="66EF438D"/>
    <w:multiLevelType w:val="hybridMultilevel"/>
    <w:lvl w:ilvl="0">
      <w:lvlJc w:val="left"/>
      <w:lvlText w:val="(%1)"/>
      <w:numFmt w:val="decimal"/>
      <w:start w:val="1"/>
    </w:lvl>
  </w:abstractNum>
  <w:abstractNum w:abstractNumId="5">
    <w:nsid w:val="140E0F76"/>
    <w:multiLevelType w:val="hybridMultilevel"/>
    <w:lvl w:ilvl="0">
      <w:lvlJc w:val="left"/>
      <w:lvlText w:val="(%1)"/>
      <w:numFmt w:val="decimal"/>
      <w:start w:val="1"/>
    </w:lvl>
  </w:abstractNum>
  <w:abstractNum w:abstractNumId="6">
    <w:nsid w:val="3352255A"/>
    <w:multiLevelType w:val="hybridMultilevel"/>
    <w:lvl w:ilvl="0">
      <w:lvlJc w:val="left"/>
      <w:lvlText w:val="•"/>
      <w:numFmt w:val="bullet"/>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
      <w:numFmt w:val="bullet"/>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
      <w:numFmt w:val="bullet"/>
      <w:start w:val="1"/>
    </w:lvl>
  </w:abstractNum>
  <w:abstractNum w:abstractNumId="11">
    <w:nsid w:val="41A7C4C9"/>
    <w:multiLevelType w:val="hybridMultilevel"/>
    <w:lvl w:ilvl="0">
      <w:lvlJc w:val="left"/>
      <w:lvlText w:val="(%1)"/>
      <w:numFmt w:val="decimal"/>
      <w:start w:val="1"/>
    </w:lvl>
  </w:abstractNum>
  <w:abstractNum w:abstractNumId="12">
    <w:nsid w:val="6B68079A"/>
    <w:multiLevelType w:val="hybridMultilevel"/>
    <w:lvl w:ilvl="0">
      <w:lvlJc w:val="left"/>
      <w:lvlText w:val="(%1)"/>
      <w:numFmt w:val="decimal"/>
      <w:start w:val="7"/>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1)"/>
      <w:numFmt w:val="lowerLetter"/>
      <w:start w:val="1"/>
    </w:lvl>
  </w:abstractNum>
  <w:abstractNum w:abstractNumId="15">
    <w:nsid w:val="519B500D"/>
    <w:multiLevelType w:val="hybridMultilevel"/>
    <w:lvl w:ilvl="0">
      <w:lvlJc w:val="left"/>
      <w:lvlText w:val="*"/>
      <w:numFmt w:val="bullet"/>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lvl w:ilvl="1">
      <w:lvlJc w:val="left"/>
      <w:lvlText w:val="%2)"/>
      <w:numFmt w:val="lowerLetter"/>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2019-12-11T05:35:07Z</dcterms:created>
  <dcterms:modified xsi:type="dcterms:W3CDTF">2019-12-11T05:35:07Z</dcterms:modified>
</cp:coreProperties>
</file>