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tbl>
      <w:tblPr>
        <w:tblLayout w:type="fixed"/>
        <w:tblInd w:w="20" w:type="dxa"/>
        <w:tblCellMar>
          <w:top w:w="0" w:type="dxa"/>
          <w:left w:w="0" w:type="dxa"/>
          <w:bottom w:w="0" w:type="dxa"/>
          <w:right w:w="0" w:type="dxa"/>
        </w:tblCellMar>
      </w:tblPr>
      <w:tr>
        <w:trPr>
          <w:trHeight w:val="243"/>
        </w:trPr>
        <w:tc>
          <w:tcPr>
            <w:tcW w:w="80" w:type="dxa"/>
            <w:vAlign w:val="bottom"/>
          </w:tcPr>
          <w:p>
            <w:pPr>
              <w:spacing w:after="0"/>
              <w:rPr>
                <w:sz w:val="21"/>
                <w:szCs w:val="21"/>
                <w:color w:val="auto"/>
              </w:rPr>
            </w:pPr>
          </w:p>
        </w:tc>
        <w:tc>
          <w:tcPr>
            <w:tcW w:w="1180" w:type="dxa"/>
            <w:vAlign w:val="bottom"/>
            <w:tcBorders>
              <w:top w:val="single" w:sz="8" w:color="auto"/>
            </w:tcBorders>
          </w:tcPr>
          <w:p>
            <w:pPr>
              <w:spacing w:after="0"/>
              <w:rPr>
                <w:sz w:val="21"/>
                <w:szCs w:val="21"/>
                <w:color w:val="auto"/>
              </w:rPr>
            </w:pPr>
          </w:p>
        </w:tc>
        <w:tc>
          <w:tcPr>
            <w:tcW w:w="10080" w:type="dxa"/>
            <w:vAlign w:val="bottom"/>
            <w:tcBorders>
              <w:top w:val="single" w:sz="8" w:color="auto"/>
            </w:tcBorders>
          </w:tcPr>
          <w:p>
            <w:pPr>
              <w:jc w:val="center"/>
              <w:ind w:right="1105"/>
              <w:spacing w:after="0" w:line="243" w:lineRule="exact"/>
              <w:rPr>
                <w:sz w:val="20"/>
                <w:szCs w:val="20"/>
                <w:color w:val="auto"/>
              </w:rPr>
            </w:pPr>
            <w:r>
              <w:rPr>
                <w:rFonts w:ascii="Arial" w:cs="Arial" w:eastAsia="Arial" w:hAnsi="Arial"/>
                <w:sz w:val="22"/>
                <w:szCs w:val="22"/>
                <w:b w:val="1"/>
                <w:bCs w:val="1"/>
                <w:color w:val="auto"/>
                <w:w w:val="97"/>
              </w:rPr>
              <w:t>UNITED STATES</w:t>
            </w:r>
          </w:p>
        </w:tc>
      </w:tr>
      <w:tr>
        <w:trPr>
          <w:trHeight w:val="261"/>
        </w:trPr>
        <w:tc>
          <w:tcPr>
            <w:tcW w:w="8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0080" w:type="dxa"/>
            <w:vAlign w:val="bottom"/>
          </w:tcPr>
          <w:p>
            <w:pPr>
              <w:jc w:val="center"/>
              <w:ind w:right="1105"/>
              <w:spacing w:after="0"/>
              <w:rPr>
                <w:sz w:val="20"/>
                <w:szCs w:val="20"/>
                <w:color w:val="auto"/>
              </w:rPr>
            </w:pPr>
            <w:r>
              <w:rPr>
                <w:rFonts w:ascii="Arial" w:cs="Arial" w:eastAsia="Arial" w:hAnsi="Arial"/>
                <w:sz w:val="22"/>
                <w:szCs w:val="22"/>
                <w:b w:val="1"/>
                <w:bCs w:val="1"/>
                <w:color w:val="auto"/>
                <w:w w:val="99"/>
              </w:rPr>
              <w:t>SECURITIES AND EXCHANGE COMMISSION</w:t>
            </w:r>
          </w:p>
        </w:tc>
      </w:tr>
      <w:tr>
        <w:trPr>
          <w:trHeight w:val="172"/>
        </w:trPr>
        <w:tc>
          <w:tcPr>
            <w:tcW w:w="8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0080" w:type="dxa"/>
            <w:vAlign w:val="bottom"/>
          </w:tcPr>
          <w:p>
            <w:pPr>
              <w:jc w:val="center"/>
              <w:ind w:right="1085"/>
              <w:spacing w:after="0"/>
              <w:rPr>
                <w:sz w:val="20"/>
                <w:szCs w:val="20"/>
                <w:color w:val="auto"/>
              </w:rPr>
            </w:pPr>
            <w:r>
              <w:rPr>
                <w:rFonts w:ascii="Arial" w:cs="Arial" w:eastAsia="Arial" w:hAnsi="Arial"/>
                <w:sz w:val="14"/>
                <w:szCs w:val="14"/>
                <w:b w:val="1"/>
                <w:bCs w:val="1"/>
                <w:color w:val="auto"/>
                <w:w w:val="93"/>
              </w:rPr>
              <w:t>Washington, D.C. 20549</w:t>
            </w:r>
          </w:p>
        </w:tc>
      </w:tr>
      <w:tr>
        <w:trPr>
          <w:trHeight w:val="135"/>
        </w:trPr>
        <w:tc>
          <w:tcPr>
            <w:tcW w:w="8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0080" w:type="dxa"/>
            <w:vAlign w:val="bottom"/>
          </w:tcPr>
          <w:p>
            <w:pPr>
              <w:jc w:val="center"/>
              <w:ind w:right="1125"/>
              <w:spacing w:after="0" w:line="135" w:lineRule="exact"/>
              <w:rPr>
                <w:sz w:val="20"/>
                <w:szCs w:val="20"/>
                <w:color w:val="auto"/>
              </w:rPr>
            </w:pPr>
            <w:r>
              <w:rPr>
                <w:rFonts w:ascii="Arial" w:cs="Arial" w:eastAsia="Arial" w:hAnsi="Arial"/>
                <w:sz w:val="12"/>
                <w:szCs w:val="12"/>
                <w:color w:val="auto"/>
                <w:w w:val="89"/>
              </w:rPr>
              <w:t>__________________________________________________</w:t>
            </w:r>
          </w:p>
        </w:tc>
      </w:tr>
      <w:tr>
        <w:trPr>
          <w:trHeight w:val="262"/>
        </w:trPr>
        <w:tc>
          <w:tcPr>
            <w:tcW w:w="8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0080" w:type="dxa"/>
            <w:vAlign w:val="bottom"/>
          </w:tcPr>
          <w:p>
            <w:pPr>
              <w:jc w:val="center"/>
              <w:ind w:right="1105"/>
              <w:spacing w:after="0"/>
              <w:rPr>
                <w:sz w:val="20"/>
                <w:szCs w:val="20"/>
                <w:color w:val="auto"/>
              </w:rPr>
            </w:pPr>
            <w:r>
              <w:rPr>
                <w:rFonts w:ascii="Arial" w:cs="Arial" w:eastAsia="Arial" w:hAnsi="Arial"/>
                <w:sz w:val="22"/>
                <w:szCs w:val="22"/>
                <w:b w:val="1"/>
                <w:bCs w:val="1"/>
                <w:color w:val="auto"/>
                <w:w w:val="98"/>
              </w:rPr>
              <w:t>FORM 10-Q</w:t>
            </w:r>
          </w:p>
        </w:tc>
      </w:tr>
      <w:tr>
        <w:trPr>
          <w:trHeight w:val="153"/>
        </w:trPr>
        <w:tc>
          <w:tcPr>
            <w:tcW w:w="8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10080" w:type="dxa"/>
            <w:vAlign w:val="bottom"/>
          </w:tcPr>
          <w:p>
            <w:pPr>
              <w:jc w:val="center"/>
              <w:ind w:right="1085"/>
              <w:spacing w:after="0"/>
              <w:rPr>
                <w:sz w:val="20"/>
                <w:szCs w:val="20"/>
                <w:color w:val="auto"/>
              </w:rPr>
            </w:pPr>
            <w:r>
              <w:rPr>
                <w:rFonts w:ascii="Arial" w:cs="Arial" w:eastAsia="Arial" w:hAnsi="Arial"/>
                <w:sz w:val="12"/>
                <w:szCs w:val="12"/>
                <w:color w:val="auto"/>
                <w:w w:val="89"/>
              </w:rPr>
              <w:t>__________________________________________________</w:t>
            </w:r>
          </w:p>
        </w:tc>
      </w:tr>
      <w:tr>
        <w:trPr>
          <w:trHeight w:val="301"/>
        </w:trPr>
        <w:tc>
          <w:tcPr>
            <w:tcW w:w="1260" w:type="dxa"/>
            <w:vAlign w:val="bottom"/>
            <w:gridSpan w:val="2"/>
          </w:tcPr>
          <w:p>
            <w:pPr>
              <w:spacing w:after="0" w:line="141" w:lineRule="exact"/>
              <w:rPr>
                <w:sz w:val="20"/>
                <w:szCs w:val="20"/>
                <w:color w:val="auto"/>
              </w:rPr>
            </w:pPr>
            <w:r>
              <w:rPr>
                <w:rFonts w:ascii="MS PGothic" w:cs="MS PGothic" w:eastAsia="MS PGothic" w:hAnsi="MS PGothic"/>
                <w:sz w:val="14"/>
                <w:szCs w:val="14"/>
                <w:color w:val="auto"/>
              </w:rPr>
              <w:t>☒</w:t>
            </w:r>
          </w:p>
        </w:tc>
        <w:tc>
          <w:tcPr>
            <w:tcW w:w="10080" w:type="dxa"/>
            <w:vAlign w:val="bottom"/>
          </w:tcPr>
          <w:p>
            <w:pPr>
              <w:ind w:left="1120"/>
              <w:spacing w:after="0"/>
              <w:rPr>
                <w:sz w:val="20"/>
                <w:szCs w:val="20"/>
                <w:color w:val="auto"/>
              </w:rPr>
            </w:pPr>
            <w:r>
              <w:rPr>
                <w:rFonts w:ascii="Arial" w:cs="Arial" w:eastAsia="Arial" w:hAnsi="Arial"/>
                <w:sz w:val="14"/>
                <w:szCs w:val="14"/>
                <w:b w:val="1"/>
                <w:bCs w:val="1"/>
                <w:color w:val="auto"/>
              </w:rPr>
              <w:t>QUARTERLY REPORT PURSUANT TO SECTION 13 OR 15(D) OF THE SECURITIES EXCHANGE ACT OF 1934</w:t>
            </w:r>
          </w:p>
        </w:tc>
      </w:tr>
      <w:tr>
        <w:trPr>
          <w:trHeight w:val="176"/>
        </w:trPr>
        <w:tc>
          <w:tcPr>
            <w:tcW w:w="8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10080" w:type="dxa"/>
            <w:vAlign w:val="bottom"/>
          </w:tcPr>
          <w:p>
            <w:pPr>
              <w:jc w:val="center"/>
              <w:ind w:right="1105"/>
              <w:spacing w:after="0"/>
              <w:rPr>
                <w:sz w:val="20"/>
                <w:szCs w:val="20"/>
                <w:color w:val="auto"/>
              </w:rPr>
            </w:pPr>
            <w:r>
              <w:rPr>
                <w:rFonts w:ascii="Arial" w:cs="Arial" w:eastAsia="Arial" w:hAnsi="Arial"/>
                <w:sz w:val="12"/>
                <w:szCs w:val="12"/>
                <w:b w:val="1"/>
                <w:bCs w:val="1"/>
                <w:color w:val="auto"/>
                <w:w w:val="90"/>
              </w:rPr>
              <w:t>For the quarterly period ended September 30, 2016</w:t>
            </w:r>
          </w:p>
        </w:tc>
      </w:tr>
      <w:tr>
        <w:trPr>
          <w:trHeight w:val="180"/>
        </w:trPr>
        <w:tc>
          <w:tcPr>
            <w:tcW w:w="8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10080" w:type="dxa"/>
            <w:vAlign w:val="bottom"/>
          </w:tcPr>
          <w:p>
            <w:pPr>
              <w:jc w:val="center"/>
              <w:ind w:right="1105"/>
              <w:spacing w:after="0"/>
              <w:rPr>
                <w:sz w:val="20"/>
                <w:szCs w:val="20"/>
                <w:color w:val="auto"/>
              </w:rPr>
            </w:pPr>
            <w:r>
              <w:rPr>
                <w:rFonts w:ascii="Arial" w:cs="Arial" w:eastAsia="Arial" w:hAnsi="Arial"/>
                <w:sz w:val="12"/>
                <w:szCs w:val="12"/>
                <w:b w:val="1"/>
                <w:bCs w:val="1"/>
                <w:color w:val="auto"/>
                <w:w w:val="99"/>
              </w:rPr>
              <w:t>OR</w:t>
            </w:r>
          </w:p>
        </w:tc>
      </w:tr>
      <w:tr>
        <w:trPr>
          <w:trHeight w:val="301"/>
        </w:trPr>
        <w:tc>
          <w:tcPr>
            <w:tcW w:w="1260" w:type="dxa"/>
            <w:vAlign w:val="bottom"/>
            <w:gridSpan w:val="2"/>
          </w:tcPr>
          <w:p>
            <w:pPr>
              <w:spacing w:after="0" w:line="141" w:lineRule="exact"/>
              <w:rPr>
                <w:sz w:val="20"/>
                <w:szCs w:val="20"/>
                <w:color w:val="auto"/>
              </w:rPr>
            </w:pPr>
            <w:r>
              <w:rPr>
                <w:rFonts w:ascii="MS PGothic" w:cs="MS PGothic" w:eastAsia="MS PGothic" w:hAnsi="MS PGothic"/>
                <w:sz w:val="14"/>
                <w:szCs w:val="14"/>
                <w:color w:val="auto"/>
              </w:rPr>
              <w:t>☐</w:t>
            </w:r>
          </w:p>
        </w:tc>
        <w:tc>
          <w:tcPr>
            <w:tcW w:w="10080" w:type="dxa"/>
            <w:vAlign w:val="bottom"/>
          </w:tcPr>
          <w:p>
            <w:pPr>
              <w:ind w:left="1120"/>
              <w:spacing w:after="0"/>
              <w:rPr>
                <w:sz w:val="20"/>
                <w:szCs w:val="20"/>
                <w:color w:val="auto"/>
              </w:rPr>
            </w:pPr>
            <w:r>
              <w:rPr>
                <w:rFonts w:ascii="Arial" w:cs="Arial" w:eastAsia="Arial" w:hAnsi="Arial"/>
                <w:sz w:val="14"/>
                <w:szCs w:val="14"/>
                <w:b w:val="1"/>
                <w:bCs w:val="1"/>
                <w:color w:val="auto"/>
              </w:rPr>
              <w:t>TRANSITION REPORT PURSUANT TO SECTION 13 OR 15(D) OF THE SECURITIES EXCHANGE ACT OF 1934</w:t>
            </w:r>
          </w:p>
        </w:tc>
      </w:tr>
      <w:tr>
        <w:trPr>
          <w:trHeight w:val="203"/>
        </w:trPr>
        <w:tc>
          <w:tcPr>
            <w:tcW w:w="8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10080" w:type="dxa"/>
            <w:vAlign w:val="bottom"/>
          </w:tcPr>
          <w:p>
            <w:pPr>
              <w:jc w:val="center"/>
              <w:ind w:right="1105"/>
              <w:spacing w:after="0"/>
              <w:rPr>
                <w:sz w:val="20"/>
                <w:szCs w:val="20"/>
                <w:color w:val="auto"/>
              </w:rPr>
            </w:pPr>
            <w:r>
              <w:rPr>
                <w:rFonts w:ascii="Arial" w:cs="Arial" w:eastAsia="Arial" w:hAnsi="Arial"/>
                <w:sz w:val="12"/>
                <w:szCs w:val="12"/>
                <w:b w:val="1"/>
                <w:bCs w:val="1"/>
                <w:color w:val="auto"/>
                <w:w w:val="90"/>
              </w:rPr>
              <w:t>Commission file number 001-34057</w:t>
            </w:r>
          </w:p>
        </w:tc>
      </w:tr>
      <w:tr>
        <w:trPr>
          <w:trHeight w:val="153"/>
        </w:trPr>
        <w:tc>
          <w:tcPr>
            <w:tcW w:w="8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10080" w:type="dxa"/>
            <w:vAlign w:val="bottom"/>
          </w:tcPr>
          <w:p>
            <w:pPr>
              <w:jc w:val="center"/>
              <w:ind w:right="1085"/>
              <w:spacing w:after="0"/>
              <w:rPr>
                <w:sz w:val="20"/>
                <w:szCs w:val="20"/>
                <w:color w:val="auto"/>
              </w:rPr>
            </w:pPr>
            <w:r>
              <w:rPr>
                <w:rFonts w:ascii="Arial" w:cs="Arial" w:eastAsia="Arial" w:hAnsi="Arial"/>
                <w:sz w:val="12"/>
                <w:szCs w:val="12"/>
                <w:color w:val="auto"/>
                <w:w w:val="89"/>
              </w:rPr>
              <w:t>__________________________________________________</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208915</wp:posOffset>
            </wp:positionH>
            <wp:positionV relativeFrom="page">
              <wp:posOffset>191770</wp:posOffset>
            </wp:positionV>
            <wp:extent cx="7149465" cy="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49465" cy="5715"/>
                    </a:xfrm>
                    <a:prstGeom prst="rect">
                      <a:avLst/>
                    </a:prstGeom>
                    <a:noFill/>
                  </pic:spPr>
                </pic:pic>
              </a:graphicData>
            </a:graphic>
          </wp:anchor>
        </w:drawing>
        <w:drawing>
          <wp:anchor simplePos="0" relativeHeight="251657728" behindDoc="1" locked="0" layoutInCell="0" allowOverlap="1">
            <wp:simplePos x="0" y="0"/>
            <wp:positionH relativeFrom="column">
              <wp:posOffset>2826385</wp:posOffset>
            </wp:positionH>
            <wp:positionV relativeFrom="paragraph">
              <wp:posOffset>68580</wp:posOffset>
            </wp:positionV>
            <wp:extent cx="1635760" cy="5035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635760" cy="50355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2" w:lineRule="exact"/>
        <w:rPr>
          <w:sz w:val="24"/>
          <w:szCs w:val="24"/>
          <w:color w:val="auto"/>
        </w:rPr>
      </w:pPr>
    </w:p>
    <w:tbl>
      <w:tblPr>
        <w:tblLayout w:type="fixed"/>
        <w:tblInd w:w="2100" w:type="dxa"/>
        <w:tblCellMar>
          <w:top w:w="0" w:type="dxa"/>
          <w:left w:w="0" w:type="dxa"/>
          <w:bottom w:w="0" w:type="dxa"/>
          <w:right w:w="0" w:type="dxa"/>
        </w:tblCellMar>
      </w:tblPr>
      <w:tr>
        <w:trPr>
          <w:trHeight w:val="348"/>
        </w:trPr>
        <w:tc>
          <w:tcPr>
            <w:tcW w:w="1520" w:type="dxa"/>
            <w:vAlign w:val="bottom"/>
          </w:tcPr>
          <w:p>
            <w:pPr>
              <w:spacing w:after="0"/>
              <w:rPr>
                <w:sz w:val="24"/>
                <w:szCs w:val="24"/>
                <w:color w:val="auto"/>
              </w:rPr>
            </w:pPr>
          </w:p>
        </w:tc>
        <w:tc>
          <w:tcPr>
            <w:tcW w:w="5600" w:type="dxa"/>
            <w:vAlign w:val="bottom"/>
          </w:tcPr>
          <w:p>
            <w:pPr>
              <w:jc w:val="center"/>
              <w:ind w:right="1296"/>
              <w:spacing w:after="0"/>
              <w:rPr>
                <w:sz w:val="20"/>
                <w:szCs w:val="20"/>
                <w:color w:val="auto"/>
              </w:rPr>
            </w:pPr>
            <w:r>
              <w:rPr>
                <w:rFonts w:ascii="Arial" w:cs="Arial" w:eastAsia="Arial" w:hAnsi="Arial"/>
                <w:sz w:val="29"/>
                <w:szCs w:val="29"/>
                <w:b w:val="1"/>
                <w:bCs w:val="1"/>
                <w:color w:val="auto"/>
                <w:w w:val="99"/>
              </w:rPr>
              <w:t>AGNC INVESTMENT CORP.</w:t>
            </w:r>
          </w:p>
        </w:tc>
      </w:tr>
      <w:tr>
        <w:trPr>
          <w:trHeight w:val="148"/>
        </w:trPr>
        <w:tc>
          <w:tcPr>
            <w:tcW w:w="1520" w:type="dxa"/>
            <w:vAlign w:val="bottom"/>
          </w:tcPr>
          <w:p>
            <w:pPr>
              <w:spacing w:after="0"/>
              <w:rPr>
                <w:sz w:val="12"/>
                <w:szCs w:val="12"/>
                <w:color w:val="auto"/>
              </w:rPr>
            </w:pPr>
          </w:p>
        </w:tc>
        <w:tc>
          <w:tcPr>
            <w:tcW w:w="5600" w:type="dxa"/>
            <w:vAlign w:val="bottom"/>
          </w:tcPr>
          <w:p>
            <w:pPr>
              <w:jc w:val="center"/>
              <w:ind w:right="1316"/>
              <w:spacing w:after="0"/>
              <w:rPr>
                <w:sz w:val="20"/>
                <w:szCs w:val="20"/>
                <w:color w:val="auto"/>
              </w:rPr>
            </w:pPr>
            <w:r>
              <w:rPr>
                <w:rFonts w:ascii="Arial" w:cs="Arial" w:eastAsia="Arial" w:hAnsi="Arial"/>
                <w:sz w:val="12"/>
                <w:szCs w:val="12"/>
                <w:b w:val="1"/>
                <w:bCs w:val="1"/>
                <w:color w:val="auto"/>
                <w:w w:val="90"/>
              </w:rPr>
              <w:t>(Exact name of registrant as specified in its charter)</w:t>
            </w:r>
          </w:p>
        </w:tc>
      </w:tr>
      <w:tr>
        <w:trPr>
          <w:trHeight w:val="153"/>
        </w:trPr>
        <w:tc>
          <w:tcPr>
            <w:tcW w:w="1520" w:type="dxa"/>
            <w:vAlign w:val="bottom"/>
          </w:tcPr>
          <w:p>
            <w:pPr>
              <w:spacing w:after="0"/>
              <w:rPr>
                <w:sz w:val="13"/>
                <w:szCs w:val="13"/>
                <w:color w:val="auto"/>
              </w:rPr>
            </w:pPr>
          </w:p>
        </w:tc>
        <w:tc>
          <w:tcPr>
            <w:tcW w:w="5600" w:type="dxa"/>
            <w:vAlign w:val="bottom"/>
          </w:tcPr>
          <w:p>
            <w:pPr>
              <w:jc w:val="right"/>
              <w:ind w:right="1916"/>
              <w:spacing w:after="0"/>
              <w:rPr>
                <w:sz w:val="20"/>
                <w:szCs w:val="20"/>
                <w:color w:val="auto"/>
              </w:rPr>
            </w:pPr>
            <w:r>
              <w:rPr>
                <w:rFonts w:ascii="Arial" w:cs="Arial" w:eastAsia="Arial" w:hAnsi="Arial"/>
                <w:sz w:val="12"/>
                <w:szCs w:val="12"/>
                <w:color w:val="auto"/>
              </w:rPr>
              <w:t>__________________________________________________</w:t>
            </w:r>
          </w:p>
        </w:tc>
      </w:tr>
      <w:tr>
        <w:trPr>
          <w:trHeight w:val="252"/>
        </w:trPr>
        <w:tc>
          <w:tcPr>
            <w:tcW w:w="1520" w:type="dxa"/>
            <w:vAlign w:val="bottom"/>
          </w:tcPr>
          <w:p>
            <w:pPr>
              <w:jc w:val="center"/>
              <w:ind w:right="148"/>
              <w:spacing w:after="0"/>
              <w:rPr>
                <w:sz w:val="20"/>
                <w:szCs w:val="20"/>
                <w:color w:val="auto"/>
              </w:rPr>
            </w:pPr>
            <w:r>
              <w:rPr>
                <w:rFonts w:ascii="Arial" w:cs="Arial" w:eastAsia="Arial" w:hAnsi="Arial"/>
                <w:sz w:val="12"/>
                <w:szCs w:val="12"/>
                <w:b w:val="1"/>
                <w:bCs w:val="1"/>
                <w:color w:val="auto"/>
                <w:w w:val="91"/>
              </w:rPr>
              <w:t>Delaware</w:t>
            </w:r>
          </w:p>
        </w:tc>
        <w:tc>
          <w:tcPr>
            <w:tcW w:w="5600" w:type="dxa"/>
            <w:vAlign w:val="bottom"/>
          </w:tcPr>
          <w:p>
            <w:pPr>
              <w:jc w:val="center"/>
              <w:ind w:left="4756"/>
              <w:spacing w:after="0"/>
              <w:rPr>
                <w:sz w:val="20"/>
                <w:szCs w:val="20"/>
                <w:color w:val="auto"/>
              </w:rPr>
            </w:pPr>
            <w:r>
              <w:rPr>
                <w:rFonts w:ascii="Arial" w:cs="Arial" w:eastAsia="Arial" w:hAnsi="Arial"/>
                <w:sz w:val="12"/>
                <w:szCs w:val="12"/>
                <w:b w:val="1"/>
                <w:bCs w:val="1"/>
                <w:color w:val="auto"/>
                <w:w w:val="90"/>
              </w:rPr>
              <w:t>26-1701984</w:t>
            </w:r>
          </w:p>
        </w:tc>
      </w:tr>
      <w:tr>
        <w:trPr>
          <w:trHeight w:val="121"/>
        </w:trPr>
        <w:tc>
          <w:tcPr>
            <w:tcW w:w="1520" w:type="dxa"/>
            <w:vAlign w:val="bottom"/>
          </w:tcPr>
          <w:p>
            <w:pPr>
              <w:jc w:val="center"/>
              <w:ind w:right="148"/>
              <w:spacing w:after="0"/>
              <w:rPr>
                <w:sz w:val="20"/>
                <w:szCs w:val="20"/>
                <w:color w:val="auto"/>
              </w:rPr>
            </w:pPr>
            <w:r>
              <w:rPr>
                <w:rFonts w:ascii="Arial" w:cs="Arial" w:eastAsia="Arial" w:hAnsi="Arial"/>
                <w:sz w:val="10"/>
                <w:szCs w:val="10"/>
                <w:b w:val="1"/>
                <w:bCs w:val="1"/>
                <w:color w:val="auto"/>
                <w:w w:val="87"/>
              </w:rPr>
              <w:t>(State or Other Jurisdiction of</w:t>
            </w:r>
          </w:p>
        </w:tc>
        <w:tc>
          <w:tcPr>
            <w:tcW w:w="5600" w:type="dxa"/>
            <w:vAlign w:val="bottom"/>
          </w:tcPr>
          <w:p>
            <w:pPr>
              <w:jc w:val="center"/>
              <w:ind w:left="4776"/>
              <w:spacing w:after="0"/>
              <w:rPr>
                <w:sz w:val="20"/>
                <w:szCs w:val="20"/>
                <w:color w:val="auto"/>
              </w:rPr>
            </w:pPr>
            <w:r>
              <w:rPr>
                <w:rFonts w:ascii="Arial" w:cs="Arial" w:eastAsia="Arial" w:hAnsi="Arial"/>
                <w:sz w:val="10"/>
                <w:szCs w:val="10"/>
                <w:b w:val="1"/>
                <w:bCs w:val="1"/>
                <w:color w:val="auto"/>
                <w:w w:val="88"/>
              </w:rPr>
              <w:t>(I.R.S. Employer</w:t>
            </w:r>
          </w:p>
        </w:tc>
      </w:tr>
      <w:tr>
        <w:trPr>
          <w:trHeight w:val="124"/>
        </w:trPr>
        <w:tc>
          <w:tcPr>
            <w:tcW w:w="1520" w:type="dxa"/>
            <w:vAlign w:val="bottom"/>
          </w:tcPr>
          <w:p>
            <w:pPr>
              <w:jc w:val="center"/>
              <w:ind w:right="168"/>
              <w:spacing w:after="0"/>
              <w:rPr>
                <w:sz w:val="20"/>
                <w:szCs w:val="20"/>
                <w:color w:val="auto"/>
              </w:rPr>
            </w:pPr>
            <w:r>
              <w:rPr>
                <w:rFonts w:ascii="Arial" w:cs="Arial" w:eastAsia="Arial" w:hAnsi="Arial"/>
                <w:sz w:val="10"/>
                <w:szCs w:val="10"/>
                <w:b w:val="1"/>
                <w:bCs w:val="1"/>
                <w:color w:val="auto"/>
                <w:w w:val="89"/>
              </w:rPr>
              <w:t>Incorporation or Organization)</w:t>
            </w:r>
          </w:p>
        </w:tc>
        <w:tc>
          <w:tcPr>
            <w:tcW w:w="5600" w:type="dxa"/>
            <w:vAlign w:val="bottom"/>
          </w:tcPr>
          <w:p>
            <w:pPr>
              <w:jc w:val="center"/>
              <w:ind w:left="4776"/>
              <w:spacing w:after="0"/>
              <w:rPr>
                <w:sz w:val="20"/>
                <w:szCs w:val="20"/>
                <w:color w:val="auto"/>
              </w:rPr>
            </w:pPr>
            <w:r>
              <w:rPr>
                <w:rFonts w:ascii="Arial" w:cs="Arial" w:eastAsia="Arial" w:hAnsi="Arial"/>
                <w:sz w:val="10"/>
                <w:szCs w:val="10"/>
                <w:b w:val="1"/>
                <w:bCs w:val="1"/>
                <w:color w:val="auto"/>
                <w:w w:val="89"/>
              </w:rPr>
              <w:t>Identification No.)</w:t>
            </w:r>
          </w:p>
        </w:tc>
      </w:tr>
      <w:tr>
        <w:trPr>
          <w:trHeight w:val="184"/>
        </w:trPr>
        <w:tc>
          <w:tcPr>
            <w:tcW w:w="1520" w:type="dxa"/>
            <w:vAlign w:val="bottom"/>
          </w:tcPr>
          <w:p>
            <w:pPr>
              <w:spacing w:after="0"/>
              <w:rPr>
                <w:sz w:val="16"/>
                <w:szCs w:val="16"/>
                <w:color w:val="auto"/>
              </w:rPr>
            </w:pPr>
          </w:p>
        </w:tc>
        <w:tc>
          <w:tcPr>
            <w:tcW w:w="5600" w:type="dxa"/>
            <w:vAlign w:val="bottom"/>
          </w:tcPr>
          <w:p>
            <w:pPr>
              <w:jc w:val="center"/>
              <w:ind w:right="1296"/>
              <w:spacing w:after="0"/>
              <w:rPr>
                <w:sz w:val="20"/>
                <w:szCs w:val="20"/>
                <w:color w:val="auto"/>
              </w:rPr>
            </w:pPr>
            <w:r>
              <w:rPr>
                <w:rFonts w:ascii="Arial" w:cs="Arial" w:eastAsia="Arial" w:hAnsi="Arial"/>
                <w:sz w:val="12"/>
                <w:szCs w:val="12"/>
                <w:b w:val="1"/>
                <w:bCs w:val="1"/>
                <w:color w:val="auto"/>
                <w:w w:val="91"/>
              </w:rPr>
              <w:t>2 Bethesda Metro Center, 12th Floor</w:t>
            </w:r>
          </w:p>
        </w:tc>
      </w:tr>
      <w:tr>
        <w:trPr>
          <w:trHeight w:val="144"/>
        </w:trPr>
        <w:tc>
          <w:tcPr>
            <w:tcW w:w="1520" w:type="dxa"/>
            <w:vAlign w:val="bottom"/>
          </w:tcPr>
          <w:p>
            <w:pPr>
              <w:spacing w:after="0"/>
              <w:rPr>
                <w:sz w:val="12"/>
                <w:szCs w:val="12"/>
                <w:color w:val="auto"/>
              </w:rPr>
            </w:pPr>
          </w:p>
        </w:tc>
        <w:tc>
          <w:tcPr>
            <w:tcW w:w="5600" w:type="dxa"/>
            <w:vAlign w:val="bottom"/>
          </w:tcPr>
          <w:p>
            <w:pPr>
              <w:jc w:val="center"/>
              <w:ind w:right="1316"/>
              <w:spacing w:after="0"/>
              <w:rPr>
                <w:sz w:val="20"/>
                <w:szCs w:val="20"/>
                <w:color w:val="auto"/>
              </w:rPr>
            </w:pPr>
            <w:r>
              <w:rPr>
                <w:rFonts w:ascii="Arial" w:cs="Arial" w:eastAsia="Arial" w:hAnsi="Arial"/>
                <w:sz w:val="12"/>
                <w:szCs w:val="12"/>
                <w:b w:val="1"/>
                <w:bCs w:val="1"/>
                <w:color w:val="auto"/>
                <w:w w:val="91"/>
              </w:rPr>
              <w:t>Bethesda, Maryland 20814</w:t>
            </w:r>
          </w:p>
        </w:tc>
      </w:tr>
      <w:tr>
        <w:trPr>
          <w:trHeight w:val="144"/>
        </w:trPr>
        <w:tc>
          <w:tcPr>
            <w:tcW w:w="1520" w:type="dxa"/>
            <w:vAlign w:val="bottom"/>
          </w:tcPr>
          <w:p>
            <w:pPr>
              <w:spacing w:after="0"/>
              <w:rPr>
                <w:sz w:val="12"/>
                <w:szCs w:val="12"/>
                <w:color w:val="auto"/>
              </w:rPr>
            </w:pPr>
          </w:p>
        </w:tc>
        <w:tc>
          <w:tcPr>
            <w:tcW w:w="5600" w:type="dxa"/>
            <w:vAlign w:val="bottom"/>
          </w:tcPr>
          <w:p>
            <w:pPr>
              <w:jc w:val="center"/>
              <w:ind w:right="1316"/>
              <w:spacing w:after="0"/>
              <w:rPr>
                <w:sz w:val="20"/>
                <w:szCs w:val="20"/>
                <w:color w:val="auto"/>
              </w:rPr>
            </w:pPr>
            <w:r>
              <w:rPr>
                <w:rFonts w:ascii="Arial" w:cs="Arial" w:eastAsia="Arial" w:hAnsi="Arial"/>
                <w:sz w:val="12"/>
                <w:szCs w:val="12"/>
                <w:b w:val="1"/>
                <w:bCs w:val="1"/>
                <w:color w:val="auto"/>
                <w:w w:val="88"/>
              </w:rPr>
              <w:t>(Address of principal executive offices)</w:t>
            </w:r>
          </w:p>
        </w:tc>
      </w:tr>
      <w:tr>
        <w:trPr>
          <w:trHeight w:val="143"/>
        </w:trPr>
        <w:tc>
          <w:tcPr>
            <w:tcW w:w="1520" w:type="dxa"/>
            <w:vAlign w:val="bottom"/>
          </w:tcPr>
          <w:p>
            <w:pPr>
              <w:spacing w:after="0"/>
              <w:rPr>
                <w:sz w:val="12"/>
                <w:szCs w:val="12"/>
                <w:color w:val="auto"/>
              </w:rPr>
            </w:pPr>
          </w:p>
        </w:tc>
        <w:tc>
          <w:tcPr>
            <w:tcW w:w="5600" w:type="dxa"/>
            <w:vAlign w:val="bottom"/>
          </w:tcPr>
          <w:p>
            <w:pPr>
              <w:jc w:val="right"/>
              <w:ind w:right="3056"/>
              <w:spacing w:after="0"/>
              <w:rPr>
                <w:sz w:val="20"/>
                <w:szCs w:val="20"/>
                <w:color w:val="auto"/>
              </w:rPr>
            </w:pPr>
            <w:r>
              <w:rPr>
                <w:rFonts w:ascii="Arial" w:cs="Arial" w:eastAsia="Arial" w:hAnsi="Arial"/>
                <w:sz w:val="12"/>
                <w:szCs w:val="12"/>
                <w:b w:val="1"/>
                <w:bCs w:val="1"/>
                <w:color w:val="auto"/>
              </w:rPr>
              <w:t>(301) 968-9315</w:t>
            </w:r>
          </w:p>
        </w:tc>
      </w:tr>
      <w:tr>
        <w:trPr>
          <w:trHeight w:val="114"/>
        </w:trPr>
        <w:tc>
          <w:tcPr>
            <w:tcW w:w="1520" w:type="dxa"/>
            <w:vAlign w:val="bottom"/>
          </w:tcPr>
          <w:p>
            <w:pPr>
              <w:spacing w:after="0"/>
              <w:rPr>
                <w:sz w:val="9"/>
                <w:szCs w:val="9"/>
                <w:color w:val="auto"/>
              </w:rPr>
            </w:pPr>
          </w:p>
        </w:tc>
        <w:tc>
          <w:tcPr>
            <w:tcW w:w="5600" w:type="dxa"/>
            <w:vAlign w:val="bottom"/>
          </w:tcPr>
          <w:p>
            <w:pPr>
              <w:jc w:val="center"/>
              <w:ind w:right="1296"/>
              <w:spacing w:after="0" w:line="114" w:lineRule="exact"/>
              <w:rPr>
                <w:sz w:val="20"/>
                <w:szCs w:val="20"/>
                <w:color w:val="auto"/>
              </w:rPr>
            </w:pPr>
            <w:r>
              <w:rPr>
                <w:rFonts w:ascii="Arial" w:cs="Arial" w:eastAsia="Arial" w:hAnsi="Arial"/>
                <w:sz w:val="10"/>
                <w:szCs w:val="10"/>
                <w:b w:val="1"/>
                <w:bCs w:val="1"/>
                <w:color w:val="auto"/>
                <w:w w:val="85"/>
              </w:rPr>
              <w:t>(Registrant’s telephone number, including area code)</w:t>
            </w:r>
          </w:p>
        </w:tc>
      </w:tr>
      <w:tr>
        <w:trPr>
          <w:trHeight w:val="153"/>
        </w:trPr>
        <w:tc>
          <w:tcPr>
            <w:tcW w:w="1520" w:type="dxa"/>
            <w:vAlign w:val="bottom"/>
          </w:tcPr>
          <w:p>
            <w:pPr>
              <w:spacing w:after="0"/>
              <w:rPr>
                <w:sz w:val="13"/>
                <w:szCs w:val="13"/>
                <w:color w:val="auto"/>
              </w:rPr>
            </w:pPr>
          </w:p>
        </w:tc>
        <w:tc>
          <w:tcPr>
            <w:tcW w:w="5600" w:type="dxa"/>
            <w:vAlign w:val="bottom"/>
          </w:tcPr>
          <w:p>
            <w:pPr>
              <w:jc w:val="center"/>
              <w:ind w:right="1296"/>
              <w:spacing w:after="0"/>
              <w:rPr>
                <w:sz w:val="20"/>
                <w:szCs w:val="20"/>
                <w:color w:val="auto"/>
              </w:rPr>
            </w:pPr>
            <w:r>
              <w:rPr>
                <w:rFonts w:ascii="Arial" w:cs="Arial" w:eastAsia="Arial" w:hAnsi="Arial"/>
                <w:sz w:val="12"/>
                <w:szCs w:val="12"/>
                <w:color w:val="auto"/>
                <w:w w:val="89"/>
              </w:rPr>
              <w:t>__________________________________________________</w:t>
            </w:r>
          </w:p>
        </w:tc>
      </w:tr>
    </w:tbl>
    <w:p>
      <w:pPr>
        <w:spacing w:after="0" w:line="27" w:lineRule="exact"/>
        <w:rPr>
          <w:sz w:val="24"/>
          <w:szCs w:val="24"/>
          <w:color w:val="auto"/>
        </w:rPr>
      </w:pPr>
    </w:p>
    <w:p>
      <w:pPr>
        <w:ind w:firstLine="288"/>
        <w:spacing w:after="0" w:line="155" w:lineRule="exact"/>
        <w:rPr>
          <w:sz w:val="20"/>
          <w:szCs w:val="20"/>
          <w:color w:val="auto"/>
        </w:rPr>
      </w:pPr>
      <w:r>
        <w:rPr>
          <w:rFonts w:ascii="Arial" w:cs="Arial" w:eastAsia="Arial" w:hAnsi="Arial"/>
          <w:sz w:val="12"/>
          <w:szCs w:val="12"/>
          <w:color w:val="auto"/>
        </w:rPr>
        <w:t xml:space="preserve">Indicate by check mark whether the registrant (1) has filed all reports to be filed by Section 13 or 15(d) of the Securities Exchange Act of 1934 during the preceding 12 months (or for such shorter earlier period that the registrant was required to file such reports), and (2) has been subject to such filing requirements for the past 90 days. Yes </w:t>
      </w:r>
      <w:r>
        <w:rPr>
          <w:rFonts w:ascii="MS PGothic" w:cs="MS PGothic" w:eastAsia="MS PGothic" w:hAnsi="MS PGothic"/>
          <w:sz w:val="12"/>
          <w:szCs w:val="12"/>
          <w:color w:val="auto"/>
        </w:rPr>
        <w:t>☒</w:t>
      </w:r>
      <w:r>
        <w:rPr>
          <w:rFonts w:ascii="Arial" w:cs="Arial" w:eastAsia="Arial" w:hAnsi="Arial"/>
          <w:sz w:val="12"/>
          <w:szCs w:val="12"/>
          <w:color w:val="auto"/>
        </w:rPr>
        <w:t xml:space="preserve"> No </w:t>
      </w:r>
      <w:r>
        <w:rPr>
          <w:rFonts w:ascii="MS PGothic" w:cs="MS PGothic" w:eastAsia="MS PGothic" w:hAnsi="MS PGothic"/>
          <w:sz w:val="12"/>
          <w:szCs w:val="12"/>
          <w:color w:val="auto"/>
        </w:rPr>
        <w:t>☐</w:t>
      </w:r>
    </w:p>
    <w:p>
      <w:pPr>
        <w:spacing w:after="0" w:line="16" w:lineRule="exact"/>
        <w:rPr>
          <w:sz w:val="24"/>
          <w:szCs w:val="24"/>
          <w:color w:val="auto"/>
        </w:rPr>
      </w:pPr>
    </w:p>
    <w:p>
      <w:pPr>
        <w:ind w:right="440" w:firstLine="288"/>
        <w:spacing w:after="0" w:line="155" w:lineRule="exact"/>
        <w:rPr>
          <w:sz w:val="20"/>
          <w:szCs w:val="20"/>
          <w:color w:val="auto"/>
        </w:rPr>
      </w:pPr>
      <w:r>
        <w:rPr>
          <w:rFonts w:ascii="Arial" w:cs="Arial" w:eastAsia="Arial" w:hAnsi="Arial"/>
          <w:sz w:val="12"/>
          <w:szCs w:val="12"/>
          <w:color w:val="auto"/>
        </w:rPr>
        <w:t xml:space="preserve">Indicate by check mark whether the registrant has submitted electronically and posted on its corporate Web site, if any, every Interactive Data File required to be submitted and posted pursuant to Rule 405 of Regulation S-T (§232.405 of this chapter) during the preceding 12 months (or for such shorter period that the registrant was required to submit and post such files). Yes </w:t>
      </w:r>
      <w:r>
        <w:rPr>
          <w:rFonts w:ascii="MS PGothic" w:cs="MS PGothic" w:eastAsia="MS PGothic" w:hAnsi="MS PGothic"/>
          <w:sz w:val="12"/>
          <w:szCs w:val="12"/>
          <w:color w:val="auto"/>
        </w:rPr>
        <w:t>☒</w:t>
      </w:r>
      <w:r>
        <w:rPr>
          <w:rFonts w:ascii="Arial" w:cs="Arial" w:eastAsia="Arial" w:hAnsi="Arial"/>
          <w:sz w:val="12"/>
          <w:szCs w:val="12"/>
          <w:color w:val="auto"/>
        </w:rPr>
        <w:t xml:space="preserve"> No </w:t>
      </w:r>
      <w:r>
        <w:rPr>
          <w:rFonts w:ascii="MS PGothic" w:cs="MS PGothic" w:eastAsia="MS PGothic" w:hAnsi="MS PGothic"/>
          <w:sz w:val="12"/>
          <w:szCs w:val="12"/>
          <w:color w:val="auto"/>
        </w:rPr>
        <w:t>☐</w:t>
      </w:r>
    </w:p>
    <w:p>
      <w:pPr>
        <w:spacing w:after="0" w:line="16" w:lineRule="exact"/>
        <w:rPr>
          <w:sz w:val="24"/>
          <w:szCs w:val="24"/>
          <w:color w:val="auto"/>
        </w:rPr>
      </w:pPr>
    </w:p>
    <w:p>
      <w:pPr>
        <w:ind w:firstLine="288"/>
        <w:spacing w:after="0" w:line="276" w:lineRule="auto"/>
        <w:rPr>
          <w:sz w:val="20"/>
          <w:szCs w:val="20"/>
          <w:color w:val="auto"/>
        </w:rPr>
      </w:pPr>
      <w:r>
        <w:rPr>
          <w:rFonts w:ascii="Arial" w:cs="Arial" w:eastAsia="Arial" w:hAnsi="Arial"/>
          <w:sz w:val="12"/>
          <w:szCs w:val="12"/>
          <w:color w:val="auto"/>
        </w:rPr>
        <w:t>Indicate by check mark whether the registrant is a large accelerated filer, an accelerated filer, a non-accelerated filer or a smaller reporting company. See definition of "large accelerated filer," "accelerated filer" and "smaller reporting company" in Rule 12b-2 of the Exchange Act.</w:t>
      </w:r>
    </w:p>
    <w:p>
      <w:pPr>
        <w:spacing w:after="0" w:line="93" w:lineRule="exact"/>
        <w:rPr>
          <w:sz w:val="24"/>
          <w:szCs w:val="24"/>
          <w:color w:val="auto"/>
        </w:rPr>
      </w:pPr>
    </w:p>
    <w:tbl>
      <w:tblPr>
        <w:tblLayout w:type="fixed"/>
        <w:tblInd w:w="20" w:type="dxa"/>
        <w:tblCellMar>
          <w:top w:w="0" w:type="dxa"/>
          <w:left w:w="0" w:type="dxa"/>
          <w:bottom w:w="0" w:type="dxa"/>
          <w:right w:w="0" w:type="dxa"/>
        </w:tblCellMar>
      </w:tblPr>
      <w:tr>
        <w:trPr>
          <w:trHeight w:val="187"/>
        </w:trPr>
        <w:tc>
          <w:tcPr>
            <w:tcW w:w="1880" w:type="dxa"/>
            <w:vAlign w:val="bottom"/>
            <w:gridSpan w:val="2"/>
          </w:tcPr>
          <w:p>
            <w:pPr>
              <w:spacing w:after="0"/>
              <w:rPr>
                <w:sz w:val="20"/>
                <w:szCs w:val="20"/>
                <w:color w:val="auto"/>
              </w:rPr>
            </w:pPr>
            <w:r>
              <w:rPr>
                <w:rFonts w:ascii="Arial" w:cs="Arial" w:eastAsia="Arial" w:hAnsi="Arial"/>
                <w:sz w:val="12"/>
                <w:szCs w:val="12"/>
                <w:color w:val="auto"/>
              </w:rPr>
              <w:t>Large accelerated filer</w:t>
            </w:r>
          </w:p>
        </w:tc>
        <w:tc>
          <w:tcPr>
            <w:tcW w:w="1040" w:type="dxa"/>
            <w:vAlign w:val="bottom"/>
          </w:tcPr>
          <w:p>
            <w:pPr>
              <w:ind w:left="820"/>
              <w:spacing w:after="0" w:line="121" w:lineRule="exact"/>
              <w:rPr>
                <w:sz w:val="20"/>
                <w:szCs w:val="20"/>
                <w:color w:val="auto"/>
              </w:rPr>
            </w:pPr>
            <w:r>
              <w:rPr>
                <w:rFonts w:ascii="MS PGothic" w:cs="MS PGothic" w:eastAsia="MS PGothic" w:hAnsi="MS PGothic"/>
                <w:sz w:val="12"/>
                <w:szCs w:val="12"/>
                <w:color w:val="auto"/>
              </w:rPr>
              <w:t>☒</w:t>
            </w:r>
          </w:p>
        </w:tc>
        <w:tc>
          <w:tcPr>
            <w:tcW w:w="3320" w:type="dxa"/>
            <w:vAlign w:val="bottom"/>
          </w:tcPr>
          <w:p>
            <w:pPr>
              <w:spacing w:after="0"/>
              <w:rPr>
                <w:sz w:val="16"/>
                <w:szCs w:val="16"/>
                <w:color w:val="auto"/>
              </w:rPr>
            </w:pPr>
          </w:p>
        </w:tc>
        <w:tc>
          <w:tcPr>
            <w:tcW w:w="3740" w:type="dxa"/>
            <w:vAlign w:val="bottom"/>
          </w:tcPr>
          <w:p>
            <w:pPr>
              <w:ind w:left="1420"/>
              <w:spacing w:after="0"/>
              <w:rPr>
                <w:sz w:val="20"/>
                <w:szCs w:val="20"/>
                <w:color w:val="auto"/>
              </w:rPr>
            </w:pPr>
            <w:r>
              <w:rPr>
                <w:rFonts w:ascii="Arial" w:cs="Arial" w:eastAsia="Arial" w:hAnsi="Arial"/>
                <w:sz w:val="12"/>
                <w:szCs w:val="12"/>
                <w:color w:val="auto"/>
              </w:rPr>
              <w:t>Accelerated filer</w:t>
            </w:r>
          </w:p>
        </w:tc>
        <w:tc>
          <w:tcPr>
            <w:tcW w:w="1360" w:type="dxa"/>
            <w:vAlign w:val="bottom"/>
          </w:tcPr>
          <w:p>
            <w:pPr>
              <w:ind w:left="940"/>
              <w:spacing w:after="0" w:line="121" w:lineRule="exact"/>
              <w:rPr>
                <w:sz w:val="20"/>
                <w:szCs w:val="20"/>
                <w:color w:val="auto"/>
              </w:rPr>
            </w:pPr>
            <w:r>
              <w:rPr>
                <w:rFonts w:ascii="MS PGothic" w:cs="MS PGothic" w:eastAsia="MS PGothic" w:hAnsi="MS PGothic"/>
                <w:sz w:val="12"/>
                <w:szCs w:val="12"/>
                <w:color w:val="auto"/>
              </w:rPr>
              <w:t>☐</w:t>
            </w:r>
          </w:p>
        </w:tc>
      </w:tr>
      <w:tr>
        <w:trPr>
          <w:trHeight w:val="297"/>
        </w:trPr>
        <w:tc>
          <w:tcPr>
            <w:tcW w:w="1880" w:type="dxa"/>
            <w:vAlign w:val="bottom"/>
            <w:gridSpan w:val="2"/>
          </w:tcPr>
          <w:p>
            <w:pPr>
              <w:spacing w:after="0"/>
              <w:rPr>
                <w:sz w:val="20"/>
                <w:szCs w:val="20"/>
                <w:color w:val="auto"/>
              </w:rPr>
            </w:pPr>
            <w:r>
              <w:rPr>
                <w:rFonts w:ascii="Arial" w:cs="Arial" w:eastAsia="Arial" w:hAnsi="Arial"/>
                <w:sz w:val="12"/>
                <w:szCs w:val="12"/>
                <w:color w:val="auto"/>
              </w:rPr>
              <w:t>Non-accelerated filer</w:t>
            </w:r>
          </w:p>
        </w:tc>
        <w:tc>
          <w:tcPr>
            <w:tcW w:w="1040" w:type="dxa"/>
            <w:vAlign w:val="bottom"/>
          </w:tcPr>
          <w:p>
            <w:pPr>
              <w:ind w:left="820"/>
              <w:spacing w:after="0" w:line="121" w:lineRule="exact"/>
              <w:rPr>
                <w:sz w:val="20"/>
                <w:szCs w:val="20"/>
                <w:color w:val="auto"/>
              </w:rPr>
            </w:pPr>
            <w:r>
              <w:rPr>
                <w:rFonts w:ascii="MS PGothic" w:cs="MS PGothic" w:eastAsia="MS PGothic" w:hAnsi="MS PGothic"/>
                <w:sz w:val="12"/>
                <w:szCs w:val="12"/>
                <w:color w:val="auto"/>
              </w:rPr>
              <w:t>☐</w:t>
            </w:r>
          </w:p>
        </w:tc>
        <w:tc>
          <w:tcPr>
            <w:tcW w:w="3320" w:type="dxa"/>
            <w:vAlign w:val="bottom"/>
          </w:tcPr>
          <w:p>
            <w:pPr>
              <w:ind w:left="120"/>
              <w:spacing w:after="0"/>
              <w:rPr>
                <w:sz w:val="20"/>
                <w:szCs w:val="20"/>
                <w:color w:val="auto"/>
              </w:rPr>
            </w:pPr>
            <w:r>
              <w:rPr>
                <w:rFonts w:ascii="Arial" w:cs="Arial" w:eastAsia="Arial" w:hAnsi="Arial"/>
                <w:sz w:val="12"/>
                <w:szCs w:val="12"/>
                <w:color w:val="auto"/>
              </w:rPr>
              <w:t>(Do not check if a smaller reporting company)</w:t>
            </w:r>
          </w:p>
        </w:tc>
        <w:tc>
          <w:tcPr>
            <w:tcW w:w="3740" w:type="dxa"/>
            <w:vAlign w:val="bottom"/>
          </w:tcPr>
          <w:p>
            <w:pPr>
              <w:ind w:left="1420"/>
              <w:spacing w:after="0"/>
              <w:rPr>
                <w:sz w:val="20"/>
                <w:szCs w:val="20"/>
                <w:color w:val="auto"/>
              </w:rPr>
            </w:pPr>
            <w:r>
              <w:rPr>
                <w:rFonts w:ascii="Arial" w:cs="Arial" w:eastAsia="Arial" w:hAnsi="Arial"/>
                <w:sz w:val="12"/>
                <w:szCs w:val="12"/>
                <w:color w:val="auto"/>
              </w:rPr>
              <w:t>Smaller Reporting Company</w:t>
            </w:r>
          </w:p>
        </w:tc>
        <w:tc>
          <w:tcPr>
            <w:tcW w:w="1360" w:type="dxa"/>
            <w:vAlign w:val="bottom"/>
          </w:tcPr>
          <w:p>
            <w:pPr>
              <w:ind w:left="940"/>
              <w:spacing w:after="0" w:line="121" w:lineRule="exact"/>
              <w:rPr>
                <w:sz w:val="20"/>
                <w:szCs w:val="20"/>
                <w:color w:val="auto"/>
              </w:rPr>
            </w:pPr>
            <w:r>
              <w:rPr>
                <w:rFonts w:ascii="MS PGothic" w:cs="MS PGothic" w:eastAsia="MS PGothic" w:hAnsi="MS PGothic"/>
                <w:sz w:val="12"/>
                <w:szCs w:val="12"/>
                <w:color w:val="auto"/>
              </w:rPr>
              <w:t>☐</w:t>
            </w:r>
          </w:p>
        </w:tc>
      </w:tr>
      <w:tr>
        <w:trPr>
          <w:trHeight w:val="186"/>
        </w:trPr>
        <w:tc>
          <w:tcPr>
            <w:tcW w:w="80" w:type="dxa"/>
            <w:vAlign w:val="bottom"/>
          </w:tcPr>
          <w:p>
            <w:pPr>
              <w:spacing w:after="0"/>
              <w:rPr>
                <w:sz w:val="16"/>
                <w:szCs w:val="16"/>
                <w:color w:val="auto"/>
              </w:rPr>
            </w:pPr>
          </w:p>
        </w:tc>
        <w:tc>
          <w:tcPr>
            <w:tcW w:w="6160" w:type="dxa"/>
            <w:vAlign w:val="bottom"/>
            <w:gridSpan w:val="3"/>
          </w:tcPr>
          <w:p>
            <w:pPr>
              <w:ind w:left="180"/>
              <w:spacing w:after="0" w:line="138" w:lineRule="exact"/>
              <w:rPr>
                <w:sz w:val="20"/>
                <w:szCs w:val="20"/>
                <w:color w:val="auto"/>
              </w:rPr>
            </w:pPr>
            <w:r>
              <w:rPr>
                <w:rFonts w:ascii="Arial" w:cs="Arial" w:eastAsia="Arial" w:hAnsi="Arial"/>
                <w:sz w:val="12"/>
                <w:szCs w:val="12"/>
                <w:color w:val="auto"/>
                <w:w w:val="92"/>
              </w:rPr>
              <w:t xml:space="preserve">Indicate by check mark whether the registrant is a shell company (as defined in Rule 12b-2 of the Exchange Act).  Yes </w:t>
            </w:r>
            <w:r>
              <w:rPr>
                <w:rFonts w:ascii="MS PGothic" w:cs="MS PGothic" w:eastAsia="MS PGothic" w:hAnsi="MS PGothic"/>
                <w:sz w:val="12"/>
                <w:szCs w:val="12"/>
                <w:color w:val="auto"/>
                <w:w w:val="92"/>
              </w:rPr>
              <w:t>☐</w:t>
            </w:r>
          </w:p>
        </w:tc>
        <w:tc>
          <w:tcPr>
            <w:tcW w:w="3740" w:type="dxa"/>
            <w:vAlign w:val="bottom"/>
          </w:tcPr>
          <w:p>
            <w:pPr>
              <w:ind w:left="60"/>
              <w:spacing w:after="0" w:line="138" w:lineRule="exact"/>
              <w:rPr>
                <w:sz w:val="20"/>
                <w:szCs w:val="20"/>
                <w:color w:val="auto"/>
              </w:rPr>
            </w:pPr>
            <w:r>
              <w:rPr>
                <w:rFonts w:ascii="Arial" w:cs="Arial" w:eastAsia="Arial" w:hAnsi="Arial"/>
                <w:sz w:val="12"/>
                <w:szCs w:val="12"/>
                <w:color w:val="auto"/>
              </w:rPr>
              <w:t xml:space="preserve">No </w:t>
            </w:r>
            <w:r>
              <w:rPr>
                <w:rFonts w:ascii="MS PGothic" w:cs="MS PGothic" w:eastAsia="MS PGothic" w:hAnsi="MS PGothic"/>
                <w:sz w:val="12"/>
                <w:szCs w:val="12"/>
                <w:color w:val="auto"/>
              </w:rPr>
              <w:t>☒</w:t>
            </w:r>
          </w:p>
        </w:tc>
        <w:tc>
          <w:tcPr>
            <w:tcW w:w="1360" w:type="dxa"/>
            <w:vAlign w:val="bottom"/>
          </w:tcPr>
          <w:p>
            <w:pPr>
              <w:spacing w:after="0"/>
              <w:rPr>
                <w:sz w:val="16"/>
                <w:szCs w:val="16"/>
                <w:color w:val="auto"/>
              </w:rPr>
            </w:pPr>
          </w:p>
        </w:tc>
      </w:tr>
      <w:tr>
        <w:trPr>
          <w:trHeight w:val="153"/>
        </w:trPr>
        <w:tc>
          <w:tcPr>
            <w:tcW w:w="80" w:type="dxa"/>
            <w:vAlign w:val="bottom"/>
          </w:tcPr>
          <w:p>
            <w:pPr>
              <w:spacing w:after="0"/>
              <w:rPr>
                <w:sz w:val="13"/>
                <w:szCs w:val="13"/>
                <w:color w:val="auto"/>
              </w:rPr>
            </w:pPr>
          </w:p>
        </w:tc>
        <w:tc>
          <w:tcPr>
            <w:tcW w:w="6160" w:type="dxa"/>
            <w:vAlign w:val="bottom"/>
            <w:gridSpan w:val="3"/>
          </w:tcPr>
          <w:p>
            <w:pPr>
              <w:ind w:left="100"/>
              <w:spacing w:after="0"/>
              <w:rPr>
                <w:sz w:val="20"/>
                <w:szCs w:val="20"/>
                <w:color w:val="auto"/>
              </w:rPr>
            </w:pPr>
            <w:r>
              <w:rPr>
                <w:rFonts w:ascii="Arial" w:cs="Arial" w:eastAsia="Arial" w:hAnsi="Arial"/>
                <w:sz w:val="12"/>
                <w:szCs w:val="12"/>
                <w:color w:val="auto"/>
                <w:w w:val="91"/>
              </w:rPr>
              <w:t>The number of shares of the issuer's common stock, $0.01 par value, outstanding as of October 31, 2016 was 331,046,077.</w:t>
            </w:r>
          </w:p>
        </w:tc>
        <w:tc>
          <w:tcPr>
            <w:tcW w:w="3740" w:type="dxa"/>
            <w:vAlign w:val="bottom"/>
          </w:tcPr>
          <w:p>
            <w:pPr>
              <w:spacing w:after="0"/>
              <w:rPr>
                <w:sz w:val="13"/>
                <w:szCs w:val="13"/>
                <w:color w:val="auto"/>
              </w:rPr>
            </w:pPr>
          </w:p>
        </w:tc>
        <w:tc>
          <w:tcPr>
            <w:tcW w:w="1360" w:type="dxa"/>
            <w:vAlign w:val="bottom"/>
          </w:tcPr>
          <w:p>
            <w:pPr>
              <w:spacing w:after="0"/>
              <w:rPr>
                <w:sz w:val="13"/>
                <w:szCs w:val="13"/>
                <w:color w:val="auto"/>
              </w:rPr>
            </w:pPr>
          </w:p>
        </w:tc>
      </w:tr>
      <w:tr>
        <w:trPr>
          <w:trHeight w:val="90"/>
        </w:trPr>
        <w:tc>
          <w:tcPr>
            <w:tcW w:w="80" w:type="dxa"/>
            <w:vAlign w:val="bottom"/>
          </w:tcPr>
          <w:p>
            <w:pPr>
              <w:spacing w:after="0"/>
              <w:rPr>
                <w:sz w:val="7"/>
                <w:szCs w:val="7"/>
                <w:color w:val="auto"/>
              </w:rPr>
            </w:pPr>
          </w:p>
        </w:tc>
        <w:tc>
          <w:tcPr>
            <w:tcW w:w="1800" w:type="dxa"/>
            <w:vAlign w:val="bottom"/>
            <w:tcBorders>
              <w:bottom w:val="single" w:sz="8" w:color="auto"/>
            </w:tcBorders>
          </w:tcPr>
          <w:p>
            <w:pPr>
              <w:spacing w:after="0"/>
              <w:rPr>
                <w:sz w:val="7"/>
                <w:szCs w:val="7"/>
                <w:color w:val="auto"/>
              </w:rPr>
            </w:pPr>
          </w:p>
        </w:tc>
        <w:tc>
          <w:tcPr>
            <w:tcW w:w="1040" w:type="dxa"/>
            <w:vAlign w:val="bottom"/>
            <w:tcBorders>
              <w:bottom w:val="single" w:sz="8" w:color="auto"/>
            </w:tcBorders>
          </w:tcPr>
          <w:p>
            <w:pPr>
              <w:spacing w:after="0"/>
              <w:rPr>
                <w:sz w:val="7"/>
                <w:szCs w:val="7"/>
                <w:color w:val="auto"/>
              </w:rPr>
            </w:pPr>
          </w:p>
        </w:tc>
        <w:tc>
          <w:tcPr>
            <w:tcW w:w="3320" w:type="dxa"/>
            <w:vAlign w:val="bottom"/>
            <w:tcBorders>
              <w:bottom w:val="single" w:sz="8" w:color="auto"/>
            </w:tcBorders>
          </w:tcPr>
          <w:p>
            <w:pPr>
              <w:spacing w:after="0"/>
              <w:rPr>
                <w:sz w:val="7"/>
                <w:szCs w:val="7"/>
                <w:color w:val="auto"/>
              </w:rPr>
            </w:pPr>
          </w:p>
        </w:tc>
        <w:tc>
          <w:tcPr>
            <w:tcW w:w="3740" w:type="dxa"/>
            <w:vAlign w:val="bottom"/>
            <w:tcBorders>
              <w:bottom w:val="single" w:sz="8" w:color="auto"/>
            </w:tcBorders>
          </w:tcPr>
          <w:p>
            <w:pPr>
              <w:spacing w:after="0"/>
              <w:rPr>
                <w:sz w:val="7"/>
                <w:szCs w:val="7"/>
                <w:color w:val="auto"/>
              </w:rPr>
            </w:pPr>
          </w:p>
        </w:tc>
        <w:tc>
          <w:tcPr>
            <w:tcW w:w="1360" w:type="dxa"/>
            <w:vAlign w:val="bottom"/>
            <w:tcBorders>
              <w:bottom w:val="single" w:sz="8" w:color="auto"/>
            </w:tcBorders>
          </w:tcPr>
          <w:p>
            <w:pPr>
              <w:spacing w:after="0"/>
              <w:rPr>
                <w:sz w:val="7"/>
                <w:szCs w:val="7"/>
                <w:color w:val="auto"/>
              </w:rPr>
            </w:pPr>
          </w:p>
        </w:tc>
      </w:tr>
      <w:tr>
        <w:trPr>
          <w:trHeight w:val="70"/>
        </w:trPr>
        <w:tc>
          <w:tcPr>
            <w:tcW w:w="80" w:type="dxa"/>
            <w:vAlign w:val="bottom"/>
          </w:tcPr>
          <w:p>
            <w:pPr>
              <w:spacing w:after="0"/>
              <w:rPr>
                <w:sz w:val="6"/>
                <w:szCs w:val="6"/>
                <w:color w:val="auto"/>
              </w:rPr>
            </w:pPr>
          </w:p>
        </w:tc>
        <w:tc>
          <w:tcPr>
            <w:tcW w:w="180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3320" w:type="dxa"/>
            <w:vAlign w:val="bottom"/>
            <w:tcBorders>
              <w:bottom w:val="single" w:sz="8" w:color="auto"/>
            </w:tcBorders>
          </w:tcPr>
          <w:p>
            <w:pPr>
              <w:spacing w:after="0"/>
              <w:rPr>
                <w:sz w:val="6"/>
                <w:szCs w:val="6"/>
                <w:color w:val="auto"/>
              </w:rPr>
            </w:pPr>
          </w:p>
        </w:tc>
        <w:tc>
          <w:tcPr>
            <w:tcW w:w="3740" w:type="dxa"/>
            <w:vAlign w:val="bottom"/>
            <w:tcBorders>
              <w:bottom w:val="single" w:sz="8" w:color="auto"/>
            </w:tcBorders>
          </w:tcPr>
          <w:p>
            <w:pPr>
              <w:spacing w:after="0"/>
              <w:rPr>
                <w:sz w:val="6"/>
                <w:szCs w:val="6"/>
                <w:color w:val="auto"/>
              </w:rPr>
            </w:pPr>
          </w:p>
        </w:tc>
        <w:tc>
          <w:tcPr>
            <w:tcW w:w="1360" w:type="dxa"/>
            <w:vAlign w:val="bottom"/>
            <w:tcBorders>
              <w:bottom w:val="single" w:sz="8" w:color="auto"/>
            </w:tcBorders>
          </w:tcPr>
          <w:p>
            <w:pPr>
              <w:spacing w:after="0"/>
              <w:rPr>
                <w:sz w:val="6"/>
                <w:szCs w:val="6"/>
                <w:color w:val="auto"/>
              </w:rPr>
            </w:pPr>
          </w:p>
        </w:tc>
      </w:tr>
    </w:tbl>
    <w:p>
      <w:pPr>
        <w:sectPr>
          <w:pgSz w:w="11900" w:h="16838" w:orient="portrait"/>
          <w:cols w:equalWidth="0" w:num="1">
            <w:col w:w="11420"/>
          </w:cols>
          <w:pgMar w:left="220" w:top="372" w:right="259" w:bottom="1440" w:gutter="0" w:footer="0" w:header="0"/>
        </w:sectPr>
      </w:pPr>
    </w:p>
    <w:bookmarkStart w:id="1" w:name="page2"/>
    <w:bookmarkEnd w:id="1"/>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57"/>
        </w:trPr>
        <w:tc>
          <w:tcPr>
            <w:tcW w:w="3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5860" w:type="dxa"/>
            <w:vAlign w:val="bottom"/>
            <w:gridSpan w:val="2"/>
          </w:tcPr>
          <w:p>
            <w:pPr>
              <w:jc w:val="center"/>
              <w:ind w:right="4240"/>
              <w:spacing w:after="0"/>
              <w:rPr>
                <w:sz w:val="20"/>
                <w:szCs w:val="20"/>
                <w:color w:val="auto"/>
              </w:rPr>
            </w:pPr>
            <w:r>
              <w:rPr>
                <w:rFonts w:ascii="Arial" w:cs="Arial" w:eastAsia="Arial" w:hAnsi="Arial"/>
                <w:sz w:val="12"/>
                <w:szCs w:val="12"/>
                <w:b w:val="1"/>
                <w:bCs w:val="1"/>
                <w:color w:val="auto"/>
              </w:rPr>
              <w:t>AGNC INVESTMENT CORP.</w:t>
            </w:r>
          </w:p>
        </w:tc>
      </w:tr>
      <w:tr>
        <w:trPr>
          <w:trHeight w:val="198"/>
        </w:trPr>
        <w:tc>
          <w:tcPr>
            <w:tcW w:w="3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5860" w:type="dxa"/>
            <w:vAlign w:val="bottom"/>
            <w:gridSpan w:val="2"/>
          </w:tcPr>
          <w:p>
            <w:pPr>
              <w:jc w:val="center"/>
              <w:ind w:right="4220"/>
              <w:spacing w:after="0"/>
              <w:rPr>
                <w:sz w:val="20"/>
                <w:szCs w:val="20"/>
                <w:color w:val="auto"/>
              </w:rPr>
            </w:pPr>
            <w:r>
              <w:rPr>
                <w:rFonts w:ascii="Arial" w:cs="Arial" w:eastAsia="Arial" w:hAnsi="Arial"/>
                <w:sz w:val="12"/>
                <w:szCs w:val="12"/>
                <w:b w:val="1"/>
                <w:bCs w:val="1"/>
                <w:color w:val="auto"/>
                <w:w w:val="98"/>
              </w:rPr>
              <w:t>TABLE OF CONTENTS</w:t>
            </w:r>
          </w:p>
        </w:tc>
      </w:tr>
      <w:tr>
        <w:trPr>
          <w:trHeight w:val="342"/>
        </w:trPr>
        <w:tc>
          <w:tcPr>
            <w:tcW w:w="380" w:type="dxa"/>
            <w:vAlign w:val="bottom"/>
            <w:gridSpan w:val="3"/>
          </w:tcPr>
          <w:p>
            <w:pPr>
              <w:spacing w:after="0"/>
              <w:rPr>
                <w:rFonts w:ascii="Arial" w:cs="Arial" w:eastAsia="Arial" w:hAnsi="Arial"/>
                <w:sz w:val="11"/>
                <w:szCs w:val="11"/>
                <w:b w:val="1"/>
                <w:bCs w:val="1"/>
                <w:color w:val="0000EE"/>
                <w:w w:val="91"/>
              </w:rPr>
            </w:pPr>
            <w:hyperlink w:anchor="page3">
              <w:r>
                <w:rPr>
                  <w:rFonts w:ascii="Arial" w:cs="Arial" w:eastAsia="Arial" w:hAnsi="Arial"/>
                  <w:sz w:val="11"/>
                  <w:szCs w:val="11"/>
                  <w:b w:val="1"/>
                  <w:bCs w:val="1"/>
                  <w:color w:val="0000EE"/>
                  <w:w w:val="91"/>
                </w:rPr>
                <w:t>PART I.</w:t>
              </w:r>
            </w:hyperlink>
          </w:p>
        </w:tc>
        <w:tc>
          <w:tcPr>
            <w:tcW w:w="360" w:type="dxa"/>
            <w:vAlign w:val="bottom"/>
            <w:gridSpan w:val="3"/>
          </w:tcPr>
          <w:p>
            <w:pPr>
              <w:spacing w:after="0"/>
              <w:rPr>
                <w:sz w:val="24"/>
                <w:szCs w:val="24"/>
                <w:color w:val="auto"/>
              </w:rPr>
            </w:pPr>
          </w:p>
        </w:tc>
        <w:tc>
          <w:tcPr>
            <w:tcW w:w="280" w:type="dxa"/>
            <w:vAlign w:val="bottom"/>
          </w:tcPr>
          <w:p>
            <w:pPr>
              <w:spacing w:after="0"/>
              <w:rPr>
                <w:sz w:val="24"/>
                <w:szCs w:val="24"/>
                <w:color w:val="auto"/>
              </w:rPr>
            </w:pPr>
          </w:p>
        </w:tc>
        <w:tc>
          <w:tcPr>
            <w:tcW w:w="3880" w:type="dxa"/>
            <w:vAlign w:val="bottom"/>
            <w:gridSpan w:val="10"/>
          </w:tcPr>
          <w:p>
            <w:pPr>
              <w:spacing w:after="0"/>
              <w:rPr>
                <w:sz w:val="20"/>
                <w:szCs w:val="20"/>
                <w:color w:val="auto"/>
              </w:rPr>
            </w:pPr>
            <w:r>
              <w:rPr>
                <w:rFonts w:ascii="Arial" w:cs="Arial" w:eastAsia="Arial" w:hAnsi="Arial"/>
                <w:sz w:val="11"/>
                <w:szCs w:val="11"/>
                <w:b w:val="1"/>
                <w:bCs w:val="1"/>
                <w:color w:val="0000EE"/>
              </w:rPr>
              <w:t>FINANCIAL INFORMATION</w:t>
            </w:r>
          </w:p>
        </w:tc>
        <w:tc>
          <w:tcPr>
            <w:tcW w:w="57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358"/>
        </w:trPr>
        <w:tc>
          <w:tcPr>
            <w:tcW w:w="300" w:type="dxa"/>
            <w:vAlign w:val="bottom"/>
            <w:tcBorders>
              <w:top w:val="single" w:sz="8" w:color="0000EE"/>
            </w:tcBorders>
          </w:tcPr>
          <w:p>
            <w:pPr>
              <w:spacing w:after="0"/>
              <w:rPr>
                <w:rFonts w:ascii="Arial" w:cs="Arial" w:eastAsia="Arial" w:hAnsi="Arial"/>
                <w:sz w:val="11"/>
                <w:szCs w:val="11"/>
                <w:color w:val="0000EE"/>
                <w:w w:val="77"/>
              </w:rPr>
            </w:pPr>
            <w:hyperlink w:anchor="page3">
              <w:r>
                <w:rPr>
                  <w:rFonts w:ascii="Arial" w:cs="Arial" w:eastAsia="Arial" w:hAnsi="Arial"/>
                  <w:sz w:val="11"/>
                  <w:szCs w:val="11"/>
                  <w:color w:val="0000EE"/>
                  <w:w w:val="77"/>
                </w:rPr>
                <w:t>Item 1.</w:t>
              </w:r>
            </w:hyperlink>
          </w:p>
        </w:tc>
        <w:tc>
          <w:tcPr>
            <w:tcW w:w="80" w:type="dxa"/>
            <w:vAlign w:val="bottom"/>
            <w:tcBorders>
              <w:top w:val="single" w:sz="8" w:color="0000EE"/>
            </w:tcBorders>
            <w:gridSpan w:val="2"/>
          </w:tcPr>
          <w:p>
            <w:pPr>
              <w:spacing w:after="0"/>
              <w:rPr>
                <w:sz w:val="24"/>
                <w:szCs w:val="24"/>
                <w:color w:val="auto"/>
              </w:rPr>
            </w:pPr>
          </w:p>
        </w:tc>
        <w:tc>
          <w:tcPr>
            <w:tcW w:w="360" w:type="dxa"/>
            <w:vAlign w:val="bottom"/>
            <w:gridSpan w:val="3"/>
          </w:tcPr>
          <w:p>
            <w:pPr>
              <w:spacing w:after="0"/>
              <w:rPr>
                <w:sz w:val="24"/>
                <w:szCs w:val="24"/>
                <w:color w:val="auto"/>
              </w:rPr>
            </w:pPr>
          </w:p>
        </w:tc>
        <w:tc>
          <w:tcPr>
            <w:tcW w:w="280" w:type="dxa"/>
            <w:vAlign w:val="bottom"/>
          </w:tcPr>
          <w:p>
            <w:pPr>
              <w:spacing w:after="0"/>
              <w:rPr>
                <w:sz w:val="24"/>
                <w:szCs w:val="24"/>
                <w:color w:val="auto"/>
              </w:rPr>
            </w:pPr>
          </w:p>
        </w:tc>
        <w:tc>
          <w:tcPr>
            <w:tcW w:w="1440" w:type="dxa"/>
            <w:vAlign w:val="bottom"/>
            <w:tcBorders>
              <w:top w:val="single" w:sz="8" w:color="0000EE"/>
            </w:tcBorders>
            <w:gridSpan w:val="8"/>
          </w:tcPr>
          <w:p>
            <w:pPr>
              <w:spacing w:after="0"/>
              <w:rPr>
                <w:rFonts w:ascii="Arial" w:cs="Arial" w:eastAsia="Arial" w:hAnsi="Arial"/>
                <w:sz w:val="11"/>
                <w:szCs w:val="11"/>
                <w:color w:val="0000EE"/>
              </w:rPr>
            </w:pPr>
            <w:hyperlink w:anchor="page3">
              <w:r>
                <w:rPr>
                  <w:rFonts w:ascii="Arial" w:cs="Arial" w:eastAsia="Arial" w:hAnsi="Arial"/>
                  <w:sz w:val="11"/>
                  <w:szCs w:val="11"/>
                  <w:color w:val="0000EE"/>
                </w:rPr>
                <w:t>Financial Statements</w:t>
              </w:r>
            </w:hyperlink>
          </w:p>
        </w:tc>
        <w:tc>
          <w:tcPr>
            <w:tcW w:w="2440" w:type="dxa"/>
            <w:vAlign w:val="bottom"/>
            <w:gridSpan w:val="2"/>
          </w:tcPr>
          <w:p>
            <w:pPr>
              <w:spacing w:after="0"/>
              <w:rPr>
                <w:sz w:val="24"/>
                <w:szCs w:val="24"/>
                <w:color w:val="auto"/>
              </w:rPr>
            </w:pPr>
          </w:p>
        </w:tc>
        <w:tc>
          <w:tcPr>
            <w:tcW w:w="5860" w:type="dxa"/>
            <w:vAlign w:val="bottom"/>
            <w:gridSpan w:val="2"/>
          </w:tcPr>
          <w:p>
            <w:pPr>
              <w:jc w:val="center"/>
              <w:ind w:left="5705"/>
              <w:spacing w:after="0"/>
              <w:rPr>
                <w:rFonts w:ascii="Arial" w:cs="Arial" w:eastAsia="Arial" w:hAnsi="Arial"/>
                <w:sz w:val="11"/>
                <w:szCs w:val="11"/>
                <w:u w:val="single" w:color="auto"/>
                <w:color w:val="0000EE"/>
                <w:w w:val="97"/>
              </w:rPr>
            </w:pPr>
            <w:hyperlink w:anchor="page3">
              <w:r>
                <w:rPr>
                  <w:rFonts w:ascii="Arial" w:cs="Arial" w:eastAsia="Arial" w:hAnsi="Arial"/>
                  <w:sz w:val="11"/>
                  <w:szCs w:val="11"/>
                  <w:u w:val="single" w:color="auto"/>
                  <w:color w:val="0000EE"/>
                  <w:w w:val="97"/>
                </w:rPr>
                <w:t>2</w:t>
              </w:r>
            </w:hyperlink>
          </w:p>
        </w:tc>
      </w:tr>
      <w:tr>
        <w:trPr>
          <w:trHeight w:val="20"/>
        </w:trPr>
        <w:tc>
          <w:tcPr>
            <w:tcW w:w="30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0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1"/>
        </w:trPr>
        <w:tc>
          <w:tcPr>
            <w:tcW w:w="300" w:type="dxa"/>
            <w:vAlign w:val="bottom"/>
          </w:tcPr>
          <w:p>
            <w:pPr>
              <w:spacing w:after="0"/>
              <w:rPr>
                <w:rFonts w:ascii="Arial" w:cs="Arial" w:eastAsia="Arial" w:hAnsi="Arial"/>
                <w:sz w:val="11"/>
                <w:szCs w:val="11"/>
                <w:color w:val="0000EE"/>
                <w:w w:val="77"/>
              </w:rPr>
            </w:pPr>
            <w:hyperlink w:anchor="page30">
              <w:r>
                <w:rPr>
                  <w:rFonts w:ascii="Arial" w:cs="Arial" w:eastAsia="Arial" w:hAnsi="Arial"/>
                  <w:sz w:val="11"/>
                  <w:szCs w:val="11"/>
                  <w:color w:val="0000EE"/>
                  <w:w w:val="77"/>
                </w:rPr>
                <w:t>Item 2.</w:t>
              </w:r>
            </w:hyperlink>
          </w:p>
        </w:tc>
        <w:tc>
          <w:tcPr>
            <w:tcW w:w="440" w:type="dxa"/>
            <w:vAlign w:val="bottom"/>
            <w:gridSpan w:val="5"/>
          </w:tcPr>
          <w:p>
            <w:pPr>
              <w:spacing w:after="0"/>
              <w:rPr>
                <w:sz w:val="13"/>
                <w:szCs w:val="13"/>
                <w:color w:val="auto"/>
              </w:rPr>
            </w:pPr>
          </w:p>
        </w:tc>
        <w:tc>
          <w:tcPr>
            <w:tcW w:w="280" w:type="dxa"/>
            <w:vAlign w:val="bottom"/>
          </w:tcPr>
          <w:p>
            <w:pPr>
              <w:spacing w:after="0"/>
              <w:rPr>
                <w:sz w:val="13"/>
                <w:szCs w:val="13"/>
                <w:color w:val="auto"/>
              </w:rPr>
            </w:pPr>
          </w:p>
        </w:tc>
        <w:tc>
          <w:tcPr>
            <w:tcW w:w="3880" w:type="dxa"/>
            <w:vAlign w:val="bottom"/>
            <w:gridSpan w:val="10"/>
          </w:tcPr>
          <w:p>
            <w:pPr>
              <w:spacing w:after="0"/>
              <w:rPr>
                <w:rFonts w:ascii="Arial" w:cs="Arial" w:eastAsia="Arial" w:hAnsi="Arial"/>
                <w:sz w:val="11"/>
                <w:szCs w:val="11"/>
                <w:color w:val="0000EE"/>
                <w:w w:val="89"/>
              </w:rPr>
            </w:pPr>
            <w:hyperlink w:anchor="page30">
              <w:r>
                <w:rPr>
                  <w:rFonts w:ascii="Arial" w:cs="Arial" w:eastAsia="Arial" w:hAnsi="Arial"/>
                  <w:sz w:val="11"/>
                  <w:szCs w:val="11"/>
                  <w:color w:val="0000EE"/>
                  <w:w w:val="89"/>
                </w:rPr>
                <w:t>Management's Discussion and Analysis of Financial Condition and Results of Operations</w:t>
              </w:r>
            </w:hyperlink>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30">
              <w:r>
                <w:rPr>
                  <w:rFonts w:ascii="Arial" w:cs="Arial" w:eastAsia="Arial" w:hAnsi="Arial"/>
                  <w:sz w:val="11"/>
                  <w:szCs w:val="11"/>
                  <w:color w:val="0000EE"/>
                  <w:w w:val="81"/>
                </w:rPr>
                <w:t>29</w:t>
              </w:r>
            </w:hyperlink>
          </w:p>
        </w:tc>
      </w:tr>
      <w:tr>
        <w:trPr>
          <w:trHeight w:val="20"/>
        </w:trPr>
        <w:tc>
          <w:tcPr>
            <w:tcW w:w="30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60" w:type="dxa"/>
            <w:vAlign w:val="bottom"/>
            <w:tcBorders>
              <w:left w:val="single" w:sz="8" w:color="0000EE"/>
            </w:tcBorders>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240" w:type="dxa"/>
            <w:vAlign w:val="bottom"/>
            <w:gridSpan w:val="2"/>
            <w:shd w:val="clear" w:color="auto" w:fill="0000EE"/>
          </w:tcPr>
          <w:p>
            <w:pPr>
              <w:spacing w:after="0" w:line="20" w:lineRule="exact"/>
              <w:rPr>
                <w:sz w:val="1"/>
                <w:szCs w:val="1"/>
                <w:color w:val="auto"/>
              </w:rPr>
            </w:pPr>
          </w:p>
        </w:tc>
        <w:tc>
          <w:tcPr>
            <w:tcW w:w="1260" w:type="dxa"/>
            <w:vAlign w:val="bottom"/>
            <w:tcBorders>
              <w:left w:val="single" w:sz="8" w:color="0000EE"/>
            </w:tcBorders>
            <w:shd w:val="clear" w:color="auto" w:fill="0000EE"/>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151"/>
        </w:trPr>
        <w:tc>
          <w:tcPr>
            <w:tcW w:w="300" w:type="dxa"/>
            <w:vAlign w:val="bottom"/>
          </w:tcPr>
          <w:p>
            <w:pPr>
              <w:spacing w:after="0"/>
              <w:rPr>
                <w:rFonts w:ascii="Arial" w:cs="Arial" w:eastAsia="Arial" w:hAnsi="Arial"/>
                <w:sz w:val="11"/>
                <w:szCs w:val="11"/>
                <w:color w:val="0000EE"/>
                <w:w w:val="77"/>
              </w:rPr>
            </w:pPr>
            <w:hyperlink w:anchor="page52">
              <w:r>
                <w:rPr>
                  <w:rFonts w:ascii="Arial" w:cs="Arial" w:eastAsia="Arial" w:hAnsi="Arial"/>
                  <w:sz w:val="11"/>
                  <w:szCs w:val="11"/>
                  <w:color w:val="0000EE"/>
                  <w:w w:val="77"/>
                </w:rPr>
                <w:t>Item 3.</w:t>
              </w:r>
            </w:hyperlink>
          </w:p>
        </w:tc>
        <w:tc>
          <w:tcPr>
            <w:tcW w:w="440" w:type="dxa"/>
            <w:vAlign w:val="bottom"/>
            <w:gridSpan w:val="5"/>
          </w:tcPr>
          <w:p>
            <w:pPr>
              <w:spacing w:after="0"/>
              <w:rPr>
                <w:sz w:val="13"/>
                <w:szCs w:val="13"/>
                <w:color w:val="auto"/>
              </w:rPr>
            </w:pPr>
          </w:p>
        </w:tc>
        <w:tc>
          <w:tcPr>
            <w:tcW w:w="280" w:type="dxa"/>
            <w:vAlign w:val="bottom"/>
          </w:tcPr>
          <w:p>
            <w:pPr>
              <w:spacing w:after="0"/>
              <w:rPr>
                <w:sz w:val="13"/>
                <w:szCs w:val="13"/>
                <w:color w:val="auto"/>
              </w:rPr>
            </w:pPr>
          </w:p>
        </w:tc>
        <w:tc>
          <w:tcPr>
            <w:tcW w:w="2620" w:type="dxa"/>
            <w:vAlign w:val="bottom"/>
            <w:gridSpan w:val="9"/>
          </w:tcPr>
          <w:p>
            <w:pPr>
              <w:spacing w:after="0"/>
              <w:rPr>
                <w:rFonts w:ascii="Arial" w:cs="Arial" w:eastAsia="Arial" w:hAnsi="Arial"/>
                <w:sz w:val="11"/>
                <w:szCs w:val="11"/>
                <w:color w:val="0000EE"/>
                <w:w w:val="89"/>
              </w:rPr>
            </w:pPr>
            <w:hyperlink w:anchor="page52">
              <w:r>
                <w:rPr>
                  <w:rFonts w:ascii="Arial" w:cs="Arial" w:eastAsia="Arial" w:hAnsi="Arial"/>
                  <w:sz w:val="11"/>
                  <w:szCs w:val="11"/>
                  <w:color w:val="0000EE"/>
                  <w:w w:val="89"/>
                </w:rPr>
                <w:t>Quantitative and Qualitative Disclosures About Market Risk</w:t>
              </w:r>
            </w:hyperlink>
          </w:p>
        </w:tc>
        <w:tc>
          <w:tcPr>
            <w:tcW w:w="1260" w:type="dxa"/>
            <w:vAlign w:val="bottom"/>
          </w:tcPr>
          <w:p>
            <w:pPr>
              <w:spacing w:after="0"/>
              <w:rPr>
                <w:sz w:val="13"/>
                <w:szCs w:val="13"/>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2">
              <w:r>
                <w:rPr>
                  <w:rFonts w:ascii="Arial" w:cs="Arial" w:eastAsia="Arial" w:hAnsi="Arial"/>
                  <w:sz w:val="11"/>
                  <w:szCs w:val="11"/>
                  <w:color w:val="0000EE"/>
                  <w:w w:val="81"/>
                </w:rPr>
                <w:t>51</w:t>
              </w:r>
            </w:hyperlink>
          </w:p>
        </w:tc>
      </w:tr>
      <w:tr>
        <w:trPr>
          <w:trHeight w:val="20"/>
        </w:trPr>
        <w:tc>
          <w:tcPr>
            <w:tcW w:w="30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60" w:type="dxa"/>
            <w:vAlign w:val="bottom"/>
            <w:tcBorders>
              <w:left w:val="single" w:sz="8" w:color="0000EE"/>
            </w:tcBorders>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240" w:type="dxa"/>
            <w:vAlign w:val="bottom"/>
            <w:gridSpan w:val="2"/>
            <w:shd w:val="clear" w:color="auto" w:fill="0000EE"/>
          </w:tcPr>
          <w:p>
            <w:pPr>
              <w:spacing w:after="0" w:line="20" w:lineRule="exact"/>
              <w:rPr>
                <w:sz w:val="1"/>
                <w:szCs w:val="1"/>
                <w:color w:val="auto"/>
              </w:rPr>
            </w:pPr>
          </w:p>
        </w:tc>
        <w:tc>
          <w:tcPr>
            <w:tcW w:w="1260" w:type="dxa"/>
            <w:vAlign w:val="bottom"/>
            <w:tcBorders>
              <w:left w:val="single" w:sz="8" w:color="0000EE"/>
            </w:tcBorders>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151"/>
        </w:trPr>
        <w:tc>
          <w:tcPr>
            <w:tcW w:w="300" w:type="dxa"/>
            <w:vAlign w:val="bottom"/>
          </w:tcPr>
          <w:p>
            <w:pPr>
              <w:spacing w:after="0"/>
              <w:rPr>
                <w:rFonts w:ascii="Arial" w:cs="Arial" w:eastAsia="Arial" w:hAnsi="Arial"/>
                <w:sz w:val="11"/>
                <w:szCs w:val="11"/>
                <w:color w:val="0000EE"/>
                <w:w w:val="77"/>
              </w:rPr>
            </w:pPr>
            <w:hyperlink w:anchor="page55">
              <w:r>
                <w:rPr>
                  <w:rFonts w:ascii="Arial" w:cs="Arial" w:eastAsia="Arial" w:hAnsi="Arial"/>
                  <w:sz w:val="11"/>
                  <w:szCs w:val="11"/>
                  <w:color w:val="0000EE"/>
                  <w:w w:val="77"/>
                </w:rPr>
                <w:t>Item 4.</w:t>
              </w:r>
            </w:hyperlink>
          </w:p>
        </w:tc>
        <w:tc>
          <w:tcPr>
            <w:tcW w:w="440" w:type="dxa"/>
            <w:vAlign w:val="bottom"/>
            <w:gridSpan w:val="5"/>
          </w:tcPr>
          <w:p>
            <w:pPr>
              <w:spacing w:after="0"/>
              <w:rPr>
                <w:sz w:val="13"/>
                <w:szCs w:val="13"/>
                <w:color w:val="auto"/>
              </w:rPr>
            </w:pPr>
          </w:p>
        </w:tc>
        <w:tc>
          <w:tcPr>
            <w:tcW w:w="280" w:type="dxa"/>
            <w:vAlign w:val="bottom"/>
          </w:tcPr>
          <w:p>
            <w:pPr>
              <w:spacing w:after="0"/>
              <w:rPr>
                <w:sz w:val="13"/>
                <w:szCs w:val="13"/>
                <w:color w:val="auto"/>
              </w:rPr>
            </w:pPr>
          </w:p>
        </w:tc>
        <w:tc>
          <w:tcPr>
            <w:tcW w:w="2620" w:type="dxa"/>
            <w:vAlign w:val="bottom"/>
            <w:gridSpan w:val="9"/>
          </w:tcPr>
          <w:p>
            <w:pPr>
              <w:spacing w:after="0"/>
              <w:rPr>
                <w:rFonts w:ascii="Arial" w:cs="Arial" w:eastAsia="Arial" w:hAnsi="Arial"/>
                <w:sz w:val="11"/>
                <w:szCs w:val="11"/>
                <w:color w:val="0000EE"/>
              </w:rPr>
            </w:pPr>
            <w:hyperlink w:anchor="page55">
              <w:r>
                <w:rPr>
                  <w:rFonts w:ascii="Arial" w:cs="Arial" w:eastAsia="Arial" w:hAnsi="Arial"/>
                  <w:sz w:val="11"/>
                  <w:szCs w:val="11"/>
                  <w:color w:val="0000EE"/>
                </w:rPr>
                <w:t>Controls and Procedures</w:t>
              </w:r>
            </w:hyperlink>
          </w:p>
        </w:tc>
        <w:tc>
          <w:tcPr>
            <w:tcW w:w="1260" w:type="dxa"/>
            <w:vAlign w:val="bottom"/>
          </w:tcPr>
          <w:p>
            <w:pPr>
              <w:spacing w:after="0"/>
              <w:rPr>
                <w:sz w:val="13"/>
                <w:szCs w:val="13"/>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5">
              <w:r>
                <w:rPr>
                  <w:rFonts w:ascii="Arial" w:cs="Arial" w:eastAsia="Arial" w:hAnsi="Arial"/>
                  <w:sz w:val="11"/>
                  <w:szCs w:val="11"/>
                  <w:color w:val="0000EE"/>
                  <w:w w:val="81"/>
                </w:rPr>
                <w:t>54</w:t>
              </w:r>
            </w:hyperlink>
          </w:p>
        </w:tc>
      </w:tr>
      <w:tr>
        <w:trPr>
          <w:trHeight w:val="20"/>
        </w:trPr>
        <w:tc>
          <w:tcPr>
            <w:tcW w:w="300" w:type="dxa"/>
            <w:vAlign w:val="bottom"/>
            <w:shd w:val="clear" w:color="auto" w:fill="0000EE"/>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60" w:type="dxa"/>
            <w:vAlign w:val="bottom"/>
            <w:tcBorders>
              <w:left w:val="single" w:sz="8" w:color="0000EE"/>
            </w:tcBorders>
            <w:gridSpan w:val="2"/>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358"/>
        </w:trPr>
        <w:tc>
          <w:tcPr>
            <w:tcW w:w="420" w:type="dxa"/>
            <w:vAlign w:val="bottom"/>
            <w:tcBorders>
              <w:bottom w:val="single" w:sz="8" w:color="0000EE"/>
            </w:tcBorders>
            <w:gridSpan w:val="4"/>
          </w:tcPr>
          <w:p>
            <w:pPr>
              <w:spacing w:after="0"/>
              <w:rPr>
                <w:rFonts w:ascii="Arial" w:cs="Arial" w:eastAsia="Arial" w:hAnsi="Arial"/>
                <w:sz w:val="11"/>
                <w:szCs w:val="11"/>
                <w:b w:val="1"/>
                <w:bCs w:val="1"/>
                <w:color w:val="0000EE"/>
                <w:w w:val="94"/>
              </w:rPr>
            </w:pPr>
            <w:hyperlink w:anchor="page56">
              <w:r>
                <w:rPr>
                  <w:rFonts w:ascii="Arial" w:cs="Arial" w:eastAsia="Arial" w:hAnsi="Arial"/>
                  <w:sz w:val="11"/>
                  <w:szCs w:val="11"/>
                  <w:b w:val="1"/>
                  <w:bCs w:val="1"/>
                  <w:color w:val="0000EE"/>
                  <w:w w:val="94"/>
                </w:rPr>
                <w:t>PART II.</w:t>
              </w:r>
            </w:hyperlink>
          </w:p>
        </w:tc>
        <w:tc>
          <w:tcPr>
            <w:tcW w:w="320" w:type="dxa"/>
            <w:vAlign w:val="bottom"/>
            <w:gridSpan w:val="2"/>
          </w:tcPr>
          <w:p>
            <w:pPr>
              <w:spacing w:after="0"/>
              <w:rPr>
                <w:sz w:val="24"/>
                <w:szCs w:val="24"/>
                <w:color w:val="auto"/>
              </w:rPr>
            </w:pPr>
          </w:p>
        </w:tc>
        <w:tc>
          <w:tcPr>
            <w:tcW w:w="280" w:type="dxa"/>
            <w:vAlign w:val="bottom"/>
          </w:tcPr>
          <w:p>
            <w:pPr>
              <w:spacing w:after="0"/>
              <w:rPr>
                <w:sz w:val="24"/>
                <w:szCs w:val="24"/>
                <w:color w:val="auto"/>
              </w:rPr>
            </w:pPr>
          </w:p>
        </w:tc>
        <w:tc>
          <w:tcPr>
            <w:tcW w:w="1220" w:type="dxa"/>
            <w:vAlign w:val="bottom"/>
            <w:tcBorders>
              <w:bottom w:val="single" w:sz="8" w:color="0000EE"/>
            </w:tcBorders>
            <w:gridSpan w:val="6"/>
          </w:tcPr>
          <w:p>
            <w:pPr>
              <w:spacing w:after="0"/>
              <w:rPr>
                <w:rFonts w:ascii="Arial" w:cs="Arial" w:eastAsia="Arial" w:hAnsi="Arial"/>
                <w:sz w:val="11"/>
                <w:szCs w:val="11"/>
                <w:b w:val="1"/>
                <w:bCs w:val="1"/>
                <w:color w:val="0000EE"/>
              </w:rPr>
            </w:pPr>
            <w:hyperlink w:anchor="page56">
              <w:r>
                <w:rPr>
                  <w:rFonts w:ascii="Arial" w:cs="Arial" w:eastAsia="Arial" w:hAnsi="Arial"/>
                  <w:sz w:val="11"/>
                  <w:szCs w:val="11"/>
                  <w:b w:val="1"/>
                  <w:bCs w:val="1"/>
                  <w:color w:val="0000EE"/>
                </w:rPr>
                <w:t>OTHER INFORMATION</w:t>
              </w:r>
            </w:hyperlink>
          </w:p>
        </w:tc>
        <w:tc>
          <w:tcPr>
            <w:tcW w:w="2660" w:type="dxa"/>
            <w:vAlign w:val="bottom"/>
            <w:gridSpan w:val="4"/>
          </w:tcPr>
          <w:p>
            <w:pPr>
              <w:spacing w:after="0"/>
              <w:rPr>
                <w:sz w:val="24"/>
                <w:szCs w:val="24"/>
                <w:color w:val="auto"/>
              </w:rPr>
            </w:pPr>
          </w:p>
        </w:tc>
        <w:tc>
          <w:tcPr>
            <w:tcW w:w="57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349"/>
        </w:trPr>
        <w:tc>
          <w:tcPr>
            <w:tcW w:w="300" w:type="dxa"/>
            <w:vAlign w:val="bottom"/>
          </w:tcPr>
          <w:p>
            <w:pPr>
              <w:spacing w:after="0"/>
              <w:rPr>
                <w:rFonts w:ascii="Arial" w:cs="Arial" w:eastAsia="Arial" w:hAnsi="Arial"/>
                <w:sz w:val="11"/>
                <w:szCs w:val="11"/>
                <w:color w:val="0000EE"/>
                <w:w w:val="77"/>
              </w:rPr>
            </w:pPr>
            <w:hyperlink w:anchor="page56">
              <w:r>
                <w:rPr>
                  <w:rFonts w:ascii="Arial" w:cs="Arial" w:eastAsia="Arial" w:hAnsi="Arial"/>
                  <w:sz w:val="11"/>
                  <w:szCs w:val="11"/>
                  <w:color w:val="0000EE"/>
                  <w:w w:val="77"/>
                </w:rPr>
                <w:t>Item 1.</w:t>
              </w:r>
            </w:hyperlink>
          </w:p>
        </w:tc>
        <w:tc>
          <w:tcPr>
            <w:tcW w:w="440" w:type="dxa"/>
            <w:vAlign w:val="bottom"/>
            <w:gridSpan w:val="5"/>
          </w:tcPr>
          <w:p>
            <w:pPr>
              <w:spacing w:after="0"/>
              <w:rPr>
                <w:sz w:val="24"/>
                <w:szCs w:val="24"/>
                <w:color w:val="auto"/>
              </w:rPr>
            </w:pPr>
          </w:p>
        </w:tc>
        <w:tc>
          <w:tcPr>
            <w:tcW w:w="280" w:type="dxa"/>
            <w:vAlign w:val="bottom"/>
          </w:tcPr>
          <w:p>
            <w:pPr>
              <w:spacing w:after="0"/>
              <w:rPr>
                <w:sz w:val="24"/>
                <w:szCs w:val="24"/>
                <w:color w:val="auto"/>
              </w:rPr>
            </w:pPr>
          </w:p>
        </w:tc>
        <w:tc>
          <w:tcPr>
            <w:tcW w:w="800" w:type="dxa"/>
            <w:vAlign w:val="bottom"/>
            <w:gridSpan w:val="3"/>
          </w:tcPr>
          <w:p>
            <w:pPr>
              <w:spacing w:after="0"/>
              <w:rPr>
                <w:rFonts w:ascii="Arial" w:cs="Arial" w:eastAsia="Arial" w:hAnsi="Arial"/>
                <w:sz w:val="11"/>
                <w:szCs w:val="11"/>
                <w:color w:val="0000EE"/>
                <w:w w:val="83"/>
              </w:rPr>
            </w:pPr>
            <w:hyperlink w:anchor="page56">
              <w:r>
                <w:rPr>
                  <w:rFonts w:ascii="Arial" w:cs="Arial" w:eastAsia="Arial" w:hAnsi="Arial"/>
                  <w:sz w:val="11"/>
                  <w:szCs w:val="11"/>
                  <w:color w:val="0000EE"/>
                  <w:w w:val="83"/>
                </w:rPr>
                <w:t>Legal Proceedings</w:t>
              </w:r>
            </w:hyperlink>
          </w:p>
        </w:tc>
        <w:tc>
          <w:tcPr>
            <w:tcW w:w="3080" w:type="dxa"/>
            <w:vAlign w:val="bottom"/>
            <w:gridSpan w:val="7"/>
          </w:tcPr>
          <w:p>
            <w:pPr>
              <w:spacing w:after="0"/>
              <w:rPr>
                <w:sz w:val="24"/>
                <w:szCs w:val="24"/>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6">
              <w:r>
                <w:rPr>
                  <w:rFonts w:ascii="Arial" w:cs="Arial" w:eastAsia="Arial" w:hAnsi="Arial"/>
                  <w:sz w:val="11"/>
                  <w:szCs w:val="11"/>
                  <w:color w:val="0000EE"/>
                  <w:w w:val="81"/>
                </w:rPr>
                <w:t>55</w:t>
              </w:r>
            </w:hyperlink>
          </w:p>
        </w:tc>
      </w:tr>
      <w:tr>
        <w:trPr>
          <w:trHeight w:val="20"/>
        </w:trPr>
        <w:tc>
          <w:tcPr>
            <w:tcW w:w="30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580" w:type="dxa"/>
            <w:vAlign w:val="bottom"/>
            <w:tcBorders>
              <w:left w:val="single" w:sz="8" w:color="0000EE"/>
            </w:tcBorders>
            <w:gridSpan w:val="4"/>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151"/>
        </w:trPr>
        <w:tc>
          <w:tcPr>
            <w:tcW w:w="380" w:type="dxa"/>
            <w:vAlign w:val="bottom"/>
            <w:gridSpan w:val="3"/>
          </w:tcPr>
          <w:p>
            <w:pPr>
              <w:spacing w:after="0"/>
              <w:rPr>
                <w:rFonts w:ascii="Arial" w:cs="Arial" w:eastAsia="Arial" w:hAnsi="Arial"/>
                <w:sz w:val="11"/>
                <w:szCs w:val="11"/>
                <w:color w:val="0000EE"/>
                <w:w w:val="87"/>
              </w:rPr>
            </w:pPr>
            <w:hyperlink w:anchor="page56">
              <w:r>
                <w:rPr>
                  <w:rFonts w:ascii="Arial" w:cs="Arial" w:eastAsia="Arial" w:hAnsi="Arial"/>
                  <w:sz w:val="11"/>
                  <w:szCs w:val="11"/>
                  <w:color w:val="0000EE"/>
                  <w:w w:val="87"/>
                </w:rPr>
                <w:t>Item 1A.</w:t>
              </w:r>
            </w:hyperlink>
          </w:p>
        </w:tc>
        <w:tc>
          <w:tcPr>
            <w:tcW w:w="360" w:type="dxa"/>
            <w:vAlign w:val="bottom"/>
            <w:gridSpan w:val="3"/>
          </w:tcPr>
          <w:p>
            <w:pPr>
              <w:spacing w:after="0"/>
              <w:rPr>
                <w:sz w:val="13"/>
                <w:szCs w:val="13"/>
                <w:color w:val="auto"/>
              </w:rPr>
            </w:pPr>
          </w:p>
        </w:tc>
        <w:tc>
          <w:tcPr>
            <w:tcW w:w="280" w:type="dxa"/>
            <w:vAlign w:val="bottom"/>
          </w:tcPr>
          <w:p>
            <w:pPr>
              <w:spacing w:after="0"/>
              <w:rPr>
                <w:sz w:val="13"/>
                <w:szCs w:val="13"/>
                <w:color w:val="auto"/>
              </w:rPr>
            </w:pPr>
          </w:p>
        </w:tc>
        <w:tc>
          <w:tcPr>
            <w:tcW w:w="3880" w:type="dxa"/>
            <w:vAlign w:val="bottom"/>
            <w:gridSpan w:val="10"/>
          </w:tcPr>
          <w:p>
            <w:pPr>
              <w:spacing w:after="0"/>
              <w:rPr>
                <w:rFonts w:ascii="Arial" w:cs="Arial" w:eastAsia="Arial" w:hAnsi="Arial"/>
                <w:sz w:val="11"/>
                <w:szCs w:val="11"/>
                <w:color w:val="0000EE"/>
              </w:rPr>
            </w:pPr>
            <w:hyperlink w:anchor="page56">
              <w:r>
                <w:rPr>
                  <w:rFonts w:ascii="Arial" w:cs="Arial" w:eastAsia="Arial" w:hAnsi="Arial"/>
                  <w:sz w:val="11"/>
                  <w:szCs w:val="11"/>
                  <w:color w:val="0000EE"/>
                </w:rPr>
                <w:t>Risk Factors</w:t>
              </w:r>
            </w:hyperlink>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6">
              <w:r>
                <w:rPr>
                  <w:rFonts w:ascii="Arial" w:cs="Arial" w:eastAsia="Arial" w:hAnsi="Arial"/>
                  <w:sz w:val="11"/>
                  <w:szCs w:val="11"/>
                  <w:color w:val="0000EE"/>
                  <w:w w:val="81"/>
                </w:rPr>
                <w:t>55</w:t>
              </w:r>
            </w:hyperlink>
          </w:p>
        </w:tc>
      </w:tr>
      <w:tr>
        <w:trPr>
          <w:trHeight w:val="20"/>
        </w:trPr>
        <w:tc>
          <w:tcPr>
            <w:tcW w:w="380" w:type="dxa"/>
            <w:vAlign w:val="bottom"/>
            <w:gridSpan w:val="3"/>
            <w:shd w:val="clear" w:color="auto" w:fill="0000EE"/>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151"/>
        </w:trPr>
        <w:tc>
          <w:tcPr>
            <w:tcW w:w="300" w:type="dxa"/>
            <w:vAlign w:val="bottom"/>
          </w:tcPr>
          <w:p>
            <w:pPr>
              <w:spacing w:after="0"/>
              <w:rPr>
                <w:rFonts w:ascii="Arial" w:cs="Arial" w:eastAsia="Arial" w:hAnsi="Arial"/>
                <w:sz w:val="11"/>
                <w:szCs w:val="11"/>
                <w:color w:val="0000EE"/>
                <w:w w:val="77"/>
              </w:rPr>
            </w:pPr>
            <w:hyperlink w:anchor="page56">
              <w:r>
                <w:rPr>
                  <w:rFonts w:ascii="Arial" w:cs="Arial" w:eastAsia="Arial" w:hAnsi="Arial"/>
                  <w:sz w:val="11"/>
                  <w:szCs w:val="11"/>
                  <w:color w:val="0000EE"/>
                  <w:w w:val="77"/>
                </w:rPr>
                <w:t>Item 2.</w:t>
              </w:r>
            </w:hyperlink>
          </w:p>
        </w:tc>
        <w:tc>
          <w:tcPr>
            <w:tcW w:w="80" w:type="dxa"/>
            <w:vAlign w:val="bottom"/>
            <w:gridSpan w:val="2"/>
          </w:tcPr>
          <w:p>
            <w:pPr>
              <w:spacing w:after="0"/>
              <w:rPr>
                <w:sz w:val="13"/>
                <w:szCs w:val="13"/>
                <w:color w:val="auto"/>
              </w:rPr>
            </w:pPr>
          </w:p>
        </w:tc>
        <w:tc>
          <w:tcPr>
            <w:tcW w:w="360" w:type="dxa"/>
            <w:vAlign w:val="bottom"/>
            <w:gridSpan w:val="3"/>
          </w:tcPr>
          <w:p>
            <w:pPr>
              <w:spacing w:after="0"/>
              <w:rPr>
                <w:sz w:val="13"/>
                <w:szCs w:val="13"/>
                <w:color w:val="auto"/>
              </w:rPr>
            </w:pPr>
          </w:p>
        </w:tc>
        <w:tc>
          <w:tcPr>
            <w:tcW w:w="280" w:type="dxa"/>
            <w:vAlign w:val="bottom"/>
          </w:tcPr>
          <w:p>
            <w:pPr>
              <w:spacing w:after="0"/>
              <w:rPr>
                <w:sz w:val="13"/>
                <w:szCs w:val="13"/>
                <w:color w:val="auto"/>
              </w:rPr>
            </w:pPr>
          </w:p>
        </w:tc>
        <w:tc>
          <w:tcPr>
            <w:tcW w:w="2620" w:type="dxa"/>
            <w:vAlign w:val="bottom"/>
            <w:gridSpan w:val="9"/>
          </w:tcPr>
          <w:p>
            <w:pPr>
              <w:spacing w:after="0"/>
              <w:rPr>
                <w:rFonts w:ascii="Arial" w:cs="Arial" w:eastAsia="Arial" w:hAnsi="Arial"/>
                <w:sz w:val="11"/>
                <w:szCs w:val="11"/>
                <w:color w:val="0000EE"/>
                <w:w w:val="86"/>
              </w:rPr>
            </w:pPr>
            <w:hyperlink w:anchor="page56">
              <w:r>
                <w:rPr>
                  <w:rFonts w:ascii="Arial" w:cs="Arial" w:eastAsia="Arial" w:hAnsi="Arial"/>
                  <w:sz w:val="11"/>
                  <w:szCs w:val="11"/>
                  <w:color w:val="0000EE"/>
                  <w:w w:val="86"/>
                </w:rPr>
                <w:t>Unregistered Sales of Equity Securities and Use of Proceeds</w:t>
              </w:r>
            </w:hyperlink>
          </w:p>
        </w:tc>
        <w:tc>
          <w:tcPr>
            <w:tcW w:w="1260" w:type="dxa"/>
            <w:vAlign w:val="bottom"/>
          </w:tcPr>
          <w:p>
            <w:pPr>
              <w:spacing w:after="0"/>
              <w:rPr>
                <w:sz w:val="13"/>
                <w:szCs w:val="13"/>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6">
              <w:r>
                <w:rPr>
                  <w:rFonts w:ascii="Arial" w:cs="Arial" w:eastAsia="Arial" w:hAnsi="Arial"/>
                  <w:sz w:val="11"/>
                  <w:szCs w:val="11"/>
                  <w:color w:val="0000EE"/>
                  <w:w w:val="81"/>
                </w:rPr>
                <w:t>55</w:t>
              </w:r>
            </w:hyperlink>
          </w:p>
        </w:tc>
      </w:tr>
      <w:tr>
        <w:trPr>
          <w:trHeight w:val="20"/>
        </w:trPr>
        <w:tc>
          <w:tcPr>
            <w:tcW w:w="30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gridSpan w:val="4"/>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440" w:type="dxa"/>
            <w:vAlign w:val="bottom"/>
            <w:gridSpan w:val="2"/>
            <w:shd w:val="clear" w:color="auto" w:fill="0000EE"/>
          </w:tcPr>
          <w:p>
            <w:pPr>
              <w:spacing w:after="0" w:line="20" w:lineRule="exact"/>
              <w:rPr>
                <w:sz w:val="1"/>
                <w:szCs w:val="1"/>
                <w:color w:val="auto"/>
              </w:rPr>
            </w:pPr>
          </w:p>
        </w:tc>
        <w:tc>
          <w:tcPr>
            <w:tcW w:w="580" w:type="dxa"/>
            <w:vAlign w:val="bottom"/>
            <w:tcBorders>
              <w:left w:val="single" w:sz="8" w:color="0000EE"/>
            </w:tcBorders>
            <w:gridSpan w:val="4"/>
            <w:shd w:val="clear" w:color="auto" w:fill="0000EE"/>
          </w:tcPr>
          <w:p>
            <w:pPr>
              <w:spacing w:after="0" w:line="20" w:lineRule="exact"/>
              <w:rPr>
                <w:sz w:val="1"/>
                <w:szCs w:val="1"/>
                <w:color w:val="auto"/>
              </w:rPr>
            </w:pPr>
          </w:p>
        </w:tc>
        <w:tc>
          <w:tcPr>
            <w:tcW w:w="1240" w:type="dxa"/>
            <w:vAlign w:val="bottom"/>
            <w:gridSpan w:val="2"/>
            <w:shd w:val="clear" w:color="auto" w:fill="0000EE"/>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151"/>
        </w:trPr>
        <w:tc>
          <w:tcPr>
            <w:tcW w:w="300" w:type="dxa"/>
            <w:vAlign w:val="bottom"/>
          </w:tcPr>
          <w:p>
            <w:pPr>
              <w:spacing w:after="0"/>
              <w:rPr>
                <w:rFonts w:ascii="Arial" w:cs="Arial" w:eastAsia="Arial" w:hAnsi="Arial"/>
                <w:sz w:val="11"/>
                <w:szCs w:val="11"/>
                <w:color w:val="0000EE"/>
                <w:w w:val="77"/>
              </w:rPr>
            </w:pPr>
            <w:hyperlink w:anchor="page56">
              <w:r>
                <w:rPr>
                  <w:rFonts w:ascii="Arial" w:cs="Arial" w:eastAsia="Arial" w:hAnsi="Arial"/>
                  <w:sz w:val="11"/>
                  <w:szCs w:val="11"/>
                  <w:color w:val="0000EE"/>
                  <w:w w:val="77"/>
                </w:rPr>
                <w:t>Item 3.</w:t>
              </w:r>
            </w:hyperlink>
          </w:p>
        </w:tc>
        <w:tc>
          <w:tcPr>
            <w:tcW w:w="440" w:type="dxa"/>
            <w:vAlign w:val="bottom"/>
            <w:gridSpan w:val="5"/>
          </w:tcPr>
          <w:p>
            <w:pPr>
              <w:spacing w:after="0"/>
              <w:rPr>
                <w:sz w:val="13"/>
                <w:szCs w:val="13"/>
                <w:color w:val="auto"/>
              </w:rPr>
            </w:pPr>
          </w:p>
        </w:tc>
        <w:tc>
          <w:tcPr>
            <w:tcW w:w="280" w:type="dxa"/>
            <w:vAlign w:val="bottom"/>
          </w:tcPr>
          <w:p>
            <w:pPr>
              <w:spacing w:after="0"/>
              <w:rPr>
                <w:sz w:val="13"/>
                <w:szCs w:val="13"/>
                <w:color w:val="auto"/>
              </w:rPr>
            </w:pPr>
          </w:p>
        </w:tc>
        <w:tc>
          <w:tcPr>
            <w:tcW w:w="1380" w:type="dxa"/>
            <w:vAlign w:val="bottom"/>
            <w:gridSpan w:val="7"/>
          </w:tcPr>
          <w:p>
            <w:pPr>
              <w:spacing w:after="0"/>
              <w:rPr>
                <w:rFonts w:ascii="Arial" w:cs="Arial" w:eastAsia="Arial" w:hAnsi="Arial"/>
                <w:sz w:val="11"/>
                <w:szCs w:val="11"/>
                <w:color w:val="0000EE"/>
                <w:w w:val="88"/>
              </w:rPr>
            </w:pPr>
            <w:hyperlink w:anchor="page56">
              <w:r>
                <w:rPr>
                  <w:rFonts w:ascii="Arial" w:cs="Arial" w:eastAsia="Arial" w:hAnsi="Arial"/>
                  <w:sz w:val="11"/>
                  <w:szCs w:val="11"/>
                  <w:color w:val="0000EE"/>
                  <w:w w:val="88"/>
                </w:rPr>
                <w:t>Defaults upon Senior Securities</w:t>
              </w:r>
            </w:hyperlink>
          </w:p>
        </w:tc>
        <w:tc>
          <w:tcPr>
            <w:tcW w:w="1240" w:type="dxa"/>
            <w:vAlign w:val="bottom"/>
            <w:gridSpan w:val="2"/>
          </w:tcPr>
          <w:p>
            <w:pPr>
              <w:spacing w:after="0"/>
              <w:rPr>
                <w:sz w:val="13"/>
                <w:szCs w:val="13"/>
                <w:color w:val="auto"/>
              </w:rPr>
            </w:pPr>
          </w:p>
        </w:tc>
        <w:tc>
          <w:tcPr>
            <w:tcW w:w="1260" w:type="dxa"/>
            <w:vAlign w:val="bottom"/>
          </w:tcPr>
          <w:p>
            <w:pPr>
              <w:spacing w:after="0"/>
              <w:rPr>
                <w:sz w:val="13"/>
                <w:szCs w:val="13"/>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6">
              <w:r>
                <w:rPr>
                  <w:rFonts w:ascii="Arial" w:cs="Arial" w:eastAsia="Arial" w:hAnsi="Arial"/>
                  <w:sz w:val="11"/>
                  <w:szCs w:val="11"/>
                  <w:color w:val="0000EE"/>
                  <w:w w:val="81"/>
                </w:rPr>
                <w:t>55</w:t>
              </w:r>
            </w:hyperlink>
          </w:p>
        </w:tc>
      </w:tr>
      <w:tr>
        <w:trPr>
          <w:trHeight w:val="20"/>
        </w:trPr>
        <w:tc>
          <w:tcPr>
            <w:tcW w:w="30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gridSpan w:val="4"/>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440" w:type="dxa"/>
            <w:vAlign w:val="bottom"/>
            <w:gridSpan w:val="2"/>
            <w:shd w:val="clear" w:color="auto" w:fill="0000EE"/>
          </w:tcPr>
          <w:p>
            <w:pPr>
              <w:spacing w:after="0" w:line="20" w:lineRule="exact"/>
              <w:rPr>
                <w:sz w:val="1"/>
                <w:szCs w:val="1"/>
                <w:color w:val="auto"/>
              </w:rPr>
            </w:pPr>
          </w:p>
        </w:tc>
        <w:tc>
          <w:tcPr>
            <w:tcW w:w="580" w:type="dxa"/>
            <w:vAlign w:val="bottom"/>
            <w:tcBorders>
              <w:left w:val="single" w:sz="8" w:color="0000EE"/>
            </w:tcBorders>
            <w:gridSpan w:val="4"/>
            <w:shd w:val="clear" w:color="auto" w:fill="0000EE"/>
          </w:tcPr>
          <w:p>
            <w:pPr>
              <w:spacing w:after="0" w:line="20" w:lineRule="exact"/>
              <w:rPr>
                <w:sz w:val="1"/>
                <w:szCs w:val="1"/>
                <w:color w:val="auto"/>
              </w:rPr>
            </w:pPr>
          </w:p>
        </w:tc>
        <w:tc>
          <w:tcPr>
            <w:tcW w:w="2500" w:type="dxa"/>
            <w:vAlign w:val="bottom"/>
            <w:gridSpan w:val="3"/>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151"/>
        </w:trPr>
        <w:tc>
          <w:tcPr>
            <w:tcW w:w="300" w:type="dxa"/>
            <w:vAlign w:val="bottom"/>
          </w:tcPr>
          <w:p>
            <w:pPr>
              <w:spacing w:after="0"/>
              <w:rPr>
                <w:rFonts w:ascii="Arial" w:cs="Arial" w:eastAsia="Arial" w:hAnsi="Arial"/>
                <w:sz w:val="11"/>
                <w:szCs w:val="11"/>
                <w:color w:val="0000EE"/>
                <w:w w:val="77"/>
              </w:rPr>
            </w:pPr>
            <w:hyperlink w:anchor="page56">
              <w:r>
                <w:rPr>
                  <w:rFonts w:ascii="Arial" w:cs="Arial" w:eastAsia="Arial" w:hAnsi="Arial"/>
                  <w:sz w:val="11"/>
                  <w:szCs w:val="11"/>
                  <w:color w:val="0000EE"/>
                  <w:w w:val="77"/>
                </w:rPr>
                <w:t>Item 4.</w:t>
              </w:r>
            </w:hyperlink>
          </w:p>
        </w:tc>
        <w:tc>
          <w:tcPr>
            <w:tcW w:w="440" w:type="dxa"/>
            <w:vAlign w:val="bottom"/>
            <w:gridSpan w:val="5"/>
          </w:tcPr>
          <w:p>
            <w:pPr>
              <w:spacing w:after="0"/>
              <w:rPr>
                <w:sz w:val="13"/>
                <w:szCs w:val="13"/>
                <w:color w:val="auto"/>
              </w:rPr>
            </w:pPr>
          </w:p>
        </w:tc>
        <w:tc>
          <w:tcPr>
            <w:tcW w:w="280" w:type="dxa"/>
            <w:vAlign w:val="bottom"/>
          </w:tcPr>
          <w:p>
            <w:pPr>
              <w:spacing w:after="0"/>
              <w:rPr>
                <w:sz w:val="13"/>
                <w:szCs w:val="13"/>
                <w:color w:val="auto"/>
              </w:rPr>
            </w:pPr>
          </w:p>
        </w:tc>
        <w:tc>
          <w:tcPr>
            <w:tcW w:w="1380" w:type="dxa"/>
            <w:vAlign w:val="bottom"/>
            <w:gridSpan w:val="7"/>
          </w:tcPr>
          <w:p>
            <w:pPr>
              <w:spacing w:after="0"/>
              <w:rPr>
                <w:rFonts w:ascii="Arial" w:cs="Arial" w:eastAsia="Arial" w:hAnsi="Arial"/>
                <w:sz w:val="11"/>
                <w:szCs w:val="11"/>
                <w:color w:val="0000EE"/>
              </w:rPr>
            </w:pPr>
            <w:hyperlink w:anchor="page56">
              <w:r>
                <w:rPr>
                  <w:rFonts w:ascii="Arial" w:cs="Arial" w:eastAsia="Arial" w:hAnsi="Arial"/>
                  <w:sz w:val="11"/>
                  <w:szCs w:val="11"/>
                  <w:color w:val="0000EE"/>
                </w:rPr>
                <w:t>Mine Safety Disclosures</w:t>
              </w:r>
            </w:hyperlink>
          </w:p>
        </w:tc>
        <w:tc>
          <w:tcPr>
            <w:tcW w:w="2500" w:type="dxa"/>
            <w:vAlign w:val="bottom"/>
            <w:gridSpan w:val="3"/>
          </w:tcPr>
          <w:p>
            <w:pPr>
              <w:spacing w:after="0"/>
              <w:rPr>
                <w:sz w:val="13"/>
                <w:szCs w:val="13"/>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6">
              <w:r>
                <w:rPr>
                  <w:rFonts w:ascii="Arial" w:cs="Arial" w:eastAsia="Arial" w:hAnsi="Arial"/>
                  <w:sz w:val="11"/>
                  <w:szCs w:val="11"/>
                  <w:color w:val="0000EE"/>
                  <w:w w:val="81"/>
                </w:rPr>
                <w:t>55</w:t>
              </w:r>
            </w:hyperlink>
          </w:p>
        </w:tc>
      </w:tr>
      <w:tr>
        <w:trPr>
          <w:trHeight w:val="20"/>
        </w:trPr>
        <w:tc>
          <w:tcPr>
            <w:tcW w:w="30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gridSpan w:val="4"/>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440" w:type="dxa"/>
            <w:vAlign w:val="bottom"/>
            <w:gridSpan w:val="2"/>
            <w:shd w:val="clear" w:color="auto" w:fill="0000EE"/>
          </w:tcPr>
          <w:p>
            <w:pPr>
              <w:spacing w:after="0" w:line="20" w:lineRule="exact"/>
              <w:rPr>
                <w:sz w:val="1"/>
                <w:szCs w:val="1"/>
                <w:color w:val="auto"/>
              </w:rPr>
            </w:pPr>
          </w:p>
        </w:tc>
        <w:tc>
          <w:tcPr>
            <w:tcW w:w="260" w:type="dxa"/>
            <w:vAlign w:val="bottom"/>
            <w:tcBorders>
              <w:left w:val="single" w:sz="8" w:color="0000EE"/>
            </w:tcBorders>
            <w:gridSpan w:val="2"/>
            <w:shd w:val="clear" w:color="auto" w:fill="0000EE"/>
          </w:tcPr>
          <w:p>
            <w:pPr>
              <w:spacing w:after="0" w:line="20" w:lineRule="exact"/>
              <w:rPr>
                <w:sz w:val="1"/>
                <w:szCs w:val="1"/>
                <w:color w:val="auto"/>
              </w:rPr>
            </w:pPr>
          </w:p>
        </w:tc>
        <w:tc>
          <w:tcPr>
            <w:tcW w:w="2820" w:type="dxa"/>
            <w:vAlign w:val="bottom"/>
            <w:gridSpan w:val="5"/>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151"/>
        </w:trPr>
        <w:tc>
          <w:tcPr>
            <w:tcW w:w="300" w:type="dxa"/>
            <w:vAlign w:val="bottom"/>
          </w:tcPr>
          <w:p>
            <w:pPr>
              <w:spacing w:after="0"/>
              <w:rPr>
                <w:rFonts w:ascii="Arial" w:cs="Arial" w:eastAsia="Arial" w:hAnsi="Arial"/>
                <w:sz w:val="11"/>
                <w:szCs w:val="11"/>
                <w:color w:val="0000EE"/>
                <w:w w:val="77"/>
              </w:rPr>
            </w:pPr>
            <w:hyperlink w:anchor="page56">
              <w:r>
                <w:rPr>
                  <w:rFonts w:ascii="Arial" w:cs="Arial" w:eastAsia="Arial" w:hAnsi="Arial"/>
                  <w:sz w:val="11"/>
                  <w:szCs w:val="11"/>
                  <w:color w:val="0000EE"/>
                  <w:w w:val="77"/>
                </w:rPr>
                <w:t>Item 5.</w:t>
              </w:r>
            </w:hyperlink>
          </w:p>
        </w:tc>
        <w:tc>
          <w:tcPr>
            <w:tcW w:w="440" w:type="dxa"/>
            <w:vAlign w:val="bottom"/>
            <w:gridSpan w:val="5"/>
          </w:tcPr>
          <w:p>
            <w:pPr>
              <w:spacing w:after="0"/>
              <w:rPr>
                <w:sz w:val="13"/>
                <w:szCs w:val="13"/>
                <w:color w:val="auto"/>
              </w:rPr>
            </w:pPr>
          </w:p>
        </w:tc>
        <w:tc>
          <w:tcPr>
            <w:tcW w:w="280" w:type="dxa"/>
            <w:vAlign w:val="bottom"/>
          </w:tcPr>
          <w:p>
            <w:pPr>
              <w:spacing w:after="0"/>
              <w:rPr>
                <w:sz w:val="13"/>
                <w:szCs w:val="13"/>
                <w:color w:val="auto"/>
              </w:rPr>
            </w:pPr>
          </w:p>
        </w:tc>
        <w:tc>
          <w:tcPr>
            <w:tcW w:w="800" w:type="dxa"/>
            <w:vAlign w:val="bottom"/>
            <w:gridSpan w:val="3"/>
          </w:tcPr>
          <w:p>
            <w:pPr>
              <w:spacing w:after="0"/>
              <w:rPr>
                <w:rFonts w:ascii="Arial" w:cs="Arial" w:eastAsia="Arial" w:hAnsi="Arial"/>
                <w:sz w:val="11"/>
                <w:szCs w:val="11"/>
                <w:color w:val="0000EE"/>
                <w:w w:val="88"/>
              </w:rPr>
            </w:pPr>
            <w:hyperlink w:anchor="page56">
              <w:r>
                <w:rPr>
                  <w:rFonts w:ascii="Arial" w:cs="Arial" w:eastAsia="Arial" w:hAnsi="Arial"/>
                  <w:sz w:val="11"/>
                  <w:szCs w:val="11"/>
                  <w:color w:val="0000EE"/>
                  <w:w w:val="88"/>
                </w:rPr>
                <w:t>Other Information</w:t>
              </w:r>
            </w:hyperlink>
          </w:p>
        </w:tc>
        <w:tc>
          <w:tcPr>
            <w:tcW w:w="260" w:type="dxa"/>
            <w:vAlign w:val="bottom"/>
            <w:gridSpan w:val="2"/>
          </w:tcPr>
          <w:p>
            <w:pPr>
              <w:spacing w:after="0"/>
              <w:rPr>
                <w:sz w:val="13"/>
                <w:szCs w:val="13"/>
                <w:color w:val="auto"/>
              </w:rPr>
            </w:pPr>
          </w:p>
        </w:tc>
        <w:tc>
          <w:tcPr>
            <w:tcW w:w="2820" w:type="dxa"/>
            <w:vAlign w:val="bottom"/>
            <w:gridSpan w:val="5"/>
          </w:tcPr>
          <w:p>
            <w:pPr>
              <w:spacing w:after="0"/>
              <w:rPr>
                <w:sz w:val="13"/>
                <w:szCs w:val="13"/>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6">
              <w:r>
                <w:rPr>
                  <w:rFonts w:ascii="Arial" w:cs="Arial" w:eastAsia="Arial" w:hAnsi="Arial"/>
                  <w:sz w:val="11"/>
                  <w:szCs w:val="11"/>
                  <w:color w:val="0000EE"/>
                  <w:w w:val="81"/>
                </w:rPr>
                <w:t>55</w:t>
              </w:r>
            </w:hyperlink>
          </w:p>
        </w:tc>
      </w:tr>
      <w:tr>
        <w:trPr>
          <w:trHeight w:val="20"/>
        </w:trPr>
        <w:tc>
          <w:tcPr>
            <w:tcW w:w="30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gridSpan w:val="4"/>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440" w:type="dxa"/>
            <w:vAlign w:val="bottom"/>
            <w:gridSpan w:val="2"/>
            <w:shd w:val="clear" w:color="auto" w:fill="0000EE"/>
          </w:tcPr>
          <w:p>
            <w:pPr>
              <w:spacing w:after="0" w:line="20" w:lineRule="exact"/>
              <w:rPr>
                <w:sz w:val="1"/>
                <w:szCs w:val="1"/>
                <w:color w:val="auto"/>
              </w:rPr>
            </w:pPr>
          </w:p>
        </w:tc>
        <w:tc>
          <w:tcPr>
            <w:tcW w:w="3080" w:type="dxa"/>
            <w:vAlign w:val="bottom"/>
            <w:gridSpan w:val="7"/>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151"/>
        </w:trPr>
        <w:tc>
          <w:tcPr>
            <w:tcW w:w="300" w:type="dxa"/>
            <w:vAlign w:val="bottom"/>
          </w:tcPr>
          <w:p>
            <w:pPr>
              <w:spacing w:after="0"/>
              <w:rPr>
                <w:rFonts w:ascii="Arial" w:cs="Arial" w:eastAsia="Arial" w:hAnsi="Arial"/>
                <w:sz w:val="11"/>
                <w:szCs w:val="11"/>
                <w:color w:val="0000EE"/>
                <w:w w:val="77"/>
              </w:rPr>
            </w:pPr>
            <w:hyperlink w:anchor="page56">
              <w:r>
                <w:rPr>
                  <w:rFonts w:ascii="Arial" w:cs="Arial" w:eastAsia="Arial" w:hAnsi="Arial"/>
                  <w:sz w:val="11"/>
                  <w:szCs w:val="11"/>
                  <w:color w:val="0000EE"/>
                  <w:w w:val="77"/>
                </w:rPr>
                <w:t>Item 6.</w:t>
              </w:r>
            </w:hyperlink>
          </w:p>
        </w:tc>
        <w:tc>
          <w:tcPr>
            <w:tcW w:w="440" w:type="dxa"/>
            <w:vAlign w:val="bottom"/>
            <w:gridSpan w:val="5"/>
          </w:tcPr>
          <w:p>
            <w:pPr>
              <w:spacing w:after="0"/>
              <w:rPr>
                <w:sz w:val="13"/>
                <w:szCs w:val="13"/>
                <w:color w:val="auto"/>
              </w:rPr>
            </w:pPr>
          </w:p>
        </w:tc>
        <w:tc>
          <w:tcPr>
            <w:tcW w:w="280" w:type="dxa"/>
            <w:vAlign w:val="bottom"/>
          </w:tcPr>
          <w:p>
            <w:pPr>
              <w:spacing w:after="0"/>
              <w:rPr>
                <w:sz w:val="13"/>
                <w:szCs w:val="13"/>
                <w:color w:val="auto"/>
              </w:rPr>
            </w:pPr>
          </w:p>
        </w:tc>
        <w:tc>
          <w:tcPr>
            <w:tcW w:w="800" w:type="dxa"/>
            <w:vAlign w:val="bottom"/>
            <w:gridSpan w:val="3"/>
          </w:tcPr>
          <w:p>
            <w:pPr>
              <w:spacing w:after="0"/>
              <w:rPr>
                <w:rFonts w:ascii="Arial" w:cs="Arial" w:eastAsia="Arial" w:hAnsi="Arial"/>
                <w:sz w:val="11"/>
                <w:szCs w:val="11"/>
                <w:color w:val="0000EE"/>
              </w:rPr>
            </w:pPr>
            <w:hyperlink w:anchor="page56">
              <w:r>
                <w:rPr>
                  <w:rFonts w:ascii="Arial" w:cs="Arial" w:eastAsia="Arial" w:hAnsi="Arial"/>
                  <w:sz w:val="11"/>
                  <w:szCs w:val="11"/>
                  <w:color w:val="0000EE"/>
                </w:rPr>
                <w:t>Exhibits</w:t>
              </w:r>
            </w:hyperlink>
          </w:p>
        </w:tc>
        <w:tc>
          <w:tcPr>
            <w:tcW w:w="3080" w:type="dxa"/>
            <w:vAlign w:val="bottom"/>
            <w:gridSpan w:val="7"/>
          </w:tcPr>
          <w:p>
            <w:pPr>
              <w:spacing w:after="0"/>
              <w:rPr>
                <w:sz w:val="13"/>
                <w:szCs w:val="13"/>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6">
              <w:r>
                <w:rPr>
                  <w:rFonts w:ascii="Arial" w:cs="Arial" w:eastAsia="Arial" w:hAnsi="Arial"/>
                  <w:sz w:val="11"/>
                  <w:szCs w:val="11"/>
                  <w:color w:val="0000EE"/>
                  <w:w w:val="81"/>
                </w:rPr>
                <w:t>55</w:t>
              </w:r>
            </w:hyperlink>
          </w:p>
        </w:tc>
      </w:tr>
      <w:tr>
        <w:trPr>
          <w:trHeight w:val="20"/>
        </w:trPr>
        <w:tc>
          <w:tcPr>
            <w:tcW w:w="30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gridSpan w:val="4"/>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r>
        <w:trPr>
          <w:trHeight w:val="349"/>
        </w:trPr>
        <w:tc>
          <w:tcPr>
            <w:tcW w:w="740" w:type="dxa"/>
            <w:vAlign w:val="bottom"/>
            <w:gridSpan w:val="6"/>
          </w:tcPr>
          <w:p>
            <w:pPr>
              <w:spacing w:after="0"/>
              <w:rPr>
                <w:sz w:val="20"/>
                <w:szCs w:val="20"/>
                <w:color w:val="auto"/>
              </w:rPr>
            </w:pPr>
            <w:r>
              <w:rPr>
                <w:rFonts w:ascii="Arial" w:cs="Arial" w:eastAsia="Arial" w:hAnsi="Arial"/>
                <w:sz w:val="11"/>
                <w:szCs w:val="11"/>
                <w:color w:val="0000EE"/>
              </w:rPr>
              <w:t>Signatures</w:t>
            </w: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5860" w:type="dxa"/>
            <w:vAlign w:val="bottom"/>
            <w:gridSpan w:val="2"/>
          </w:tcPr>
          <w:p>
            <w:pPr>
              <w:jc w:val="center"/>
              <w:ind w:left="5705"/>
              <w:spacing w:after="0"/>
              <w:rPr>
                <w:rFonts w:ascii="Arial" w:cs="Arial" w:eastAsia="Arial" w:hAnsi="Arial"/>
                <w:sz w:val="11"/>
                <w:szCs w:val="11"/>
                <w:color w:val="0000EE"/>
                <w:w w:val="81"/>
              </w:rPr>
            </w:pPr>
            <w:hyperlink w:anchor="page58">
              <w:r>
                <w:rPr>
                  <w:rFonts w:ascii="Arial" w:cs="Arial" w:eastAsia="Arial" w:hAnsi="Arial"/>
                  <w:sz w:val="11"/>
                  <w:szCs w:val="11"/>
                  <w:color w:val="0000EE"/>
                  <w:w w:val="81"/>
                </w:rPr>
                <w:t>57</w:t>
              </w:r>
            </w:hyperlink>
          </w:p>
        </w:tc>
      </w:tr>
      <w:tr>
        <w:trPr>
          <w:trHeight w:val="475"/>
        </w:trPr>
        <w:tc>
          <w:tcPr>
            <w:tcW w:w="30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4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3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5760" w:type="dxa"/>
            <w:vAlign w:val="bottom"/>
          </w:tcPr>
          <w:p>
            <w:pPr>
              <w:jc w:val="center"/>
              <w:ind w:right="4085"/>
              <w:spacing w:after="0"/>
              <w:rPr>
                <w:sz w:val="20"/>
                <w:szCs w:val="20"/>
                <w:color w:val="auto"/>
              </w:rPr>
            </w:pPr>
            <w:r>
              <w:rPr>
                <w:rFonts w:ascii="Arial" w:cs="Arial" w:eastAsia="Arial" w:hAnsi="Arial"/>
                <w:sz w:val="12"/>
                <w:szCs w:val="12"/>
                <w:color w:val="auto"/>
                <w:w w:val="89"/>
              </w:rPr>
              <w:t>1</w:t>
            </w:r>
          </w:p>
        </w:tc>
        <w:tc>
          <w:tcPr>
            <w:tcW w:w="100" w:type="dxa"/>
            <w:vAlign w:val="bottom"/>
            <w:tcBorders>
              <w:top w:val="single" w:sz="8" w:color="0000EE"/>
            </w:tcBorders>
          </w:tcPr>
          <w:p>
            <w:pPr>
              <w:spacing w:after="0"/>
              <w:rPr>
                <w:sz w:val="24"/>
                <w:szCs w:val="24"/>
                <w:color w:val="auto"/>
              </w:rPr>
            </w:pPr>
          </w:p>
        </w:tc>
      </w:tr>
    </w:tbl>
    <w:p>
      <w:pPr>
        <w:sectPr>
          <w:pgSz w:w="11900" w:h="16838" w:orient="portrait"/>
          <w:cols w:equalWidth="0" w:num="1">
            <w:col w:w="10760"/>
          </w:cols>
          <w:pgMar w:left="240" w:top="433" w:right="899" w:bottom="1440" w:gutter="0" w:footer="0" w:header="0"/>
        </w:sectPr>
      </w:pPr>
    </w:p>
    <w:bookmarkStart w:id="2" w:name="page3"/>
    <w:bookmarkEnd w:id="2"/>
    <w:p>
      <w:pPr>
        <w:jc w:val="center"/>
        <w:spacing w:after="0"/>
        <w:rPr>
          <w:sz w:val="20"/>
          <w:szCs w:val="20"/>
          <w:color w:val="auto"/>
        </w:rPr>
      </w:pPr>
      <w:r>
        <w:rPr>
          <w:rFonts w:ascii="Arial" w:cs="Arial" w:eastAsia="Arial" w:hAnsi="Arial"/>
          <w:sz w:val="12"/>
          <w:szCs w:val="12"/>
          <w:b w:val="1"/>
          <w:bCs w:val="1"/>
          <w:color w:val="auto"/>
        </w:rPr>
        <w:t>PART I. FINANCIAL INFORMATION</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1. </w:t>
      </w:r>
      <w:r>
        <w:rPr>
          <w:rFonts w:ascii="Arial" w:cs="Arial" w:eastAsia="Arial" w:hAnsi="Arial"/>
          <w:sz w:val="12"/>
          <w:szCs w:val="12"/>
          <w:b w:val="1"/>
          <w:bCs w:val="1"/>
          <w:i w:val="1"/>
          <w:iCs w:val="1"/>
          <w:color w:val="auto"/>
        </w:rPr>
        <w:t>Financial Statements</w:t>
      </w:r>
    </w:p>
    <w:p>
      <w:pPr>
        <w:spacing w:after="0" w:line="150"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CONSOLIDATED BALANCE SHEETS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(in millions, except per share data)</w:t>
      </w:r>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7920" w:type="dxa"/>
            <w:vAlign w:val="bottom"/>
          </w:tcPr>
          <w:p>
            <w:pPr>
              <w:spacing w:after="0"/>
              <w:rPr>
                <w:sz w:val="11"/>
                <w:szCs w:val="11"/>
                <w:color w:val="auto"/>
              </w:rPr>
            </w:pPr>
          </w:p>
        </w:tc>
        <w:tc>
          <w:tcPr>
            <w:tcW w:w="128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September 30, 2016</w:t>
            </w:r>
          </w:p>
        </w:tc>
        <w:tc>
          <w:tcPr>
            <w:tcW w:w="440" w:type="dxa"/>
            <w:vAlign w:val="bottom"/>
            <w:tcBorders>
              <w:bottom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1440" w:type="dxa"/>
            <w:vAlign w:val="bottom"/>
            <w:tcBorders>
              <w:bottom w:val="single" w:sz="8" w:color="auto"/>
            </w:tcBorders>
          </w:tcPr>
          <w:p>
            <w:pPr>
              <w:jc w:val="right"/>
              <w:ind w:right="426"/>
              <w:spacing w:after="0"/>
              <w:rPr>
                <w:sz w:val="20"/>
                <w:szCs w:val="20"/>
                <w:color w:val="auto"/>
              </w:rPr>
            </w:pPr>
            <w:r>
              <w:rPr>
                <w:rFonts w:ascii="Arial" w:cs="Arial" w:eastAsia="Arial" w:hAnsi="Arial"/>
                <w:sz w:val="10"/>
                <w:szCs w:val="10"/>
                <w:b w:val="1"/>
                <w:bCs w:val="1"/>
                <w:color w:val="auto"/>
              </w:rPr>
              <w:t>December 31, 2015</w:t>
            </w:r>
          </w:p>
        </w:tc>
      </w:tr>
      <w:tr>
        <w:trPr>
          <w:trHeight w:val="169"/>
        </w:trPr>
        <w:tc>
          <w:tcPr>
            <w:tcW w:w="7920" w:type="dxa"/>
            <w:vAlign w:val="bottom"/>
          </w:tcPr>
          <w:p>
            <w:pPr>
              <w:spacing w:after="0"/>
              <w:rPr>
                <w:sz w:val="14"/>
                <w:szCs w:val="14"/>
                <w:color w:val="auto"/>
              </w:rPr>
            </w:pPr>
          </w:p>
        </w:tc>
        <w:tc>
          <w:tcPr>
            <w:tcW w:w="1280" w:type="dxa"/>
            <w:vAlign w:val="bottom"/>
          </w:tcPr>
          <w:p>
            <w:pPr>
              <w:jc w:val="right"/>
              <w:ind w:right="108"/>
              <w:spacing w:after="0"/>
              <w:rPr>
                <w:sz w:val="20"/>
                <w:szCs w:val="20"/>
                <w:color w:val="auto"/>
              </w:rPr>
            </w:pPr>
            <w:r>
              <w:rPr>
                <w:rFonts w:ascii="Arial" w:cs="Arial" w:eastAsia="Arial" w:hAnsi="Arial"/>
                <w:sz w:val="10"/>
                <w:szCs w:val="10"/>
                <w:b w:val="1"/>
                <w:bCs w:val="1"/>
                <w:color w:val="auto"/>
              </w:rPr>
              <w:t>(Unaudited)</w:t>
            </w: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40" w:type="dxa"/>
            <w:vAlign w:val="bottom"/>
          </w:tcPr>
          <w:p>
            <w:pPr>
              <w:spacing w:after="0"/>
              <w:rPr>
                <w:sz w:val="14"/>
                <w:szCs w:val="14"/>
                <w:color w:val="auto"/>
              </w:rPr>
            </w:pPr>
          </w:p>
        </w:tc>
      </w:tr>
      <w:tr>
        <w:trPr>
          <w:trHeight w:val="164"/>
        </w:trPr>
        <w:tc>
          <w:tcPr>
            <w:tcW w:w="79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b w:val="1"/>
                <w:bCs w:val="1"/>
                <w:color w:val="auto"/>
              </w:rPr>
              <w:t>Assets:</w:t>
            </w:r>
          </w:p>
        </w:tc>
        <w:tc>
          <w:tcPr>
            <w:tcW w:w="1280" w:type="dxa"/>
            <w:vAlign w:val="bottom"/>
            <w:tcBorders>
              <w:bottom w:val="single" w:sz="8" w:color="CCEEFF"/>
            </w:tcBorders>
            <w:shd w:val="clear" w:color="auto" w:fill="CCEEFF"/>
          </w:tcPr>
          <w:p>
            <w:pPr>
              <w:spacing w:after="0"/>
              <w:rPr>
                <w:sz w:val="14"/>
                <w:szCs w:val="14"/>
                <w:color w:val="auto"/>
              </w:rPr>
            </w:pPr>
          </w:p>
        </w:tc>
        <w:tc>
          <w:tcPr>
            <w:tcW w:w="44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CCEEFF"/>
            </w:tcBorders>
            <w:shd w:val="clear" w:color="auto" w:fill="CCEEFF"/>
          </w:tcPr>
          <w:p>
            <w:pPr>
              <w:spacing w:after="0"/>
              <w:rPr>
                <w:sz w:val="14"/>
                <w:szCs w:val="14"/>
                <w:color w:val="auto"/>
              </w:rPr>
            </w:pPr>
          </w:p>
        </w:tc>
        <w:tc>
          <w:tcPr>
            <w:tcW w:w="1440" w:type="dxa"/>
            <w:vAlign w:val="bottom"/>
            <w:tcBorders>
              <w:bottom w:val="single" w:sz="8" w:color="CCEEFF"/>
            </w:tcBorders>
            <w:shd w:val="clear" w:color="auto" w:fill="CCEEFF"/>
          </w:tcPr>
          <w:p>
            <w:pPr>
              <w:spacing w:after="0"/>
              <w:rPr>
                <w:sz w:val="14"/>
                <w:szCs w:val="14"/>
                <w:color w:val="auto"/>
              </w:rPr>
            </w:pP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Agency securities, at fair value (including pledged securities of $44,089 and $48,380, respectively)</w:t>
            </w:r>
          </w:p>
        </w:tc>
        <w:tc>
          <w:tcPr>
            <w:tcW w:w="1280" w:type="dxa"/>
            <w:vAlign w:val="bottom"/>
          </w:tcPr>
          <w:p>
            <w:pPr>
              <w:jc w:val="right"/>
              <w:ind w:right="1148"/>
              <w:spacing w:after="0"/>
              <w:rPr>
                <w:sz w:val="20"/>
                <w:szCs w:val="20"/>
                <w:color w:val="auto"/>
              </w:rPr>
            </w:pPr>
            <w:r>
              <w:rPr>
                <w:rFonts w:ascii="Arial" w:cs="Arial" w:eastAsia="Arial" w:hAnsi="Arial"/>
                <w:sz w:val="11"/>
                <w:szCs w:val="11"/>
                <w:color w:val="auto"/>
                <w:w w:val="97"/>
              </w:rPr>
              <w:t>$</w:t>
            </w:r>
          </w:p>
        </w:tc>
        <w:tc>
          <w:tcPr>
            <w:tcW w:w="440" w:type="dxa"/>
            <w:vAlign w:val="bottom"/>
          </w:tcPr>
          <w:p>
            <w:pPr>
              <w:jc w:val="right"/>
              <w:ind w:right="46"/>
              <w:spacing w:after="0"/>
              <w:rPr>
                <w:sz w:val="20"/>
                <w:szCs w:val="20"/>
                <w:color w:val="auto"/>
              </w:rPr>
            </w:pPr>
            <w:r>
              <w:rPr>
                <w:rFonts w:ascii="Arial" w:cs="Arial" w:eastAsia="Arial" w:hAnsi="Arial"/>
                <w:sz w:val="11"/>
                <w:szCs w:val="11"/>
                <w:color w:val="auto"/>
                <w:w w:val="94"/>
              </w:rPr>
              <w:t>46,328</w:t>
            </w:r>
          </w:p>
        </w:tc>
        <w:tc>
          <w:tcPr>
            <w:tcW w:w="120" w:type="dxa"/>
            <w:vAlign w:val="bottom"/>
          </w:tcPr>
          <w:p>
            <w:pPr>
              <w:spacing w:after="0"/>
              <w:rPr>
                <w:sz w:val="13"/>
                <w:szCs w:val="13"/>
                <w:color w:val="auto"/>
              </w:rPr>
            </w:pPr>
          </w:p>
        </w:tc>
        <w:tc>
          <w:tcPr>
            <w:tcW w:w="280" w:type="dxa"/>
            <w:vAlign w:val="bottom"/>
          </w:tcPr>
          <w:p>
            <w:pPr>
              <w:jc w:val="right"/>
              <w:ind w:right="146"/>
              <w:spacing w:after="0"/>
              <w:rPr>
                <w:sz w:val="20"/>
                <w:szCs w:val="20"/>
                <w:color w:val="auto"/>
              </w:rPr>
            </w:pPr>
            <w:r>
              <w:rPr>
                <w:rFonts w:ascii="Arial" w:cs="Arial" w:eastAsia="Arial" w:hAnsi="Arial"/>
                <w:sz w:val="11"/>
                <w:szCs w:val="11"/>
                <w:color w:val="auto"/>
                <w:w w:val="97"/>
              </w:rPr>
              <w:t>$</w:t>
            </w: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51,331</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Agency securities transferred to consolidated variable interest entities, at fair value (pledged securities)</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890</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1,029</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Non-agency securities, at fair value (pledged securities)</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102</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113</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Credit risk transfer securities, at fair value</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36</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U.S. Treasury securities, at fair value (pledged securities)</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45</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25</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REIT equity securities, at fair value</w:t>
            </w:r>
          </w:p>
        </w:tc>
        <w:tc>
          <w:tcPr>
            <w:tcW w:w="1280" w:type="dxa"/>
            <w:vAlign w:val="bottom"/>
            <w:tcBorders>
              <w:bottom w:val="single" w:sz="8" w:color="CCEEFF"/>
            </w:tcBorders>
            <w:shd w:val="clear" w:color="auto" w:fill="CCEEFF"/>
          </w:tcPr>
          <w:p>
            <w:pPr>
              <w:spacing w:after="0"/>
              <w:rPr>
                <w:sz w:val="13"/>
                <w:szCs w:val="13"/>
                <w:color w:val="auto"/>
              </w:rPr>
            </w:pPr>
          </w:p>
        </w:tc>
        <w:tc>
          <w:tcPr>
            <w:tcW w:w="56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1"/>
                <w:szCs w:val="11"/>
                <w:color w:val="auto"/>
              </w:rPr>
              <w:t>—</w:t>
            </w: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33</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Cash and cash equivalents</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1,254</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1,110</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Restricted cash and cash equivalents</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681</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1,281</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Derivative assets, at fair value</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61</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81</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Receivable for securities sold (pledged securities)</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228</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Receivable under reverse repurchase agreements</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5,441</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1,713</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Goodwill and other intangible assets, net</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555</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Other assets</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268</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305</w:t>
            </w:r>
          </w:p>
        </w:tc>
      </w:tr>
      <w:tr>
        <w:trPr>
          <w:trHeight w:val="22"/>
        </w:trPr>
        <w:tc>
          <w:tcPr>
            <w:tcW w:w="7920" w:type="dxa"/>
            <w:vAlign w:val="bottom"/>
            <w:tcBorders>
              <w:bottom w:val="single" w:sz="8" w:color="CCEEFF"/>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440" w:type="dxa"/>
            <w:vAlign w:val="bottom"/>
            <w:tcBorders>
              <w:bottom w:val="single" w:sz="8" w:color="auto"/>
            </w:tcBorders>
          </w:tcPr>
          <w:p>
            <w:pPr>
              <w:spacing w:after="0" w:line="20" w:lineRule="exact"/>
              <w:rPr>
                <w:sz w:val="1"/>
                <w:szCs w:val="1"/>
                <w:color w:val="auto"/>
              </w:rPr>
            </w:pPr>
          </w:p>
        </w:tc>
      </w:tr>
      <w:tr>
        <w:trPr>
          <w:trHeight w:val="174"/>
        </w:trPr>
        <w:tc>
          <w:tcPr>
            <w:tcW w:w="79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Total assets</w:t>
            </w:r>
          </w:p>
        </w:tc>
        <w:tc>
          <w:tcPr>
            <w:tcW w:w="1280" w:type="dxa"/>
            <w:vAlign w:val="bottom"/>
            <w:tcBorders>
              <w:bottom w:val="single" w:sz="8" w:color="auto"/>
            </w:tcBorders>
            <w:shd w:val="clear" w:color="auto" w:fill="CCEEFF"/>
          </w:tcPr>
          <w:p>
            <w:pPr>
              <w:jc w:val="right"/>
              <w:ind w:right="1148"/>
              <w:spacing w:after="0"/>
              <w:rPr>
                <w:sz w:val="20"/>
                <w:szCs w:val="20"/>
                <w:color w:val="auto"/>
              </w:rPr>
            </w:pPr>
            <w:r>
              <w:rPr>
                <w:rFonts w:ascii="Arial" w:cs="Arial" w:eastAsia="Arial" w:hAnsi="Arial"/>
                <w:sz w:val="11"/>
                <w:szCs w:val="11"/>
                <w:color w:val="auto"/>
                <w:w w:val="97"/>
              </w:rPr>
              <w:t>$</w:t>
            </w:r>
          </w:p>
        </w:tc>
        <w:tc>
          <w:tcPr>
            <w:tcW w:w="440" w:type="dxa"/>
            <w:vAlign w:val="bottom"/>
            <w:tcBorders>
              <w:bottom w:val="single" w:sz="8" w:color="auto"/>
            </w:tcBorders>
            <w:shd w:val="clear" w:color="auto" w:fill="CCEEFF"/>
          </w:tcPr>
          <w:p>
            <w:pPr>
              <w:jc w:val="right"/>
              <w:ind w:right="46"/>
              <w:spacing w:after="0"/>
              <w:rPr>
                <w:sz w:val="20"/>
                <w:szCs w:val="20"/>
                <w:color w:val="auto"/>
              </w:rPr>
            </w:pPr>
            <w:r>
              <w:rPr>
                <w:rFonts w:ascii="Arial" w:cs="Arial" w:eastAsia="Arial" w:hAnsi="Arial"/>
                <w:sz w:val="11"/>
                <w:szCs w:val="11"/>
                <w:color w:val="auto"/>
                <w:w w:val="94"/>
              </w:rPr>
              <w:t>55,889</w:t>
            </w:r>
          </w:p>
        </w:tc>
        <w:tc>
          <w:tcPr>
            <w:tcW w:w="120" w:type="dxa"/>
            <w:vAlign w:val="bottom"/>
            <w:tcBorders>
              <w:bottom w:val="single" w:sz="8" w:color="CCEEFF"/>
            </w:tcBorders>
            <w:shd w:val="clear" w:color="auto" w:fill="CCEEFF"/>
          </w:tcPr>
          <w:p>
            <w:pPr>
              <w:spacing w:after="0"/>
              <w:rPr>
                <w:sz w:val="15"/>
                <w:szCs w:val="15"/>
                <w:color w:val="auto"/>
              </w:rPr>
            </w:pPr>
          </w:p>
        </w:tc>
        <w:tc>
          <w:tcPr>
            <w:tcW w:w="280" w:type="dxa"/>
            <w:vAlign w:val="bottom"/>
            <w:tcBorders>
              <w:bottom w:val="single" w:sz="8" w:color="auto"/>
            </w:tcBorders>
            <w:shd w:val="clear" w:color="auto" w:fill="CCEEFF"/>
          </w:tcPr>
          <w:p>
            <w:pPr>
              <w:jc w:val="right"/>
              <w:ind w:right="146"/>
              <w:spacing w:after="0"/>
              <w:rPr>
                <w:sz w:val="20"/>
                <w:szCs w:val="20"/>
                <w:color w:val="auto"/>
              </w:rPr>
            </w:pPr>
            <w:r>
              <w:rPr>
                <w:rFonts w:ascii="Arial" w:cs="Arial" w:eastAsia="Arial" w:hAnsi="Arial"/>
                <w:sz w:val="11"/>
                <w:szCs w:val="11"/>
                <w:color w:val="auto"/>
                <w:w w:val="97"/>
              </w:rPr>
              <w:t>$</w:t>
            </w:r>
          </w:p>
        </w:tc>
        <w:tc>
          <w:tcPr>
            <w:tcW w:w="1440" w:type="dxa"/>
            <w:vAlign w:val="bottom"/>
            <w:tcBorders>
              <w:bottom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rPr>
              <w:t>57,021</w:t>
            </w:r>
          </w:p>
        </w:tc>
      </w:tr>
      <w:tr>
        <w:trPr>
          <w:trHeight w:val="152"/>
        </w:trPr>
        <w:tc>
          <w:tcPr>
            <w:tcW w:w="7920" w:type="dxa"/>
            <w:vAlign w:val="bottom"/>
          </w:tcPr>
          <w:p>
            <w:pPr>
              <w:ind w:left="20"/>
              <w:spacing w:after="0"/>
              <w:rPr>
                <w:sz w:val="20"/>
                <w:szCs w:val="20"/>
                <w:color w:val="auto"/>
              </w:rPr>
            </w:pPr>
            <w:r>
              <w:rPr>
                <w:rFonts w:ascii="Arial" w:cs="Arial" w:eastAsia="Arial" w:hAnsi="Arial"/>
                <w:sz w:val="11"/>
                <w:szCs w:val="11"/>
                <w:b w:val="1"/>
                <w:bCs w:val="1"/>
                <w:color w:val="auto"/>
              </w:rPr>
              <w:t>Liabilities:</w:t>
            </w:r>
          </w:p>
        </w:tc>
        <w:tc>
          <w:tcPr>
            <w:tcW w:w="128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spacing w:after="0"/>
              <w:rPr>
                <w:sz w:val="13"/>
                <w:szCs w:val="13"/>
                <w:color w:val="auto"/>
              </w:rPr>
            </w:pP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Repurchase agreements</w:t>
            </w:r>
          </w:p>
        </w:tc>
        <w:tc>
          <w:tcPr>
            <w:tcW w:w="1280" w:type="dxa"/>
            <w:vAlign w:val="bottom"/>
            <w:tcBorders>
              <w:bottom w:val="single" w:sz="8" w:color="CCEEFF"/>
            </w:tcBorders>
            <w:shd w:val="clear" w:color="auto" w:fill="CCEEFF"/>
          </w:tcPr>
          <w:p>
            <w:pPr>
              <w:jc w:val="right"/>
              <w:ind w:right="1148"/>
              <w:spacing w:after="0"/>
              <w:rPr>
                <w:sz w:val="20"/>
                <w:szCs w:val="20"/>
                <w:color w:val="auto"/>
              </w:rPr>
            </w:pPr>
            <w:r>
              <w:rPr>
                <w:rFonts w:ascii="Arial" w:cs="Arial" w:eastAsia="Arial" w:hAnsi="Arial"/>
                <w:sz w:val="11"/>
                <w:szCs w:val="11"/>
                <w:color w:val="auto"/>
                <w:w w:val="97"/>
              </w:rPr>
              <w:t>$</w:t>
            </w: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w w:val="94"/>
              </w:rPr>
              <w:t>37,668</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jc w:val="right"/>
              <w:ind w:right="146"/>
              <w:spacing w:after="0"/>
              <w:rPr>
                <w:sz w:val="20"/>
                <w:szCs w:val="20"/>
                <w:color w:val="auto"/>
              </w:rPr>
            </w:pPr>
            <w:r>
              <w:rPr>
                <w:rFonts w:ascii="Arial" w:cs="Arial" w:eastAsia="Arial" w:hAnsi="Arial"/>
                <w:sz w:val="11"/>
                <w:szCs w:val="11"/>
                <w:color w:val="auto"/>
                <w:w w:val="97"/>
              </w:rPr>
              <w:t>$</w:t>
            </w: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41,754</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Federal Home Loan Bank advances</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3,037</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3,753</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Debt of consolidated variable interest entities, at fair value</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494</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595</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Payable for securities purchased</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251</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182</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Derivative liabilities, at fair value</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947</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935</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Dividends payable</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66</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74</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48"/>
        </w:trPr>
        <w:tc>
          <w:tcPr>
            <w:tcW w:w="7920" w:type="dxa"/>
            <w:vAlign w:val="bottom"/>
            <w:shd w:val="clear" w:color="auto" w:fill="CCEEFF"/>
          </w:tcPr>
          <w:p>
            <w:pPr>
              <w:ind w:left="240"/>
              <w:spacing w:after="0"/>
              <w:rPr>
                <w:sz w:val="20"/>
                <w:szCs w:val="20"/>
                <w:color w:val="auto"/>
              </w:rPr>
            </w:pPr>
            <w:r>
              <w:rPr>
                <w:rFonts w:ascii="Arial" w:cs="Arial" w:eastAsia="Arial" w:hAnsi="Arial"/>
                <w:sz w:val="11"/>
                <w:szCs w:val="11"/>
                <w:color w:val="auto"/>
              </w:rPr>
              <w:t>Obligation to return securities borrowed under reverse repurchase agreements, at</w:t>
            </w:r>
          </w:p>
        </w:tc>
        <w:tc>
          <w:tcPr>
            <w:tcW w:w="12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440" w:type="dxa"/>
            <w:vAlign w:val="bottom"/>
            <w:shd w:val="clear" w:color="auto" w:fill="CCEEFF"/>
          </w:tcPr>
          <w:p>
            <w:pPr>
              <w:spacing w:after="0"/>
              <w:rPr>
                <w:sz w:val="12"/>
                <w:szCs w:val="12"/>
                <w:color w:val="auto"/>
              </w:rPr>
            </w:pPr>
          </w:p>
        </w:tc>
      </w:tr>
      <w:tr>
        <w:trPr>
          <w:trHeight w:val="138"/>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fair value</w:t>
            </w:r>
          </w:p>
        </w:tc>
        <w:tc>
          <w:tcPr>
            <w:tcW w:w="1280" w:type="dxa"/>
            <w:vAlign w:val="bottom"/>
            <w:tcBorders>
              <w:bottom w:val="single" w:sz="8" w:color="CCEEFF"/>
            </w:tcBorders>
            <w:shd w:val="clear" w:color="auto" w:fill="CCEEFF"/>
          </w:tcPr>
          <w:p>
            <w:pPr>
              <w:spacing w:after="0"/>
              <w:rPr>
                <w:sz w:val="12"/>
                <w:szCs w:val="12"/>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5,424</w:t>
            </w:r>
          </w:p>
        </w:tc>
        <w:tc>
          <w:tcPr>
            <w:tcW w:w="120" w:type="dxa"/>
            <w:vAlign w:val="bottom"/>
            <w:tcBorders>
              <w:bottom w:val="single" w:sz="8" w:color="CCEEFF"/>
            </w:tcBorders>
            <w:shd w:val="clear" w:color="auto" w:fill="CCEEFF"/>
          </w:tcPr>
          <w:p>
            <w:pPr>
              <w:spacing w:after="0"/>
              <w:rPr>
                <w:sz w:val="12"/>
                <w:szCs w:val="12"/>
                <w:color w:val="auto"/>
              </w:rPr>
            </w:pPr>
          </w:p>
        </w:tc>
        <w:tc>
          <w:tcPr>
            <w:tcW w:w="280" w:type="dxa"/>
            <w:vAlign w:val="bottom"/>
            <w:tcBorders>
              <w:bottom w:val="single" w:sz="8" w:color="CCEEFF"/>
            </w:tcBorders>
            <w:shd w:val="clear" w:color="auto" w:fill="CCEEFF"/>
          </w:tcPr>
          <w:p>
            <w:pPr>
              <w:spacing w:after="0"/>
              <w:rPr>
                <w:sz w:val="12"/>
                <w:szCs w:val="12"/>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1,696</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Accounts payable and other accrued liabilities</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71</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61</w:t>
            </w:r>
          </w:p>
        </w:tc>
      </w:tr>
      <w:tr>
        <w:trPr>
          <w:trHeight w:val="22"/>
        </w:trPr>
        <w:tc>
          <w:tcPr>
            <w:tcW w:w="7920" w:type="dxa"/>
            <w:vAlign w:val="bottom"/>
            <w:tcBorders>
              <w:bottom w:val="single" w:sz="8" w:color="CCEEFF"/>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440" w:type="dxa"/>
            <w:vAlign w:val="bottom"/>
            <w:tcBorders>
              <w:bottom w:val="single" w:sz="8" w:color="auto"/>
            </w:tcBorders>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Total liabilities</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w w:val="94"/>
              </w:rPr>
              <w:t>47,958</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49,050</w:t>
            </w:r>
          </w:p>
        </w:tc>
      </w:tr>
      <w:tr>
        <w:trPr>
          <w:trHeight w:val="147"/>
        </w:trPr>
        <w:tc>
          <w:tcPr>
            <w:tcW w:w="7920" w:type="dxa"/>
            <w:vAlign w:val="bottom"/>
          </w:tcPr>
          <w:p>
            <w:pPr>
              <w:ind w:left="20"/>
              <w:spacing w:after="0"/>
              <w:rPr>
                <w:sz w:val="20"/>
                <w:szCs w:val="20"/>
                <w:color w:val="auto"/>
              </w:rPr>
            </w:pPr>
            <w:r>
              <w:rPr>
                <w:rFonts w:ascii="Arial" w:cs="Arial" w:eastAsia="Arial" w:hAnsi="Arial"/>
                <w:sz w:val="11"/>
                <w:szCs w:val="11"/>
                <w:b w:val="1"/>
                <w:bCs w:val="1"/>
                <w:color w:val="auto"/>
              </w:rPr>
              <w:t>Stockholders' equity:</w:t>
            </w:r>
          </w:p>
        </w:tc>
        <w:tc>
          <w:tcPr>
            <w:tcW w:w="1280" w:type="dxa"/>
            <w:vAlign w:val="bottom"/>
            <w:tcBorders>
              <w:top w:val="single" w:sz="8" w:color="auto"/>
            </w:tcBorders>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280" w:type="dxa"/>
            <w:vAlign w:val="bottom"/>
            <w:tcBorders>
              <w:top w:val="single" w:sz="8" w:color="auto"/>
            </w:tcBorders>
          </w:tcPr>
          <w:p>
            <w:pPr>
              <w:spacing w:after="0"/>
              <w:rPr>
                <w:sz w:val="12"/>
                <w:szCs w:val="12"/>
                <w:color w:val="auto"/>
              </w:rPr>
            </w:pPr>
          </w:p>
        </w:tc>
        <w:tc>
          <w:tcPr>
            <w:tcW w:w="1440" w:type="dxa"/>
            <w:vAlign w:val="bottom"/>
            <w:tcBorders>
              <w:top w:val="single" w:sz="8" w:color="auto"/>
            </w:tcBorders>
          </w:tcPr>
          <w:p>
            <w:pPr>
              <w:spacing w:after="0"/>
              <w:rPr>
                <w:sz w:val="12"/>
                <w:szCs w:val="12"/>
                <w:color w:val="auto"/>
              </w:rPr>
            </w:pP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Preferred stock - $0.01 par value; 10.0 shares authorized:</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spacing w:after="0"/>
              <w:rPr>
                <w:sz w:val="13"/>
                <w:szCs w:val="13"/>
                <w:color w:val="auto"/>
              </w:rPr>
            </w:pPr>
          </w:p>
        </w:tc>
      </w:tr>
      <w:tr>
        <w:trPr>
          <w:trHeight w:val="158"/>
        </w:trPr>
        <w:tc>
          <w:tcPr>
            <w:tcW w:w="7920" w:type="dxa"/>
            <w:vAlign w:val="bottom"/>
          </w:tcPr>
          <w:p>
            <w:pPr>
              <w:ind w:left="400"/>
              <w:spacing w:after="0"/>
              <w:rPr>
                <w:sz w:val="20"/>
                <w:szCs w:val="20"/>
                <w:color w:val="auto"/>
              </w:rPr>
            </w:pPr>
            <w:r>
              <w:rPr>
                <w:rFonts w:ascii="Arial" w:cs="Arial" w:eastAsia="Arial" w:hAnsi="Arial"/>
                <w:sz w:val="11"/>
                <w:szCs w:val="11"/>
                <w:color w:val="auto"/>
              </w:rPr>
              <w:t>Redeemable Preferred Stock; $0.01 par value; 6.9 shares issued and outstanding (aggregate liquidation preference of $348)</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336</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336</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Common stock - $0.01 par value; 600.0 shares authorized;</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spacing w:after="0"/>
              <w:rPr>
                <w:sz w:val="13"/>
                <w:szCs w:val="13"/>
                <w:color w:val="auto"/>
              </w:rPr>
            </w:pPr>
          </w:p>
        </w:tc>
      </w:tr>
      <w:tr>
        <w:trPr>
          <w:trHeight w:val="158"/>
        </w:trPr>
        <w:tc>
          <w:tcPr>
            <w:tcW w:w="7920" w:type="dxa"/>
            <w:vAlign w:val="bottom"/>
          </w:tcPr>
          <w:p>
            <w:pPr>
              <w:ind w:left="400"/>
              <w:spacing w:after="0"/>
              <w:rPr>
                <w:sz w:val="20"/>
                <w:szCs w:val="20"/>
                <w:color w:val="auto"/>
              </w:rPr>
            </w:pPr>
            <w:r>
              <w:rPr>
                <w:rFonts w:ascii="Arial" w:cs="Arial" w:eastAsia="Arial" w:hAnsi="Arial"/>
                <w:sz w:val="11"/>
                <w:szCs w:val="11"/>
                <w:color w:val="auto"/>
              </w:rPr>
              <w:t>331.0 and 337.5 shares issued and outstanding, respectively</w:t>
            </w:r>
          </w:p>
        </w:tc>
        <w:tc>
          <w:tcPr>
            <w:tcW w:w="1280" w:type="dxa"/>
            <w:vAlign w:val="bottom"/>
          </w:tcPr>
          <w:p>
            <w:pPr>
              <w:spacing w:after="0"/>
              <w:rPr>
                <w:sz w:val="13"/>
                <w:szCs w:val="13"/>
                <w:color w:val="auto"/>
              </w:rPr>
            </w:pPr>
          </w:p>
        </w:tc>
        <w:tc>
          <w:tcPr>
            <w:tcW w:w="440" w:type="dxa"/>
            <w:vAlign w:val="bottom"/>
          </w:tcPr>
          <w:p>
            <w:pPr>
              <w:jc w:val="right"/>
              <w:ind w:right="46"/>
              <w:spacing w:after="0"/>
              <w:rPr>
                <w:sz w:val="20"/>
                <w:szCs w:val="20"/>
                <w:color w:val="auto"/>
              </w:rPr>
            </w:pPr>
            <w:r>
              <w:rPr>
                <w:rFonts w:ascii="Arial" w:cs="Arial" w:eastAsia="Arial" w:hAnsi="Arial"/>
                <w:sz w:val="11"/>
                <w:szCs w:val="11"/>
                <w:color w:val="auto"/>
              </w:rPr>
              <w:t>3</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66"/>
              <w:spacing w:after="0"/>
              <w:rPr>
                <w:sz w:val="20"/>
                <w:szCs w:val="20"/>
                <w:color w:val="auto"/>
              </w:rPr>
            </w:pPr>
            <w:r>
              <w:rPr>
                <w:rFonts w:ascii="Arial" w:cs="Arial" w:eastAsia="Arial" w:hAnsi="Arial"/>
                <w:sz w:val="11"/>
                <w:szCs w:val="11"/>
                <w:color w:val="auto"/>
              </w:rPr>
              <w:t>3</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6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Additional paid-in capital</w:t>
            </w:r>
          </w:p>
        </w:tc>
        <w:tc>
          <w:tcPr>
            <w:tcW w:w="1280" w:type="dxa"/>
            <w:vAlign w:val="bottom"/>
            <w:tcBorders>
              <w:bottom w:val="single" w:sz="8" w:color="CCEEFF"/>
            </w:tcBorders>
            <w:shd w:val="clear" w:color="auto" w:fill="CCEEFF"/>
          </w:tcPr>
          <w:p>
            <w:pPr>
              <w:spacing w:after="0"/>
              <w:rPr>
                <w:sz w:val="13"/>
                <w:szCs w:val="13"/>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9,932</w:t>
            </w:r>
          </w:p>
        </w:tc>
        <w:tc>
          <w:tcPr>
            <w:tcW w:w="12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14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10,048</w:t>
            </w:r>
          </w:p>
        </w:tc>
      </w:tr>
      <w:tr>
        <w:trPr>
          <w:trHeight w:val="158"/>
        </w:trPr>
        <w:tc>
          <w:tcPr>
            <w:tcW w:w="7920" w:type="dxa"/>
            <w:vAlign w:val="bottom"/>
          </w:tcPr>
          <w:p>
            <w:pPr>
              <w:ind w:left="240"/>
              <w:spacing w:after="0"/>
              <w:rPr>
                <w:sz w:val="20"/>
                <w:szCs w:val="20"/>
                <w:color w:val="auto"/>
              </w:rPr>
            </w:pPr>
            <w:r>
              <w:rPr>
                <w:rFonts w:ascii="Arial" w:cs="Arial" w:eastAsia="Arial" w:hAnsi="Arial"/>
                <w:sz w:val="11"/>
                <w:szCs w:val="11"/>
                <w:color w:val="auto"/>
              </w:rPr>
              <w:t>Retained deficit</w:t>
            </w:r>
          </w:p>
        </w:tc>
        <w:tc>
          <w:tcPr>
            <w:tcW w:w="1280" w:type="dxa"/>
            <w:vAlign w:val="bottom"/>
          </w:tcPr>
          <w:p>
            <w:pPr>
              <w:spacing w:after="0"/>
              <w:rPr>
                <w:sz w:val="13"/>
                <w:szCs w:val="13"/>
                <w:color w:val="auto"/>
              </w:rPr>
            </w:pPr>
          </w:p>
        </w:tc>
        <w:tc>
          <w:tcPr>
            <w:tcW w:w="440" w:type="dxa"/>
            <w:vAlign w:val="bottom"/>
          </w:tcPr>
          <w:p>
            <w:pPr>
              <w:jc w:val="right"/>
              <w:ind w:right="26"/>
              <w:spacing w:after="0"/>
              <w:rPr>
                <w:sz w:val="20"/>
                <w:szCs w:val="20"/>
                <w:color w:val="auto"/>
              </w:rPr>
            </w:pPr>
            <w:r>
              <w:rPr>
                <w:rFonts w:ascii="Arial" w:cs="Arial" w:eastAsia="Arial" w:hAnsi="Arial"/>
                <w:sz w:val="11"/>
                <w:szCs w:val="11"/>
                <w:color w:val="auto"/>
                <w:w w:val="97"/>
              </w:rPr>
              <w:t>(3,350)</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40" w:type="dxa"/>
            <w:vAlign w:val="bottom"/>
          </w:tcPr>
          <w:p>
            <w:pPr>
              <w:jc w:val="right"/>
              <w:ind w:right="26"/>
              <w:spacing w:after="0"/>
              <w:rPr>
                <w:sz w:val="20"/>
                <w:szCs w:val="20"/>
                <w:color w:val="auto"/>
              </w:rPr>
            </w:pPr>
            <w:r>
              <w:rPr>
                <w:rFonts w:ascii="Arial" w:cs="Arial" w:eastAsia="Arial" w:hAnsi="Arial"/>
                <w:sz w:val="11"/>
                <w:szCs w:val="11"/>
                <w:color w:val="auto"/>
              </w:rPr>
              <w:t>(2,350)</w:t>
            </w:r>
          </w:p>
        </w:tc>
      </w:tr>
      <w:tr>
        <w:trPr>
          <w:trHeight w:val="22"/>
        </w:trPr>
        <w:tc>
          <w:tcPr>
            <w:tcW w:w="79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r>
      <w:tr>
        <w:trPr>
          <w:trHeight w:val="180"/>
        </w:trPr>
        <w:tc>
          <w:tcPr>
            <w:tcW w:w="792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1"/>
                <w:szCs w:val="11"/>
                <w:color w:val="auto"/>
              </w:rPr>
              <w:t>Accumulated other comprehensive income (loss)</w:t>
            </w:r>
          </w:p>
        </w:tc>
        <w:tc>
          <w:tcPr>
            <w:tcW w:w="128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1,010</w:t>
            </w:r>
          </w:p>
        </w:tc>
        <w:tc>
          <w:tcPr>
            <w:tcW w:w="120" w:type="dxa"/>
            <w:vAlign w:val="bottom"/>
            <w:tcBorders>
              <w:bottom w:val="single" w:sz="8" w:color="CCEEFF"/>
            </w:tcBorders>
            <w:shd w:val="clear" w:color="auto" w:fill="CCEEFF"/>
          </w:tcPr>
          <w:p>
            <w:pPr>
              <w:spacing w:after="0"/>
              <w:rPr>
                <w:sz w:val="15"/>
                <w:szCs w:val="15"/>
                <w:color w:val="auto"/>
              </w:rPr>
            </w:pPr>
          </w:p>
        </w:tc>
        <w:tc>
          <w:tcPr>
            <w:tcW w:w="280" w:type="dxa"/>
            <w:vAlign w:val="bottom"/>
            <w:tcBorders>
              <w:bottom w:val="single" w:sz="8" w:color="CCEEFF"/>
            </w:tcBorders>
            <w:shd w:val="clear" w:color="auto" w:fill="CCEEFF"/>
          </w:tcPr>
          <w:p>
            <w:pPr>
              <w:spacing w:after="0"/>
              <w:rPr>
                <w:sz w:val="15"/>
                <w:szCs w:val="15"/>
                <w:color w:val="auto"/>
              </w:rPr>
            </w:pPr>
          </w:p>
        </w:tc>
        <w:tc>
          <w:tcPr>
            <w:tcW w:w="144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(66)</w:t>
            </w:r>
          </w:p>
        </w:tc>
      </w:tr>
      <w:tr>
        <w:trPr>
          <w:trHeight w:val="138"/>
        </w:trPr>
        <w:tc>
          <w:tcPr>
            <w:tcW w:w="7920" w:type="dxa"/>
            <w:vAlign w:val="bottom"/>
          </w:tcPr>
          <w:p>
            <w:pPr>
              <w:ind w:left="460"/>
              <w:spacing w:after="0"/>
              <w:rPr>
                <w:sz w:val="20"/>
                <w:szCs w:val="20"/>
                <w:color w:val="auto"/>
              </w:rPr>
            </w:pPr>
            <w:r>
              <w:rPr>
                <w:rFonts w:ascii="Arial" w:cs="Arial" w:eastAsia="Arial" w:hAnsi="Arial"/>
                <w:sz w:val="11"/>
                <w:szCs w:val="11"/>
                <w:color w:val="auto"/>
              </w:rPr>
              <w:t>Total stockholders' equity</w:t>
            </w:r>
          </w:p>
        </w:tc>
        <w:tc>
          <w:tcPr>
            <w:tcW w:w="1280" w:type="dxa"/>
            <w:vAlign w:val="bottom"/>
            <w:tcBorders>
              <w:top w:val="single" w:sz="8" w:color="auto"/>
            </w:tcBorders>
          </w:tcPr>
          <w:p>
            <w:pPr>
              <w:spacing w:after="0"/>
              <w:rPr>
                <w:sz w:val="12"/>
                <w:szCs w:val="12"/>
                <w:color w:val="auto"/>
              </w:rPr>
            </w:pPr>
          </w:p>
        </w:tc>
        <w:tc>
          <w:tcPr>
            <w:tcW w:w="44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7,931</w:t>
            </w:r>
          </w:p>
        </w:tc>
        <w:tc>
          <w:tcPr>
            <w:tcW w:w="120" w:type="dxa"/>
            <w:vAlign w:val="bottom"/>
          </w:tcPr>
          <w:p>
            <w:pPr>
              <w:spacing w:after="0"/>
              <w:rPr>
                <w:sz w:val="12"/>
                <w:szCs w:val="12"/>
                <w:color w:val="auto"/>
              </w:rPr>
            </w:pPr>
          </w:p>
        </w:tc>
        <w:tc>
          <w:tcPr>
            <w:tcW w:w="280" w:type="dxa"/>
            <w:vAlign w:val="bottom"/>
            <w:tcBorders>
              <w:top w:val="single" w:sz="8" w:color="auto"/>
            </w:tcBorders>
          </w:tcPr>
          <w:p>
            <w:pPr>
              <w:spacing w:after="0"/>
              <w:rPr>
                <w:sz w:val="12"/>
                <w:szCs w:val="12"/>
                <w:color w:val="auto"/>
              </w:rPr>
            </w:pPr>
          </w:p>
        </w:tc>
        <w:tc>
          <w:tcPr>
            <w:tcW w:w="144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7,971</w:t>
            </w:r>
          </w:p>
        </w:tc>
      </w:tr>
      <w:tr>
        <w:trPr>
          <w:trHeight w:val="22"/>
        </w:trPr>
        <w:tc>
          <w:tcPr>
            <w:tcW w:w="7920" w:type="dxa"/>
            <w:vAlign w:val="bottom"/>
            <w:tcBorders>
              <w:bottom w:val="single" w:sz="8" w:color="CCEEFF"/>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440" w:type="dxa"/>
            <w:vAlign w:val="bottom"/>
            <w:tcBorders>
              <w:bottom w:val="single" w:sz="8" w:color="auto"/>
            </w:tcBorders>
          </w:tcPr>
          <w:p>
            <w:pPr>
              <w:spacing w:after="0" w:line="20" w:lineRule="exact"/>
              <w:rPr>
                <w:sz w:val="1"/>
                <w:szCs w:val="1"/>
                <w:color w:val="auto"/>
              </w:rPr>
            </w:pPr>
          </w:p>
        </w:tc>
      </w:tr>
      <w:tr>
        <w:trPr>
          <w:trHeight w:val="167"/>
        </w:trPr>
        <w:tc>
          <w:tcPr>
            <w:tcW w:w="7920" w:type="dxa"/>
            <w:vAlign w:val="bottom"/>
            <w:tcBorders>
              <w:bottom w:val="single" w:sz="8" w:color="CCEEFF"/>
            </w:tcBorders>
            <w:shd w:val="clear" w:color="auto" w:fill="CCEEFF"/>
          </w:tcPr>
          <w:p>
            <w:pPr>
              <w:ind w:left="460"/>
              <w:spacing w:after="0"/>
              <w:rPr>
                <w:sz w:val="20"/>
                <w:szCs w:val="20"/>
                <w:color w:val="auto"/>
              </w:rPr>
            </w:pPr>
            <w:r>
              <w:rPr>
                <w:rFonts w:ascii="Arial" w:cs="Arial" w:eastAsia="Arial" w:hAnsi="Arial"/>
                <w:sz w:val="11"/>
                <w:szCs w:val="11"/>
                <w:color w:val="auto"/>
              </w:rPr>
              <w:t>Total liabilities and stockholders' equity</w:t>
            </w:r>
          </w:p>
        </w:tc>
        <w:tc>
          <w:tcPr>
            <w:tcW w:w="1280" w:type="dxa"/>
            <w:vAlign w:val="bottom"/>
            <w:tcBorders>
              <w:bottom w:val="single" w:sz="8" w:color="auto"/>
            </w:tcBorders>
            <w:shd w:val="clear" w:color="auto" w:fill="CCEEFF"/>
          </w:tcPr>
          <w:p>
            <w:pPr>
              <w:jc w:val="right"/>
              <w:ind w:right="1148"/>
              <w:spacing w:after="0"/>
              <w:rPr>
                <w:sz w:val="20"/>
                <w:szCs w:val="20"/>
                <w:color w:val="auto"/>
              </w:rPr>
            </w:pPr>
            <w:r>
              <w:rPr>
                <w:rFonts w:ascii="Arial" w:cs="Arial" w:eastAsia="Arial" w:hAnsi="Arial"/>
                <w:sz w:val="11"/>
                <w:szCs w:val="11"/>
                <w:color w:val="auto"/>
                <w:w w:val="97"/>
              </w:rPr>
              <w:t>$</w:t>
            </w:r>
          </w:p>
        </w:tc>
        <w:tc>
          <w:tcPr>
            <w:tcW w:w="440" w:type="dxa"/>
            <w:vAlign w:val="bottom"/>
            <w:tcBorders>
              <w:bottom w:val="single" w:sz="8" w:color="auto"/>
            </w:tcBorders>
            <w:shd w:val="clear" w:color="auto" w:fill="CCEEFF"/>
          </w:tcPr>
          <w:p>
            <w:pPr>
              <w:jc w:val="right"/>
              <w:ind w:right="46"/>
              <w:spacing w:after="0"/>
              <w:rPr>
                <w:sz w:val="20"/>
                <w:szCs w:val="20"/>
                <w:color w:val="auto"/>
              </w:rPr>
            </w:pPr>
            <w:r>
              <w:rPr>
                <w:rFonts w:ascii="Arial" w:cs="Arial" w:eastAsia="Arial" w:hAnsi="Arial"/>
                <w:sz w:val="11"/>
                <w:szCs w:val="11"/>
                <w:color w:val="auto"/>
                <w:w w:val="94"/>
              </w:rPr>
              <w:t>55,889</w:t>
            </w:r>
          </w:p>
        </w:tc>
        <w:tc>
          <w:tcPr>
            <w:tcW w:w="12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auto"/>
            </w:tcBorders>
            <w:shd w:val="clear" w:color="auto" w:fill="CCEEFF"/>
          </w:tcPr>
          <w:p>
            <w:pPr>
              <w:jc w:val="right"/>
              <w:ind w:right="146"/>
              <w:spacing w:after="0"/>
              <w:rPr>
                <w:sz w:val="20"/>
                <w:szCs w:val="20"/>
                <w:color w:val="auto"/>
              </w:rPr>
            </w:pPr>
            <w:r>
              <w:rPr>
                <w:rFonts w:ascii="Arial" w:cs="Arial" w:eastAsia="Arial" w:hAnsi="Arial"/>
                <w:sz w:val="11"/>
                <w:szCs w:val="11"/>
                <w:color w:val="auto"/>
                <w:w w:val="97"/>
              </w:rPr>
              <w:t>$</w:t>
            </w:r>
          </w:p>
        </w:tc>
        <w:tc>
          <w:tcPr>
            <w:tcW w:w="1440" w:type="dxa"/>
            <w:vAlign w:val="bottom"/>
            <w:tcBorders>
              <w:bottom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rPr>
              <w:t>57,021</w:t>
            </w:r>
          </w:p>
        </w:tc>
      </w:tr>
    </w:tbl>
    <w:p>
      <w:pPr>
        <w:spacing w:after="0" w:line="9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See accompanying notes to consolidated financial statements.</w:t>
      </w:r>
    </w:p>
    <w:p>
      <w:pPr>
        <w:spacing w:after="0" w:line="16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w:t>
      </w:r>
    </w:p>
    <w:p>
      <w:pPr>
        <w:sectPr>
          <w:pgSz w:w="11900" w:h="16838" w:orient="portrait"/>
          <w:cols w:equalWidth="0" w:num="1">
            <w:col w:w="11480"/>
          </w:cols>
          <w:pgMar w:left="220" w:top="433" w:right="199" w:bottom="1440" w:gutter="0" w:footer="0" w:header="0"/>
        </w:sectPr>
      </w:pPr>
    </w:p>
    <w:bookmarkStart w:id="3" w:name="page4"/>
    <w:bookmarkEnd w:id="3"/>
    <w:p>
      <w:pPr>
        <w:jc w:val="center"/>
        <w:ind w:right="20"/>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CONSOLIDATED STATEMENTS OF COMPREHENSIVE INCOME</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(Unaudited)</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(in millions, except per share data)</w:t>
      </w:r>
    </w:p>
    <w:p>
      <w:pPr>
        <w:spacing w:after="0" w:line="384"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6540" w:type="dxa"/>
            <w:vAlign w:val="bottom"/>
          </w:tcPr>
          <w:p>
            <w:pPr>
              <w:spacing w:after="0"/>
              <w:rPr>
                <w:sz w:val="12"/>
                <w:szCs w:val="12"/>
                <w:color w:val="auto"/>
              </w:rPr>
            </w:pPr>
          </w:p>
        </w:tc>
        <w:tc>
          <w:tcPr>
            <w:tcW w:w="2160" w:type="dxa"/>
            <w:vAlign w:val="bottom"/>
            <w:gridSpan w:val="6"/>
          </w:tcPr>
          <w:p>
            <w:pPr>
              <w:ind w:left="200"/>
              <w:spacing w:after="0"/>
              <w:rPr>
                <w:sz w:val="20"/>
                <w:szCs w:val="20"/>
                <w:color w:val="auto"/>
              </w:rPr>
            </w:pPr>
            <w:r>
              <w:rPr>
                <w:rFonts w:ascii="Arial" w:cs="Arial" w:eastAsia="Arial" w:hAnsi="Arial"/>
                <w:sz w:val="11"/>
                <w:szCs w:val="11"/>
                <w:b w:val="1"/>
                <w:bCs w:val="1"/>
                <w:color w:val="auto"/>
              </w:rPr>
              <w:t>Three Months Ended September 30,</w:t>
            </w:r>
          </w:p>
        </w:tc>
        <w:tc>
          <w:tcPr>
            <w:tcW w:w="140" w:type="dxa"/>
            <w:vAlign w:val="bottom"/>
          </w:tcPr>
          <w:p>
            <w:pPr>
              <w:spacing w:after="0"/>
              <w:rPr>
                <w:sz w:val="12"/>
                <w:szCs w:val="12"/>
                <w:color w:val="auto"/>
              </w:rPr>
            </w:pPr>
          </w:p>
        </w:tc>
        <w:tc>
          <w:tcPr>
            <w:tcW w:w="1880" w:type="dxa"/>
            <w:vAlign w:val="bottom"/>
            <w:gridSpan w:val="4"/>
          </w:tcPr>
          <w:p>
            <w:pPr>
              <w:jc w:val="right"/>
              <w:ind w:right="140"/>
              <w:spacing w:after="0"/>
              <w:rPr>
                <w:sz w:val="20"/>
                <w:szCs w:val="20"/>
                <w:color w:val="auto"/>
              </w:rPr>
            </w:pPr>
            <w:r>
              <w:rPr>
                <w:rFonts w:ascii="Arial" w:cs="Arial" w:eastAsia="Arial" w:hAnsi="Arial"/>
                <w:sz w:val="11"/>
                <w:szCs w:val="11"/>
                <w:b w:val="1"/>
                <w:bCs w:val="1"/>
                <w:color w:val="auto"/>
                <w:w w:val="91"/>
              </w:rPr>
              <w:t>Nine Months Ended September 30,</w:t>
            </w:r>
          </w:p>
        </w:tc>
      </w:tr>
      <w:tr>
        <w:trPr>
          <w:trHeight w:val="22"/>
        </w:trPr>
        <w:tc>
          <w:tcPr>
            <w:tcW w:w="654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r>
      <w:tr>
        <w:trPr>
          <w:trHeight w:val="147"/>
        </w:trPr>
        <w:tc>
          <w:tcPr>
            <w:tcW w:w="654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1"/>
                <w:szCs w:val="11"/>
                <w:b w:val="1"/>
                <w:bCs w:val="1"/>
                <w:color w:val="auto"/>
              </w:rPr>
              <w:t>2016</w:t>
            </w: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60" w:type="dxa"/>
            <w:vAlign w:val="bottom"/>
          </w:tcPr>
          <w:p>
            <w:pPr>
              <w:jc w:val="right"/>
              <w:ind w:right="340"/>
              <w:spacing w:after="0"/>
              <w:rPr>
                <w:sz w:val="20"/>
                <w:szCs w:val="20"/>
                <w:color w:val="auto"/>
              </w:rPr>
            </w:pPr>
            <w:r>
              <w:rPr>
                <w:rFonts w:ascii="Arial" w:cs="Arial" w:eastAsia="Arial" w:hAnsi="Arial"/>
                <w:sz w:val="11"/>
                <w:szCs w:val="11"/>
                <w:b w:val="1"/>
                <w:bCs w:val="1"/>
                <w:color w:val="auto"/>
              </w:rPr>
              <w:t>2015</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tcPr>
          <w:p>
            <w:pPr>
              <w:jc w:val="right"/>
              <w:ind w:right="320"/>
              <w:spacing w:after="0"/>
              <w:rPr>
                <w:sz w:val="20"/>
                <w:szCs w:val="20"/>
                <w:color w:val="auto"/>
              </w:rPr>
            </w:pPr>
            <w:r>
              <w:rPr>
                <w:rFonts w:ascii="Arial" w:cs="Arial" w:eastAsia="Arial" w:hAnsi="Arial"/>
                <w:sz w:val="11"/>
                <w:szCs w:val="11"/>
                <w:b w:val="1"/>
                <w:bCs w:val="1"/>
                <w:color w:val="auto"/>
              </w:rPr>
              <w:t>2016</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40" w:type="dxa"/>
            <w:vAlign w:val="bottom"/>
          </w:tcPr>
          <w:p>
            <w:pPr>
              <w:jc w:val="right"/>
              <w:ind w:right="320"/>
              <w:spacing w:after="0"/>
              <w:rPr>
                <w:sz w:val="20"/>
                <w:szCs w:val="20"/>
                <w:color w:val="auto"/>
              </w:rPr>
            </w:pPr>
            <w:r>
              <w:rPr>
                <w:rFonts w:ascii="Arial" w:cs="Arial" w:eastAsia="Arial" w:hAnsi="Arial"/>
                <w:sz w:val="11"/>
                <w:szCs w:val="11"/>
                <w:b w:val="1"/>
                <w:bCs w:val="1"/>
                <w:color w:val="auto"/>
              </w:rPr>
              <w:t>2015</w:t>
            </w:r>
          </w:p>
        </w:tc>
      </w:tr>
      <w:tr>
        <w:trPr>
          <w:trHeight w:val="22"/>
        </w:trPr>
        <w:tc>
          <w:tcPr>
            <w:tcW w:w="6540" w:type="dxa"/>
            <w:vAlign w:val="bottom"/>
            <w:tcBorders>
              <w:bottom w:val="single" w:sz="8" w:color="CCEEFF"/>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r>
      <w:tr>
        <w:trPr>
          <w:trHeight w:val="169"/>
        </w:trPr>
        <w:tc>
          <w:tcPr>
            <w:tcW w:w="6540" w:type="dxa"/>
            <w:vAlign w:val="bottom"/>
            <w:shd w:val="clear" w:color="auto" w:fill="CCEEFF"/>
          </w:tcPr>
          <w:p>
            <w:pPr>
              <w:ind w:left="20"/>
              <w:spacing w:after="0"/>
              <w:rPr>
                <w:sz w:val="20"/>
                <w:szCs w:val="20"/>
                <w:color w:val="auto"/>
              </w:rPr>
            </w:pPr>
            <w:r>
              <w:rPr>
                <w:rFonts w:ascii="Arial" w:cs="Arial" w:eastAsia="Arial" w:hAnsi="Arial"/>
                <w:sz w:val="12"/>
                <w:szCs w:val="12"/>
                <w:b w:val="1"/>
                <w:bCs w:val="1"/>
                <w:color w:val="auto"/>
              </w:rPr>
              <w:t>Interest income:</w:t>
            </w:r>
          </w:p>
        </w:tc>
        <w:tc>
          <w:tcPr>
            <w:tcW w:w="5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r>
      <w:tr>
        <w:trPr>
          <w:trHeight w:val="171"/>
        </w:trPr>
        <w:tc>
          <w:tcPr>
            <w:tcW w:w="6540" w:type="dxa"/>
            <w:vAlign w:val="bottom"/>
          </w:tcPr>
          <w:p>
            <w:pPr>
              <w:ind w:left="240"/>
              <w:spacing w:after="0"/>
              <w:rPr>
                <w:sz w:val="20"/>
                <w:szCs w:val="20"/>
                <w:color w:val="auto"/>
              </w:rPr>
            </w:pPr>
            <w:r>
              <w:rPr>
                <w:rFonts w:ascii="Arial" w:cs="Arial" w:eastAsia="Arial" w:hAnsi="Arial"/>
                <w:sz w:val="12"/>
                <w:szCs w:val="12"/>
                <w:color w:val="auto"/>
              </w:rPr>
              <w:t>Interest income</w:t>
            </w:r>
          </w:p>
        </w:tc>
        <w:tc>
          <w:tcPr>
            <w:tcW w:w="580" w:type="dxa"/>
            <w:vAlign w:val="bottom"/>
          </w:tcPr>
          <w:p>
            <w:pPr>
              <w:jc w:val="right"/>
              <w:ind w:right="441"/>
              <w:spacing w:after="0"/>
              <w:rPr>
                <w:sz w:val="20"/>
                <w:szCs w:val="20"/>
                <w:color w:val="auto"/>
              </w:rPr>
            </w:pPr>
            <w:r>
              <w:rPr>
                <w:rFonts w:ascii="Arial" w:cs="Arial" w:eastAsia="Arial" w:hAnsi="Arial"/>
                <w:sz w:val="12"/>
                <w:szCs w:val="12"/>
                <w:color w:val="auto"/>
                <w:w w:val="89"/>
              </w:rPr>
              <w:t>$</w:t>
            </w:r>
          </w:p>
        </w:tc>
        <w:tc>
          <w:tcPr>
            <w:tcW w:w="400" w:type="dxa"/>
            <w:vAlign w:val="bottom"/>
          </w:tcPr>
          <w:p>
            <w:pPr>
              <w:jc w:val="right"/>
              <w:ind w:right="60"/>
              <w:spacing w:after="0"/>
              <w:rPr>
                <w:sz w:val="20"/>
                <w:szCs w:val="20"/>
                <w:color w:val="auto"/>
              </w:rPr>
            </w:pPr>
            <w:r>
              <w:rPr>
                <w:rFonts w:ascii="Arial" w:cs="Arial" w:eastAsia="Arial" w:hAnsi="Arial"/>
                <w:sz w:val="12"/>
                <w:szCs w:val="12"/>
                <w:color w:val="auto"/>
              </w:rPr>
              <w:t>315</w:t>
            </w:r>
          </w:p>
        </w:tc>
        <w:tc>
          <w:tcPr>
            <w:tcW w:w="100" w:type="dxa"/>
            <w:vAlign w:val="bottom"/>
          </w:tcPr>
          <w:p>
            <w:pPr>
              <w:spacing w:after="0"/>
              <w:rPr>
                <w:sz w:val="14"/>
                <w:szCs w:val="14"/>
                <w:color w:val="auto"/>
              </w:rPr>
            </w:pPr>
          </w:p>
        </w:tc>
        <w:tc>
          <w:tcPr>
            <w:tcW w:w="220" w:type="dxa"/>
            <w:vAlign w:val="bottom"/>
          </w:tcPr>
          <w:p>
            <w:pPr>
              <w:jc w:val="right"/>
              <w:ind w:right="80"/>
              <w:spacing w:after="0"/>
              <w:rPr>
                <w:sz w:val="20"/>
                <w:szCs w:val="20"/>
                <w:color w:val="auto"/>
              </w:rPr>
            </w:pPr>
            <w:r>
              <w:rPr>
                <w:rFonts w:ascii="Arial" w:cs="Arial" w:eastAsia="Arial" w:hAnsi="Arial"/>
                <w:sz w:val="12"/>
                <w:szCs w:val="12"/>
                <w:color w:val="auto"/>
                <w:w w:val="89"/>
              </w:rPr>
              <w:t>$</w:t>
            </w:r>
          </w:p>
        </w:tc>
        <w:tc>
          <w:tcPr>
            <w:tcW w:w="760" w:type="dxa"/>
            <w:vAlign w:val="bottom"/>
          </w:tcPr>
          <w:p>
            <w:pPr>
              <w:jc w:val="right"/>
              <w:ind w:right="60"/>
              <w:spacing w:after="0"/>
              <w:rPr>
                <w:sz w:val="20"/>
                <w:szCs w:val="20"/>
                <w:color w:val="auto"/>
              </w:rPr>
            </w:pPr>
            <w:r>
              <w:rPr>
                <w:rFonts w:ascii="Arial" w:cs="Arial" w:eastAsia="Arial" w:hAnsi="Arial"/>
                <w:sz w:val="12"/>
                <w:szCs w:val="12"/>
                <w:color w:val="auto"/>
              </w:rPr>
              <w:t>295</w:t>
            </w:r>
          </w:p>
        </w:tc>
        <w:tc>
          <w:tcPr>
            <w:tcW w:w="100" w:type="dxa"/>
            <w:vAlign w:val="bottom"/>
          </w:tcPr>
          <w:p>
            <w:pPr>
              <w:spacing w:after="0"/>
              <w:rPr>
                <w:sz w:val="14"/>
                <w:szCs w:val="14"/>
                <w:color w:val="auto"/>
              </w:rPr>
            </w:pPr>
          </w:p>
        </w:tc>
        <w:tc>
          <w:tcPr>
            <w:tcW w:w="140" w:type="dxa"/>
            <w:vAlign w:val="bottom"/>
          </w:tcPr>
          <w:p>
            <w:pPr>
              <w:jc w:val="right"/>
              <w:spacing w:after="0"/>
              <w:rPr>
                <w:sz w:val="20"/>
                <w:szCs w:val="20"/>
                <w:color w:val="auto"/>
              </w:rPr>
            </w:pPr>
            <w:r>
              <w:rPr>
                <w:rFonts w:ascii="Arial" w:cs="Arial" w:eastAsia="Arial" w:hAnsi="Arial"/>
                <w:sz w:val="12"/>
                <w:szCs w:val="12"/>
                <w:color w:val="auto"/>
                <w:w w:val="89"/>
              </w:rPr>
              <w:t>$</w:t>
            </w:r>
          </w:p>
        </w:tc>
        <w:tc>
          <w:tcPr>
            <w:tcW w:w="840" w:type="dxa"/>
            <w:vAlign w:val="bottom"/>
          </w:tcPr>
          <w:p>
            <w:pPr>
              <w:jc w:val="right"/>
              <w:ind w:right="60"/>
              <w:spacing w:after="0"/>
              <w:rPr>
                <w:sz w:val="20"/>
                <w:szCs w:val="20"/>
                <w:color w:val="auto"/>
              </w:rPr>
            </w:pPr>
            <w:r>
              <w:rPr>
                <w:rFonts w:ascii="Arial" w:cs="Arial" w:eastAsia="Arial" w:hAnsi="Arial"/>
                <w:sz w:val="12"/>
                <w:szCs w:val="12"/>
                <w:color w:val="auto"/>
              </w:rPr>
              <w:t>928</w:t>
            </w:r>
          </w:p>
        </w:tc>
        <w:tc>
          <w:tcPr>
            <w:tcW w:w="100" w:type="dxa"/>
            <w:vAlign w:val="bottom"/>
          </w:tcPr>
          <w:p>
            <w:pPr>
              <w:spacing w:after="0"/>
              <w:rPr>
                <w:sz w:val="14"/>
                <w:szCs w:val="14"/>
                <w:color w:val="auto"/>
              </w:rPr>
            </w:pPr>
          </w:p>
        </w:tc>
        <w:tc>
          <w:tcPr>
            <w:tcW w:w="200" w:type="dxa"/>
            <w:vAlign w:val="bottom"/>
          </w:tcPr>
          <w:p>
            <w:pPr>
              <w:jc w:val="right"/>
              <w:ind w:right="90"/>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ind w:right="40"/>
              <w:spacing w:after="0"/>
              <w:rPr>
                <w:sz w:val="20"/>
                <w:szCs w:val="20"/>
                <w:color w:val="auto"/>
              </w:rPr>
            </w:pPr>
            <w:r>
              <w:rPr>
                <w:rFonts w:ascii="Arial" w:cs="Arial" w:eastAsia="Arial" w:hAnsi="Arial"/>
                <w:sz w:val="12"/>
                <w:szCs w:val="12"/>
                <w:color w:val="auto"/>
              </w:rPr>
              <w:t>1,092</w:t>
            </w:r>
          </w:p>
        </w:tc>
      </w:tr>
      <w:tr>
        <w:trPr>
          <w:trHeight w:val="180"/>
        </w:trPr>
        <w:tc>
          <w:tcPr>
            <w:tcW w:w="65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Interest expense</w:t>
            </w:r>
          </w:p>
        </w:tc>
        <w:tc>
          <w:tcPr>
            <w:tcW w:w="58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96</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77</w:t>
            </w:r>
          </w:p>
        </w:tc>
        <w:tc>
          <w:tcPr>
            <w:tcW w:w="10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296</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740" w:type="dxa"/>
            <w:vAlign w:val="bottom"/>
            <w:tcBorders>
              <w:bottom w:val="single" w:sz="8" w:color="auto"/>
            </w:tcBorders>
            <w:shd w:val="clear" w:color="auto" w:fill="CCEEFF"/>
          </w:tcPr>
          <w:p>
            <w:pPr>
              <w:jc w:val="right"/>
              <w:ind w:right="40"/>
              <w:spacing w:after="0"/>
              <w:rPr>
                <w:sz w:val="20"/>
                <w:szCs w:val="20"/>
                <w:color w:val="auto"/>
              </w:rPr>
            </w:pPr>
            <w:r>
              <w:rPr>
                <w:rFonts w:ascii="Arial" w:cs="Arial" w:eastAsia="Arial" w:hAnsi="Arial"/>
                <w:sz w:val="12"/>
                <w:szCs w:val="12"/>
                <w:color w:val="auto"/>
              </w:rPr>
              <w:t>244</w:t>
            </w:r>
          </w:p>
        </w:tc>
      </w:tr>
      <w:tr>
        <w:trPr>
          <w:trHeight w:val="169"/>
        </w:trPr>
        <w:tc>
          <w:tcPr>
            <w:tcW w:w="6540" w:type="dxa"/>
            <w:vAlign w:val="bottom"/>
            <w:tcBorders>
              <w:bottom w:val="single" w:sz="8" w:color="CCEEFF"/>
            </w:tcBorders>
          </w:tcPr>
          <w:p>
            <w:pPr>
              <w:ind w:left="460"/>
              <w:spacing w:after="0"/>
              <w:rPr>
                <w:sz w:val="20"/>
                <w:szCs w:val="20"/>
                <w:color w:val="auto"/>
              </w:rPr>
            </w:pPr>
            <w:r>
              <w:rPr>
                <w:rFonts w:ascii="Arial" w:cs="Arial" w:eastAsia="Arial" w:hAnsi="Arial"/>
                <w:sz w:val="12"/>
                <w:szCs w:val="12"/>
                <w:color w:val="auto"/>
              </w:rPr>
              <w:t>Net interest income</w:t>
            </w:r>
          </w:p>
        </w:tc>
        <w:tc>
          <w:tcPr>
            <w:tcW w:w="58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219</w:t>
            </w:r>
          </w:p>
        </w:tc>
        <w:tc>
          <w:tcPr>
            <w:tcW w:w="10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218</w:t>
            </w:r>
          </w:p>
        </w:tc>
        <w:tc>
          <w:tcPr>
            <w:tcW w:w="10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632</w:t>
            </w:r>
          </w:p>
        </w:tc>
        <w:tc>
          <w:tcPr>
            <w:tcW w:w="10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40"/>
              <w:spacing w:after="0"/>
              <w:rPr>
                <w:sz w:val="20"/>
                <w:szCs w:val="20"/>
                <w:color w:val="auto"/>
              </w:rPr>
            </w:pPr>
            <w:r>
              <w:rPr>
                <w:rFonts w:ascii="Arial" w:cs="Arial" w:eastAsia="Arial" w:hAnsi="Arial"/>
                <w:sz w:val="12"/>
                <w:szCs w:val="12"/>
                <w:color w:val="auto"/>
              </w:rPr>
              <w:t>848</w:t>
            </w:r>
          </w:p>
        </w:tc>
      </w:tr>
      <w:tr>
        <w:trPr>
          <w:trHeight w:val="178"/>
        </w:trPr>
        <w:tc>
          <w:tcPr>
            <w:tcW w:w="6540" w:type="dxa"/>
            <w:vAlign w:val="bottom"/>
            <w:shd w:val="clear" w:color="auto" w:fill="CCEEFF"/>
          </w:tcPr>
          <w:p>
            <w:pPr>
              <w:ind w:left="20"/>
              <w:spacing w:after="0"/>
              <w:rPr>
                <w:sz w:val="20"/>
                <w:szCs w:val="20"/>
                <w:color w:val="auto"/>
              </w:rPr>
            </w:pPr>
            <w:r>
              <w:rPr>
                <w:rFonts w:ascii="Arial" w:cs="Arial" w:eastAsia="Arial" w:hAnsi="Arial"/>
                <w:sz w:val="12"/>
                <w:szCs w:val="12"/>
                <w:b w:val="1"/>
                <w:bCs w:val="1"/>
                <w:color w:val="auto"/>
              </w:rPr>
              <w:t>Other gain (loss), net:</w:t>
            </w:r>
          </w:p>
        </w:tc>
        <w:tc>
          <w:tcPr>
            <w:tcW w:w="58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7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740" w:type="dxa"/>
            <w:vAlign w:val="bottom"/>
            <w:shd w:val="clear" w:color="auto" w:fill="CCEEFF"/>
          </w:tcPr>
          <w:p>
            <w:pPr>
              <w:spacing w:after="0"/>
              <w:rPr>
                <w:sz w:val="15"/>
                <w:szCs w:val="15"/>
                <w:color w:val="auto"/>
              </w:rPr>
            </w:pPr>
          </w:p>
        </w:tc>
      </w:tr>
      <w:tr>
        <w:trPr>
          <w:trHeight w:val="171"/>
        </w:trPr>
        <w:tc>
          <w:tcPr>
            <w:tcW w:w="6540" w:type="dxa"/>
            <w:vAlign w:val="bottom"/>
          </w:tcPr>
          <w:p>
            <w:pPr>
              <w:ind w:left="240"/>
              <w:spacing w:after="0"/>
              <w:rPr>
                <w:sz w:val="20"/>
                <w:szCs w:val="20"/>
                <w:color w:val="auto"/>
              </w:rPr>
            </w:pPr>
            <w:r>
              <w:rPr>
                <w:rFonts w:ascii="Arial" w:cs="Arial" w:eastAsia="Arial" w:hAnsi="Arial"/>
                <w:sz w:val="12"/>
                <w:szCs w:val="12"/>
                <w:color w:val="auto"/>
              </w:rPr>
              <w:t>Gain (loss) on sale of mortgage-backed securities, net</w:t>
            </w:r>
          </w:p>
        </w:tc>
        <w:tc>
          <w:tcPr>
            <w:tcW w:w="580" w:type="dxa"/>
            <w:vAlign w:val="bottom"/>
          </w:tcPr>
          <w:p>
            <w:pPr>
              <w:spacing w:after="0"/>
              <w:rPr>
                <w:sz w:val="14"/>
                <w:szCs w:val="14"/>
                <w:color w:val="auto"/>
              </w:rPr>
            </w:pPr>
          </w:p>
        </w:tc>
        <w:tc>
          <w:tcPr>
            <w:tcW w:w="400" w:type="dxa"/>
            <w:vAlign w:val="bottom"/>
          </w:tcPr>
          <w:p>
            <w:pPr>
              <w:jc w:val="right"/>
              <w:ind w:right="60"/>
              <w:spacing w:after="0"/>
              <w:rPr>
                <w:sz w:val="20"/>
                <w:szCs w:val="20"/>
                <w:color w:val="auto"/>
              </w:rPr>
            </w:pPr>
            <w:r>
              <w:rPr>
                <w:rFonts w:ascii="Arial" w:cs="Arial" w:eastAsia="Arial" w:hAnsi="Arial"/>
                <w:sz w:val="12"/>
                <w:szCs w:val="12"/>
                <w:color w:val="auto"/>
              </w:rPr>
              <w:t>61</w:t>
            </w:r>
          </w:p>
        </w:tc>
        <w:tc>
          <w:tcPr>
            <w:tcW w:w="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60" w:type="dxa"/>
            <w:vAlign w:val="bottom"/>
          </w:tcPr>
          <w:p>
            <w:pPr>
              <w:jc w:val="right"/>
              <w:ind w:right="20"/>
              <w:spacing w:after="0"/>
              <w:rPr>
                <w:sz w:val="20"/>
                <w:szCs w:val="20"/>
                <w:color w:val="auto"/>
              </w:rPr>
            </w:pPr>
            <w:r>
              <w:rPr>
                <w:rFonts w:ascii="Arial" w:cs="Arial" w:eastAsia="Arial" w:hAnsi="Arial"/>
                <w:sz w:val="12"/>
                <w:szCs w:val="12"/>
                <w:color w:val="auto"/>
              </w:rPr>
              <w:t>(39)</w:t>
            </w: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tcPr>
          <w:p>
            <w:pPr>
              <w:jc w:val="right"/>
              <w:ind w:right="60"/>
              <w:spacing w:after="0"/>
              <w:rPr>
                <w:sz w:val="20"/>
                <w:szCs w:val="20"/>
                <w:color w:val="auto"/>
              </w:rPr>
            </w:pPr>
            <w:r>
              <w:rPr>
                <w:rFonts w:ascii="Arial" w:cs="Arial" w:eastAsia="Arial" w:hAnsi="Arial"/>
                <w:sz w:val="12"/>
                <w:szCs w:val="12"/>
                <w:color w:val="auto"/>
              </w:rPr>
              <w:t>114</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2"/>
                <w:szCs w:val="12"/>
                <w:color w:val="auto"/>
              </w:rPr>
              <w:t>(25)</w:t>
            </w:r>
          </w:p>
        </w:tc>
      </w:tr>
      <w:tr>
        <w:trPr>
          <w:trHeight w:val="189"/>
        </w:trPr>
        <w:tc>
          <w:tcPr>
            <w:tcW w:w="65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Gain (loss) on derivative instruments and other securities, net</w:t>
            </w:r>
          </w:p>
        </w:tc>
        <w:tc>
          <w:tcPr>
            <w:tcW w:w="580" w:type="dxa"/>
            <w:vAlign w:val="bottom"/>
            <w:shd w:val="clear" w:color="auto" w:fill="CCEEFF"/>
          </w:tcPr>
          <w:p>
            <w:pPr>
              <w:spacing w:after="0"/>
              <w:rPr>
                <w:sz w:val="16"/>
                <w:szCs w:val="16"/>
                <w:color w:val="auto"/>
              </w:rPr>
            </w:pPr>
          </w:p>
        </w:tc>
        <w:tc>
          <w:tcPr>
            <w:tcW w:w="400" w:type="dxa"/>
            <w:vAlign w:val="bottom"/>
            <w:shd w:val="clear" w:color="auto" w:fill="CCEEFF"/>
          </w:tcPr>
          <w:p>
            <w:pPr>
              <w:jc w:val="right"/>
              <w:ind w:right="60"/>
              <w:spacing w:after="0"/>
              <w:rPr>
                <w:sz w:val="20"/>
                <w:szCs w:val="20"/>
                <w:color w:val="auto"/>
              </w:rPr>
            </w:pPr>
            <w:r>
              <w:rPr>
                <w:rFonts w:ascii="Arial" w:cs="Arial" w:eastAsia="Arial" w:hAnsi="Arial"/>
                <w:sz w:val="12"/>
                <w:szCs w:val="12"/>
                <w:color w:val="auto"/>
              </w:rPr>
              <w:t>242</w:t>
            </w:r>
          </w:p>
        </w:tc>
        <w:tc>
          <w:tcPr>
            <w:tcW w:w="1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20"/>
              <w:spacing w:after="0"/>
              <w:rPr>
                <w:sz w:val="20"/>
                <w:szCs w:val="20"/>
                <w:color w:val="auto"/>
              </w:rPr>
            </w:pPr>
            <w:r>
              <w:rPr>
                <w:rFonts w:ascii="Arial" w:cs="Arial" w:eastAsia="Arial" w:hAnsi="Arial"/>
                <w:sz w:val="12"/>
                <w:szCs w:val="12"/>
                <w:color w:val="auto"/>
              </w:rPr>
              <w:t>(778)</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20"/>
              <w:spacing w:after="0"/>
              <w:rPr>
                <w:sz w:val="20"/>
                <w:szCs w:val="20"/>
                <w:color w:val="auto"/>
              </w:rPr>
            </w:pPr>
            <w:r>
              <w:rPr>
                <w:rFonts w:ascii="Arial" w:cs="Arial" w:eastAsia="Arial" w:hAnsi="Arial"/>
                <w:sz w:val="12"/>
                <w:szCs w:val="12"/>
                <w:color w:val="auto"/>
              </w:rPr>
              <w:t>(1,058)</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(1,090)</w:t>
            </w:r>
          </w:p>
        </w:tc>
      </w:tr>
      <w:tr>
        <w:trPr>
          <w:trHeight w:val="171"/>
        </w:trPr>
        <w:tc>
          <w:tcPr>
            <w:tcW w:w="6540" w:type="dxa"/>
            <w:vAlign w:val="bottom"/>
          </w:tcPr>
          <w:p>
            <w:pPr>
              <w:ind w:left="240"/>
              <w:spacing w:after="0"/>
              <w:rPr>
                <w:sz w:val="20"/>
                <w:szCs w:val="20"/>
                <w:color w:val="auto"/>
              </w:rPr>
            </w:pPr>
            <w:r>
              <w:rPr>
                <w:rFonts w:ascii="Arial" w:cs="Arial" w:eastAsia="Arial" w:hAnsi="Arial"/>
                <w:sz w:val="12"/>
                <w:szCs w:val="12"/>
                <w:color w:val="auto"/>
              </w:rPr>
              <w:t>Management fee income</w:t>
            </w:r>
          </w:p>
        </w:tc>
        <w:tc>
          <w:tcPr>
            <w:tcW w:w="580" w:type="dxa"/>
            <w:vAlign w:val="bottom"/>
          </w:tcPr>
          <w:p>
            <w:pPr>
              <w:spacing w:after="0"/>
              <w:rPr>
                <w:sz w:val="14"/>
                <w:szCs w:val="14"/>
                <w:color w:val="auto"/>
              </w:rPr>
            </w:pPr>
          </w:p>
        </w:tc>
        <w:tc>
          <w:tcPr>
            <w:tcW w:w="400" w:type="dxa"/>
            <w:vAlign w:val="bottom"/>
          </w:tcPr>
          <w:p>
            <w:pPr>
              <w:jc w:val="right"/>
              <w:ind w:right="60"/>
              <w:spacing w:after="0"/>
              <w:rPr>
                <w:sz w:val="20"/>
                <w:szCs w:val="20"/>
                <w:color w:val="auto"/>
              </w:rPr>
            </w:pPr>
            <w:r>
              <w:rPr>
                <w:rFonts w:ascii="Arial" w:cs="Arial" w:eastAsia="Arial" w:hAnsi="Arial"/>
                <w:sz w:val="12"/>
                <w:szCs w:val="12"/>
                <w:color w:val="auto"/>
              </w:rPr>
              <w:t>4</w:t>
            </w:r>
          </w:p>
        </w:tc>
        <w:tc>
          <w:tcPr>
            <w:tcW w:w="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40" w:type="dxa"/>
            <w:vAlign w:val="bottom"/>
          </w:tcPr>
          <w:p>
            <w:pPr>
              <w:spacing w:after="0"/>
              <w:rPr>
                <w:sz w:val="14"/>
                <w:szCs w:val="14"/>
                <w:color w:val="auto"/>
              </w:rPr>
            </w:pPr>
          </w:p>
        </w:tc>
        <w:tc>
          <w:tcPr>
            <w:tcW w:w="840" w:type="dxa"/>
            <w:vAlign w:val="bottom"/>
          </w:tcPr>
          <w:p>
            <w:pPr>
              <w:jc w:val="right"/>
              <w:ind w:right="60"/>
              <w:spacing w:after="0"/>
              <w:rPr>
                <w:sz w:val="20"/>
                <w:szCs w:val="20"/>
                <w:color w:val="auto"/>
              </w:rPr>
            </w:pPr>
            <w:r>
              <w:rPr>
                <w:rFonts w:ascii="Arial" w:cs="Arial" w:eastAsia="Arial" w:hAnsi="Arial"/>
                <w:sz w:val="12"/>
                <w:szCs w:val="12"/>
                <w:color w:val="auto"/>
              </w:rPr>
              <w:t>4</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40" w:type="dxa"/>
            <w:vAlign w:val="bottom"/>
          </w:tcPr>
          <w:p>
            <w:pPr>
              <w:jc w:val="right"/>
              <w:ind w:right="40"/>
              <w:spacing w:after="0"/>
              <w:rPr>
                <w:sz w:val="20"/>
                <w:szCs w:val="20"/>
                <w:color w:val="auto"/>
              </w:rPr>
            </w:pPr>
            <w:r>
              <w:rPr>
                <w:rFonts w:ascii="Arial" w:cs="Arial" w:eastAsia="Arial" w:hAnsi="Arial"/>
                <w:sz w:val="12"/>
                <w:szCs w:val="12"/>
                <w:color w:val="auto"/>
              </w:rPr>
              <w:t>—</w:t>
            </w:r>
          </w:p>
        </w:tc>
      </w:tr>
      <w:tr>
        <w:trPr>
          <w:trHeight w:val="178"/>
        </w:trPr>
        <w:tc>
          <w:tcPr>
            <w:tcW w:w="6540" w:type="dxa"/>
            <w:vAlign w:val="bottom"/>
            <w:tcBorders>
              <w:top w:val="single" w:sz="8" w:color="CCEEFF"/>
            </w:tcBorders>
            <w:shd w:val="clear" w:color="auto" w:fill="CCEEFF"/>
          </w:tcPr>
          <w:p>
            <w:pPr>
              <w:ind w:left="460"/>
              <w:spacing w:after="0"/>
              <w:rPr>
                <w:sz w:val="20"/>
                <w:szCs w:val="20"/>
                <w:color w:val="auto"/>
              </w:rPr>
            </w:pPr>
            <w:r>
              <w:rPr>
                <w:rFonts w:ascii="Arial" w:cs="Arial" w:eastAsia="Arial" w:hAnsi="Arial"/>
                <w:sz w:val="12"/>
                <w:szCs w:val="12"/>
                <w:color w:val="auto"/>
              </w:rPr>
              <w:t>Total other gain (loss), net</w:t>
            </w:r>
          </w:p>
        </w:tc>
        <w:tc>
          <w:tcPr>
            <w:tcW w:w="580" w:type="dxa"/>
            <w:vAlign w:val="bottom"/>
            <w:tcBorders>
              <w:top w:val="single" w:sz="8" w:color="auto"/>
              <w:bottom w:val="single" w:sz="8" w:color="auto"/>
            </w:tcBorders>
            <w:shd w:val="clear" w:color="auto" w:fill="CCEEFF"/>
          </w:tcPr>
          <w:p>
            <w:pPr>
              <w:spacing w:after="0"/>
              <w:rPr>
                <w:sz w:val="15"/>
                <w:szCs w:val="15"/>
                <w:color w:val="auto"/>
              </w:rPr>
            </w:pPr>
          </w:p>
        </w:tc>
        <w:tc>
          <w:tcPr>
            <w:tcW w:w="400" w:type="dxa"/>
            <w:vAlign w:val="bottom"/>
            <w:tcBorders>
              <w:top w:val="single" w:sz="8" w:color="auto"/>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307</w:t>
            </w:r>
          </w:p>
        </w:tc>
        <w:tc>
          <w:tcPr>
            <w:tcW w:w="10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bottom w:val="single" w:sz="8" w:color="auto"/>
            </w:tcBorders>
            <w:shd w:val="clear" w:color="auto" w:fill="CCEEFF"/>
          </w:tcPr>
          <w:p>
            <w:pPr>
              <w:spacing w:after="0"/>
              <w:rPr>
                <w:sz w:val="15"/>
                <w:szCs w:val="15"/>
                <w:color w:val="auto"/>
              </w:rPr>
            </w:pPr>
          </w:p>
        </w:tc>
        <w:tc>
          <w:tcPr>
            <w:tcW w:w="760" w:type="dxa"/>
            <w:vAlign w:val="bottom"/>
            <w:tcBorders>
              <w:top w:val="single" w:sz="8" w:color="auto"/>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rPr>
              <w:t>(817)</w:t>
            </w:r>
          </w:p>
        </w:tc>
        <w:tc>
          <w:tcPr>
            <w:tcW w:w="10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bottom w:val="single" w:sz="8" w:color="auto"/>
            </w:tcBorders>
            <w:shd w:val="clear" w:color="auto" w:fill="CCEEFF"/>
          </w:tcPr>
          <w:p>
            <w:pPr>
              <w:spacing w:after="0"/>
              <w:rPr>
                <w:sz w:val="15"/>
                <w:szCs w:val="15"/>
                <w:color w:val="auto"/>
              </w:rPr>
            </w:pPr>
          </w:p>
        </w:tc>
        <w:tc>
          <w:tcPr>
            <w:tcW w:w="840" w:type="dxa"/>
            <w:vAlign w:val="bottom"/>
            <w:tcBorders>
              <w:top w:val="single" w:sz="8" w:color="auto"/>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rPr>
              <w:t>(940)</w:t>
            </w:r>
          </w:p>
        </w:tc>
        <w:tc>
          <w:tcPr>
            <w:tcW w:w="100" w:type="dxa"/>
            <w:vAlign w:val="bottom"/>
            <w:tcBorders>
              <w:top w:val="single" w:sz="8" w:color="CCEEFF"/>
            </w:tcBorders>
            <w:shd w:val="clear" w:color="auto" w:fill="CCEEFF"/>
          </w:tcPr>
          <w:p>
            <w:pPr>
              <w:spacing w:after="0"/>
              <w:rPr>
                <w:sz w:val="15"/>
                <w:szCs w:val="15"/>
                <w:color w:val="auto"/>
              </w:rPr>
            </w:pP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(1,115)</w:t>
            </w:r>
          </w:p>
        </w:tc>
      </w:tr>
      <w:tr>
        <w:trPr>
          <w:trHeight w:val="160"/>
        </w:trPr>
        <w:tc>
          <w:tcPr>
            <w:tcW w:w="6540" w:type="dxa"/>
            <w:vAlign w:val="bottom"/>
          </w:tcPr>
          <w:p>
            <w:pPr>
              <w:ind w:left="20"/>
              <w:spacing w:after="0"/>
              <w:rPr>
                <w:sz w:val="20"/>
                <w:szCs w:val="20"/>
                <w:color w:val="auto"/>
              </w:rPr>
            </w:pPr>
            <w:r>
              <w:rPr>
                <w:rFonts w:ascii="Arial" w:cs="Arial" w:eastAsia="Arial" w:hAnsi="Arial"/>
                <w:sz w:val="12"/>
                <w:szCs w:val="12"/>
                <w:b w:val="1"/>
                <w:bCs w:val="1"/>
                <w:color w:val="auto"/>
              </w:rPr>
              <w:t>Expenses:</w:t>
            </w:r>
          </w:p>
        </w:tc>
        <w:tc>
          <w:tcPr>
            <w:tcW w:w="5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740" w:type="dxa"/>
            <w:vAlign w:val="bottom"/>
          </w:tcPr>
          <w:p>
            <w:pPr>
              <w:spacing w:after="0"/>
              <w:rPr>
                <w:sz w:val="13"/>
                <w:szCs w:val="13"/>
                <w:color w:val="auto"/>
              </w:rPr>
            </w:pPr>
          </w:p>
        </w:tc>
      </w:tr>
      <w:tr>
        <w:trPr>
          <w:trHeight w:val="189"/>
        </w:trPr>
        <w:tc>
          <w:tcPr>
            <w:tcW w:w="65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Management fee expense</w:t>
            </w:r>
          </w:p>
        </w:tc>
        <w:tc>
          <w:tcPr>
            <w:tcW w:w="5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22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60"/>
              <w:spacing w:after="0"/>
              <w:rPr>
                <w:sz w:val="20"/>
                <w:szCs w:val="20"/>
                <w:color w:val="auto"/>
              </w:rPr>
            </w:pPr>
            <w:r>
              <w:rPr>
                <w:rFonts w:ascii="Arial" w:cs="Arial" w:eastAsia="Arial" w:hAnsi="Arial"/>
                <w:sz w:val="12"/>
                <w:szCs w:val="12"/>
                <w:color w:val="auto"/>
              </w:rPr>
              <w:t>29</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60"/>
              <w:spacing w:after="0"/>
              <w:rPr>
                <w:sz w:val="20"/>
                <w:szCs w:val="20"/>
                <w:color w:val="auto"/>
              </w:rPr>
            </w:pPr>
            <w:r>
              <w:rPr>
                <w:rFonts w:ascii="Arial" w:cs="Arial" w:eastAsia="Arial" w:hAnsi="Arial"/>
                <w:sz w:val="12"/>
                <w:szCs w:val="12"/>
                <w:color w:val="auto"/>
              </w:rPr>
              <w:t>52</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40" w:type="dxa"/>
            <w:vAlign w:val="bottom"/>
            <w:shd w:val="clear" w:color="auto" w:fill="CCEEFF"/>
          </w:tcPr>
          <w:p>
            <w:pPr>
              <w:jc w:val="right"/>
              <w:ind w:right="40"/>
              <w:spacing w:after="0"/>
              <w:rPr>
                <w:sz w:val="20"/>
                <w:szCs w:val="20"/>
                <w:color w:val="auto"/>
              </w:rPr>
            </w:pPr>
            <w:r>
              <w:rPr>
                <w:rFonts w:ascii="Arial" w:cs="Arial" w:eastAsia="Arial" w:hAnsi="Arial"/>
                <w:sz w:val="12"/>
                <w:szCs w:val="12"/>
                <w:color w:val="auto"/>
              </w:rPr>
              <w:t>88</w:t>
            </w:r>
          </w:p>
        </w:tc>
      </w:tr>
      <w:tr>
        <w:trPr>
          <w:trHeight w:val="171"/>
        </w:trPr>
        <w:tc>
          <w:tcPr>
            <w:tcW w:w="6540" w:type="dxa"/>
            <w:vAlign w:val="bottom"/>
          </w:tcPr>
          <w:p>
            <w:pPr>
              <w:ind w:left="240"/>
              <w:spacing w:after="0"/>
              <w:rPr>
                <w:sz w:val="20"/>
                <w:szCs w:val="20"/>
                <w:color w:val="auto"/>
              </w:rPr>
            </w:pPr>
            <w:r>
              <w:rPr>
                <w:rFonts w:ascii="Arial" w:cs="Arial" w:eastAsia="Arial" w:hAnsi="Arial"/>
                <w:sz w:val="12"/>
                <w:szCs w:val="12"/>
                <w:color w:val="auto"/>
              </w:rPr>
              <w:t>Compensation and benefits</w:t>
            </w:r>
          </w:p>
        </w:tc>
        <w:tc>
          <w:tcPr>
            <w:tcW w:w="580" w:type="dxa"/>
            <w:vAlign w:val="bottom"/>
          </w:tcPr>
          <w:p>
            <w:pPr>
              <w:spacing w:after="0"/>
              <w:rPr>
                <w:sz w:val="14"/>
                <w:szCs w:val="14"/>
                <w:color w:val="auto"/>
              </w:rPr>
            </w:pPr>
          </w:p>
        </w:tc>
        <w:tc>
          <w:tcPr>
            <w:tcW w:w="400" w:type="dxa"/>
            <w:vAlign w:val="bottom"/>
          </w:tcPr>
          <w:p>
            <w:pPr>
              <w:jc w:val="right"/>
              <w:ind w:right="60"/>
              <w:spacing w:after="0"/>
              <w:rPr>
                <w:sz w:val="20"/>
                <w:szCs w:val="20"/>
                <w:color w:val="auto"/>
              </w:rPr>
            </w:pPr>
            <w:r>
              <w:rPr>
                <w:rFonts w:ascii="Arial" w:cs="Arial" w:eastAsia="Arial" w:hAnsi="Arial"/>
                <w:sz w:val="12"/>
                <w:szCs w:val="12"/>
                <w:color w:val="auto"/>
              </w:rPr>
              <w:t>9</w:t>
            </w:r>
          </w:p>
        </w:tc>
        <w:tc>
          <w:tcPr>
            <w:tcW w:w="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40" w:type="dxa"/>
            <w:vAlign w:val="bottom"/>
          </w:tcPr>
          <w:p>
            <w:pPr>
              <w:spacing w:after="0"/>
              <w:rPr>
                <w:sz w:val="14"/>
                <w:szCs w:val="14"/>
                <w:color w:val="auto"/>
              </w:rPr>
            </w:pPr>
          </w:p>
        </w:tc>
        <w:tc>
          <w:tcPr>
            <w:tcW w:w="840" w:type="dxa"/>
            <w:vAlign w:val="bottom"/>
          </w:tcPr>
          <w:p>
            <w:pPr>
              <w:jc w:val="right"/>
              <w:ind w:right="60"/>
              <w:spacing w:after="0"/>
              <w:rPr>
                <w:sz w:val="20"/>
                <w:szCs w:val="20"/>
                <w:color w:val="auto"/>
              </w:rPr>
            </w:pPr>
            <w:r>
              <w:rPr>
                <w:rFonts w:ascii="Arial" w:cs="Arial" w:eastAsia="Arial" w:hAnsi="Arial"/>
                <w:sz w:val="12"/>
                <w:szCs w:val="12"/>
                <w:color w:val="auto"/>
              </w:rPr>
              <w:t>9</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40" w:type="dxa"/>
            <w:vAlign w:val="bottom"/>
          </w:tcPr>
          <w:p>
            <w:pPr>
              <w:jc w:val="right"/>
              <w:ind w:right="40"/>
              <w:spacing w:after="0"/>
              <w:rPr>
                <w:sz w:val="20"/>
                <w:szCs w:val="20"/>
                <w:color w:val="auto"/>
              </w:rPr>
            </w:pPr>
            <w:r>
              <w:rPr>
                <w:rFonts w:ascii="Arial" w:cs="Arial" w:eastAsia="Arial" w:hAnsi="Arial"/>
                <w:sz w:val="12"/>
                <w:szCs w:val="12"/>
                <w:color w:val="auto"/>
              </w:rPr>
              <w:t>—</w:t>
            </w:r>
          </w:p>
        </w:tc>
      </w:tr>
      <w:tr>
        <w:trPr>
          <w:trHeight w:val="180"/>
        </w:trPr>
        <w:tc>
          <w:tcPr>
            <w:tcW w:w="65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operating expenses</w:t>
            </w:r>
          </w:p>
        </w:tc>
        <w:tc>
          <w:tcPr>
            <w:tcW w:w="58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6</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5</w:t>
            </w:r>
          </w:p>
        </w:tc>
        <w:tc>
          <w:tcPr>
            <w:tcW w:w="10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27</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740" w:type="dxa"/>
            <w:vAlign w:val="bottom"/>
            <w:tcBorders>
              <w:bottom w:val="single" w:sz="8" w:color="auto"/>
            </w:tcBorders>
            <w:shd w:val="clear" w:color="auto" w:fill="CCEEFF"/>
          </w:tcPr>
          <w:p>
            <w:pPr>
              <w:jc w:val="right"/>
              <w:ind w:right="40"/>
              <w:spacing w:after="0"/>
              <w:rPr>
                <w:sz w:val="20"/>
                <w:szCs w:val="20"/>
                <w:color w:val="auto"/>
              </w:rPr>
            </w:pPr>
            <w:r>
              <w:rPr>
                <w:rFonts w:ascii="Arial" w:cs="Arial" w:eastAsia="Arial" w:hAnsi="Arial"/>
                <w:sz w:val="12"/>
                <w:szCs w:val="12"/>
                <w:color w:val="auto"/>
              </w:rPr>
              <w:t>18</w:t>
            </w:r>
          </w:p>
        </w:tc>
      </w:tr>
      <w:tr>
        <w:trPr>
          <w:trHeight w:val="169"/>
        </w:trPr>
        <w:tc>
          <w:tcPr>
            <w:tcW w:w="6540" w:type="dxa"/>
            <w:vAlign w:val="bottom"/>
            <w:tcBorders>
              <w:bottom w:val="single" w:sz="8" w:color="CCEEFF"/>
            </w:tcBorders>
          </w:tcPr>
          <w:p>
            <w:pPr>
              <w:ind w:left="460"/>
              <w:spacing w:after="0"/>
              <w:rPr>
                <w:sz w:val="20"/>
                <w:szCs w:val="20"/>
                <w:color w:val="auto"/>
              </w:rPr>
            </w:pPr>
            <w:r>
              <w:rPr>
                <w:rFonts w:ascii="Arial" w:cs="Arial" w:eastAsia="Arial" w:hAnsi="Arial"/>
                <w:sz w:val="12"/>
                <w:szCs w:val="12"/>
                <w:color w:val="auto"/>
              </w:rPr>
              <w:t>Total operating expenses</w:t>
            </w:r>
          </w:p>
        </w:tc>
        <w:tc>
          <w:tcPr>
            <w:tcW w:w="58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15</w:t>
            </w:r>
          </w:p>
        </w:tc>
        <w:tc>
          <w:tcPr>
            <w:tcW w:w="10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34</w:t>
            </w:r>
          </w:p>
        </w:tc>
        <w:tc>
          <w:tcPr>
            <w:tcW w:w="10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88</w:t>
            </w:r>
          </w:p>
        </w:tc>
        <w:tc>
          <w:tcPr>
            <w:tcW w:w="10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40"/>
              <w:spacing w:after="0"/>
              <w:rPr>
                <w:sz w:val="20"/>
                <w:szCs w:val="20"/>
                <w:color w:val="auto"/>
              </w:rPr>
            </w:pPr>
            <w:r>
              <w:rPr>
                <w:rFonts w:ascii="Arial" w:cs="Arial" w:eastAsia="Arial" w:hAnsi="Arial"/>
                <w:sz w:val="12"/>
                <w:szCs w:val="12"/>
                <w:color w:val="auto"/>
              </w:rPr>
              <w:t>106</w:t>
            </w:r>
          </w:p>
        </w:tc>
      </w:tr>
      <w:tr>
        <w:trPr>
          <w:trHeight w:val="178"/>
        </w:trPr>
        <w:tc>
          <w:tcPr>
            <w:tcW w:w="6540" w:type="dxa"/>
            <w:vAlign w:val="bottom"/>
            <w:shd w:val="clear" w:color="auto" w:fill="CCEEFF"/>
          </w:tcPr>
          <w:p>
            <w:pPr>
              <w:ind w:left="20"/>
              <w:spacing w:after="0"/>
              <w:rPr>
                <w:sz w:val="20"/>
                <w:szCs w:val="20"/>
                <w:color w:val="auto"/>
              </w:rPr>
            </w:pPr>
            <w:r>
              <w:rPr>
                <w:rFonts w:ascii="Arial" w:cs="Arial" w:eastAsia="Arial" w:hAnsi="Arial"/>
                <w:sz w:val="12"/>
                <w:szCs w:val="12"/>
                <w:b w:val="1"/>
                <w:bCs w:val="1"/>
                <w:color w:val="auto"/>
              </w:rPr>
              <w:t>Net income (loss)</w:t>
            </w:r>
          </w:p>
        </w:tc>
        <w:tc>
          <w:tcPr>
            <w:tcW w:w="580" w:type="dxa"/>
            <w:vAlign w:val="bottom"/>
            <w:shd w:val="clear" w:color="auto" w:fill="CCEEFF"/>
          </w:tcPr>
          <w:p>
            <w:pPr>
              <w:spacing w:after="0"/>
              <w:rPr>
                <w:sz w:val="15"/>
                <w:szCs w:val="15"/>
                <w:color w:val="auto"/>
              </w:rPr>
            </w:pPr>
          </w:p>
        </w:tc>
        <w:tc>
          <w:tcPr>
            <w:tcW w:w="400" w:type="dxa"/>
            <w:vAlign w:val="bottom"/>
            <w:shd w:val="clear" w:color="auto" w:fill="CCEEFF"/>
          </w:tcPr>
          <w:p>
            <w:pPr>
              <w:jc w:val="right"/>
              <w:ind w:right="60"/>
              <w:spacing w:after="0"/>
              <w:rPr>
                <w:sz w:val="20"/>
                <w:szCs w:val="20"/>
                <w:color w:val="auto"/>
              </w:rPr>
            </w:pPr>
            <w:r>
              <w:rPr>
                <w:rFonts w:ascii="Arial" w:cs="Arial" w:eastAsia="Arial" w:hAnsi="Arial"/>
                <w:sz w:val="12"/>
                <w:szCs w:val="12"/>
                <w:color w:val="auto"/>
              </w:rPr>
              <w:t>511</w:t>
            </w:r>
          </w:p>
        </w:tc>
        <w:tc>
          <w:tcPr>
            <w:tcW w:w="10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760" w:type="dxa"/>
            <w:vAlign w:val="bottom"/>
            <w:shd w:val="clear" w:color="auto" w:fill="CCEEFF"/>
          </w:tcPr>
          <w:p>
            <w:pPr>
              <w:jc w:val="right"/>
              <w:ind w:right="20"/>
              <w:spacing w:after="0"/>
              <w:rPr>
                <w:sz w:val="20"/>
                <w:szCs w:val="20"/>
                <w:color w:val="auto"/>
              </w:rPr>
            </w:pPr>
            <w:r>
              <w:rPr>
                <w:rFonts w:ascii="Arial" w:cs="Arial" w:eastAsia="Arial" w:hAnsi="Arial"/>
                <w:sz w:val="12"/>
                <w:szCs w:val="12"/>
                <w:color w:val="auto"/>
              </w:rPr>
              <w:t>(633)</w:t>
            </w:r>
          </w:p>
        </w:tc>
        <w:tc>
          <w:tcPr>
            <w:tcW w:w="1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840" w:type="dxa"/>
            <w:vAlign w:val="bottom"/>
            <w:shd w:val="clear" w:color="auto" w:fill="CCEEFF"/>
          </w:tcPr>
          <w:p>
            <w:pPr>
              <w:jc w:val="right"/>
              <w:ind w:right="20"/>
              <w:spacing w:after="0"/>
              <w:rPr>
                <w:sz w:val="20"/>
                <w:szCs w:val="20"/>
                <w:color w:val="auto"/>
              </w:rPr>
            </w:pPr>
            <w:r>
              <w:rPr>
                <w:rFonts w:ascii="Arial" w:cs="Arial" w:eastAsia="Arial" w:hAnsi="Arial"/>
                <w:sz w:val="12"/>
                <w:szCs w:val="12"/>
                <w:color w:val="auto"/>
              </w:rPr>
              <w:t>(396)</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(373)</w:t>
            </w:r>
          </w:p>
        </w:tc>
      </w:tr>
      <w:tr>
        <w:trPr>
          <w:trHeight w:val="171"/>
        </w:trPr>
        <w:tc>
          <w:tcPr>
            <w:tcW w:w="6540" w:type="dxa"/>
            <w:vAlign w:val="bottom"/>
            <w:tcBorders>
              <w:bottom w:val="single" w:sz="8" w:color="CCEEFF"/>
            </w:tcBorders>
          </w:tcPr>
          <w:p>
            <w:pPr>
              <w:ind w:left="240"/>
              <w:spacing w:after="0"/>
              <w:rPr>
                <w:sz w:val="20"/>
                <w:szCs w:val="20"/>
                <w:color w:val="auto"/>
              </w:rPr>
            </w:pPr>
            <w:r>
              <w:rPr>
                <w:rFonts w:ascii="Arial" w:cs="Arial" w:eastAsia="Arial" w:hAnsi="Arial"/>
                <w:sz w:val="12"/>
                <w:szCs w:val="12"/>
                <w:color w:val="auto"/>
              </w:rPr>
              <w:t>Dividend on preferred stock</w:t>
            </w:r>
          </w:p>
        </w:tc>
        <w:tc>
          <w:tcPr>
            <w:tcW w:w="58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7</w:t>
            </w:r>
          </w:p>
        </w:tc>
        <w:tc>
          <w:tcPr>
            <w:tcW w:w="10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7</w:t>
            </w:r>
          </w:p>
        </w:tc>
        <w:tc>
          <w:tcPr>
            <w:tcW w:w="10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21</w:t>
            </w:r>
          </w:p>
        </w:tc>
        <w:tc>
          <w:tcPr>
            <w:tcW w:w="10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40"/>
              <w:spacing w:after="0"/>
              <w:rPr>
                <w:sz w:val="20"/>
                <w:szCs w:val="20"/>
                <w:color w:val="auto"/>
              </w:rPr>
            </w:pPr>
            <w:r>
              <w:rPr>
                <w:rFonts w:ascii="Arial" w:cs="Arial" w:eastAsia="Arial" w:hAnsi="Arial"/>
                <w:sz w:val="12"/>
                <w:szCs w:val="12"/>
                <w:color w:val="auto"/>
              </w:rPr>
              <w:t>21</w:t>
            </w:r>
          </w:p>
        </w:tc>
      </w:tr>
      <w:tr>
        <w:trPr>
          <w:trHeight w:val="185"/>
        </w:trPr>
        <w:tc>
          <w:tcPr>
            <w:tcW w:w="65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2"/>
                <w:szCs w:val="12"/>
                <w:b w:val="1"/>
                <w:bCs w:val="1"/>
                <w:color w:val="auto"/>
              </w:rPr>
              <w:t>Net income (loss) available (attributable) to common stockholders</w:t>
            </w:r>
          </w:p>
        </w:tc>
        <w:tc>
          <w:tcPr>
            <w:tcW w:w="580" w:type="dxa"/>
            <w:vAlign w:val="bottom"/>
            <w:tcBorders>
              <w:bottom w:val="single" w:sz="8" w:color="auto"/>
            </w:tcBorders>
            <w:shd w:val="clear" w:color="auto" w:fill="CCEEFF"/>
          </w:tcPr>
          <w:p>
            <w:pPr>
              <w:jc w:val="right"/>
              <w:ind w:right="441"/>
              <w:spacing w:after="0"/>
              <w:rPr>
                <w:sz w:val="20"/>
                <w:szCs w:val="20"/>
                <w:color w:val="auto"/>
              </w:rPr>
            </w:pPr>
            <w:r>
              <w:rPr>
                <w:rFonts w:ascii="Arial" w:cs="Arial" w:eastAsia="Arial" w:hAnsi="Arial"/>
                <w:sz w:val="12"/>
                <w:szCs w:val="12"/>
                <w:color w:val="auto"/>
                <w:w w:val="89"/>
              </w:rPr>
              <w:t>$</w:t>
            </w:r>
          </w:p>
        </w:tc>
        <w:tc>
          <w:tcPr>
            <w:tcW w:w="40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504</w:t>
            </w:r>
          </w:p>
        </w:tc>
        <w:tc>
          <w:tcPr>
            <w:tcW w:w="10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auto"/>
            </w:tcBorders>
            <w:shd w:val="clear" w:color="auto" w:fill="CCEEFF"/>
          </w:tcPr>
          <w:p>
            <w:pPr>
              <w:jc w:val="right"/>
              <w:ind w:right="80"/>
              <w:spacing w:after="0"/>
              <w:rPr>
                <w:sz w:val="20"/>
                <w:szCs w:val="20"/>
                <w:color w:val="auto"/>
              </w:rPr>
            </w:pPr>
            <w:r>
              <w:rPr>
                <w:rFonts w:ascii="Arial" w:cs="Arial" w:eastAsia="Arial" w:hAnsi="Arial"/>
                <w:sz w:val="12"/>
                <w:szCs w:val="12"/>
                <w:color w:val="auto"/>
                <w:w w:val="89"/>
              </w:rPr>
              <w:t>$</w:t>
            </w:r>
          </w:p>
        </w:tc>
        <w:tc>
          <w:tcPr>
            <w:tcW w:w="760" w:type="dxa"/>
            <w:vAlign w:val="bottom"/>
            <w:tcBorders>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rPr>
              <w:t>(640)</w:t>
            </w:r>
          </w:p>
        </w:tc>
        <w:tc>
          <w:tcPr>
            <w:tcW w:w="10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840" w:type="dxa"/>
            <w:vAlign w:val="bottom"/>
            <w:tcBorders>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rPr>
              <w:t>(417)</w:t>
            </w:r>
          </w:p>
        </w:tc>
        <w:tc>
          <w:tcPr>
            <w:tcW w:w="10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(394)</w:t>
            </w:r>
          </w:p>
        </w:tc>
      </w:tr>
      <w:tr>
        <w:trPr>
          <w:trHeight w:val="216"/>
        </w:trPr>
        <w:tc>
          <w:tcPr>
            <w:tcW w:w="654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40" w:type="dxa"/>
            <w:vAlign w:val="bottom"/>
          </w:tcPr>
          <w:p>
            <w:pPr>
              <w:spacing w:after="0"/>
              <w:rPr>
                <w:sz w:val="18"/>
                <w:szCs w:val="18"/>
                <w:color w:val="auto"/>
              </w:rPr>
            </w:pPr>
          </w:p>
        </w:tc>
      </w:tr>
      <w:tr>
        <w:trPr>
          <w:trHeight w:val="180"/>
        </w:trPr>
        <w:tc>
          <w:tcPr>
            <w:tcW w:w="6540" w:type="dxa"/>
            <w:vAlign w:val="bottom"/>
            <w:shd w:val="clear" w:color="auto" w:fill="CCEEFF"/>
          </w:tcPr>
          <w:p>
            <w:pPr>
              <w:ind w:left="20"/>
              <w:spacing w:after="0"/>
              <w:rPr>
                <w:sz w:val="20"/>
                <w:szCs w:val="20"/>
                <w:color w:val="auto"/>
              </w:rPr>
            </w:pPr>
            <w:r>
              <w:rPr>
                <w:rFonts w:ascii="Arial" w:cs="Arial" w:eastAsia="Arial" w:hAnsi="Arial"/>
                <w:sz w:val="12"/>
                <w:szCs w:val="12"/>
                <w:b w:val="1"/>
                <w:bCs w:val="1"/>
                <w:color w:val="auto"/>
              </w:rPr>
              <w:t>Net income (loss)</w:t>
            </w:r>
          </w:p>
        </w:tc>
        <w:tc>
          <w:tcPr>
            <w:tcW w:w="580" w:type="dxa"/>
            <w:vAlign w:val="bottom"/>
            <w:shd w:val="clear" w:color="auto" w:fill="CCEEFF"/>
          </w:tcPr>
          <w:p>
            <w:pPr>
              <w:jc w:val="right"/>
              <w:ind w:right="441"/>
              <w:spacing w:after="0"/>
              <w:rPr>
                <w:sz w:val="20"/>
                <w:szCs w:val="20"/>
                <w:color w:val="auto"/>
              </w:rPr>
            </w:pPr>
            <w:r>
              <w:rPr>
                <w:rFonts w:ascii="Arial" w:cs="Arial" w:eastAsia="Arial" w:hAnsi="Arial"/>
                <w:sz w:val="12"/>
                <w:szCs w:val="12"/>
                <w:color w:val="auto"/>
                <w:w w:val="89"/>
              </w:rPr>
              <w:t>$</w:t>
            </w:r>
          </w:p>
        </w:tc>
        <w:tc>
          <w:tcPr>
            <w:tcW w:w="400" w:type="dxa"/>
            <w:vAlign w:val="bottom"/>
            <w:shd w:val="clear" w:color="auto" w:fill="CCEEFF"/>
          </w:tcPr>
          <w:p>
            <w:pPr>
              <w:jc w:val="right"/>
              <w:ind w:right="60"/>
              <w:spacing w:after="0"/>
              <w:rPr>
                <w:sz w:val="20"/>
                <w:szCs w:val="20"/>
                <w:color w:val="auto"/>
              </w:rPr>
            </w:pPr>
            <w:r>
              <w:rPr>
                <w:rFonts w:ascii="Arial" w:cs="Arial" w:eastAsia="Arial" w:hAnsi="Arial"/>
                <w:sz w:val="12"/>
                <w:szCs w:val="12"/>
                <w:color w:val="auto"/>
              </w:rPr>
              <w:t>511</w:t>
            </w:r>
          </w:p>
        </w:tc>
        <w:tc>
          <w:tcPr>
            <w:tcW w:w="100" w:type="dxa"/>
            <w:vAlign w:val="bottom"/>
            <w:shd w:val="clear" w:color="auto" w:fill="CCEEFF"/>
          </w:tcPr>
          <w:p>
            <w:pPr>
              <w:spacing w:after="0"/>
              <w:rPr>
                <w:sz w:val="15"/>
                <w:szCs w:val="15"/>
                <w:color w:val="auto"/>
              </w:rPr>
            </w:pPr>
          </w:p>
        </w:tc>
        <w:tc>
          <w:tcPr>
            <w:tcW w:w="220" w:type="dxa"/>
            <w:vAlign w:val="bottom"/>
            <w:shd w:val="clear" w:color="auto" w:fill="CCEEFF"/>
          </w:tcPr>
          <w:p>
            <w:pPr>
              <w:jc w:val="right"/>
              <w:ind w:right="80"/>
              <w:spacing w:after="0"/>
              <w:rPr>
                <w:sz w:val="20"/>
                <w:szCs w:val="20"/>
                <w:color w:val="auto"/>
              </w:rPr>
            </w:pPr>
            <w:r>
              <w:rPr>
                <w:rFonts w:ascii="Arial" w:cs="Arial" w:eastAsia="Arial" w:hAnsi="Arial"/>
                <w:sz w:val="12"/>
                <w:szCs w:val="12"/>
                <w:color w:val="auto"/>
                <w:w w:val="89"/>
              </w:rPr>
              <w:t>$</w:t>
            </w:r>
          </w:p>
        </w:tc>
        <w:tc>
          <w:tcPr>
            <w:tcW w:w="760" w:type="dxa"/>
            <w:vAlign w:val="bottom"/>
            <w:shd w:val="clear" w:color="auto" w:fill="CCEEFF"/>
          </w:tcPr>
          <w:p>
            <w:pPr>
              <w:jc w:val="right"/>
              <w:ind w:right="20"/>
              <w:spacing w:after="0"/>
              <w:rPr>
                <w:sz w:val="20"/>
                <w:szCs w:val="20"/>
                <w:color w:val="auto"/>
              </w:rPr>
            </w:pPr>
            <w:r>
              <w:rPr>
                <w:rFonts w:ascii="Arial" w:cs="Arial" w:eastAsia="Arial" w:hAnsi="Arial"/>
                <w:sz w:val="12"/>
                <w:szCs w:val="12"/>
                <w:color w:val="auto"/>
              </w:rPr>
              <w:t>(633)</w:t>
            </w:r>
          </w:p>
        </w:tc>
        <w:tc>
          <w:tcPr>
            <w:tcW w:w="100" w:type="dxa"/>
            <w:vAlign w:val="bottom"/>
            <w:shd w:val="clear" w:color="auto" w:fill="CCEEFF"/>
          </w:tcPr>
          <w:p>
            <w:pPr>
              <w:spacing w:after="0"/>
              <w:rPr>
                <w:sz w:val="15"/>
                <w:szCs w:val="15"/>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840" w:type="dxa"/>
            <w:vAlign w:val="bottom"/>
            <w:shd w:val="clear" w:color="auto" w:fill="CCEEFF"/>
          </w:tcPr>
          <w:p>
            <w:pPr>
              <w:jc w:val="right"/>
              <w:ind w:right="20"/>
              <w:spacing w:after="0"/>
              <w:rPr>
                <w:sz w:val="20"/>
                <w:szCs w:val="20"/>
                <w:color w:val="auto"/>
              </w:rPr>
            </w:pPr>
            <w:r>
              <w:rPr>
                <w:rFonts w:ascii="Arial" w:cs="Arial" w:eastAsia="Arial" w:hAnsi="Arial"/>
                <w:sz w:val="12"/>
                <w:szCs w:val="12"/>
                <w:color w:val="auto"/>
              </w:rPr>
              <w:t>(396)</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jc w:val="right"/>
              <w:ind w:right="90"/>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(373)</w:t>
            </w:r>
          </w:p>
        </w:tc>
      </w:tr>
      <w:tr>
        <w:trPr>
          <w:trHeight w:val="171"/>
        </w:trPr>
        <w:tc>
          <w:tcPr>
            <w:tcW w:w="6540" w:type="dxa"/>
            <w:vAlign w:val="bottom"/>
          </w:tcPr>
          <w:p>
            <w:pPr>
              <w:ind w:left="20"/>
              <w:spacing w:after="0"/>
              <w:rPr>
                <w:sz w:val="20"/>
                <w:szCs w:val="20"/>
                <w:color w:val="auto"/>
              </w:rPr>
            </w:pPr>
            <w:r>
              <w:rPr>
                <w:rFonts w:ascii="Arial" w:cs="Arial" w:eastAsia="Arial" w:hAnsi="Arial"/>
                <w:sz w:val="12"/>
                <w:szCs w:val="12"/>
                <w:b w:val="1"/>
                <w:bCs w:val="1"/>
                <w:color w:val="auto"/>
              </w:rPr>
              <w:t>Other comprehensive income (loss):</w:t>
            </w:r>
          </w:p>
        </w:tc>
        <w:tc>
          <w:tcPr>
            <w:tcW w:w="5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40" w:type="dxa"/>
            <w:vAlign w:val="bottom"/>
          </w:tcPr>
          <w:p>
            <w:pPr>
              <w:spacing w:after="0"/>
              <w:rPr>
                <w:sz w:val="14"/>
                <w:szCs w:val="14"/>
                <w:color w:val="auto"/>
              </w:rPr>
            </w:pPr>
          </w:p>
        </w:tc>
      </w:tr>
      <w:tr>
        <w:trPr>
          <w:trHeight w:val="189"/>
        </w:trPr>
        <w:tc>
          <w:tcPr>
            <w:tcW w:w="65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Unrealized gain (loss) on available-for-sale securities, net</w:t>
            </w:r>
          </w:p>
        </w:tc>
        <w:tc>
          <w:tcPr>
            <w:tcW w:w="580" w:type="dxa"/>
            <w:vAlign w:val="bottom"/>
            <w:shd w:val="clear" w:color="auto" w:fill="CCEEFF"/>
          </w:tcPr>
          <w:p>
            <w:pPr>
              <w:spacing w:after="0"/>
              <w:rPr>
                <w:sz w:val="16"/>
                <w:szCs w:val="16"/>
                <w:color w:val="auto"/>
              </w:rPr>
            </w:pPr>
          </w:p>
        </w:tc>
        <w:tc>
          <w:tcPr>
            <w:tcW w:w="400" w:type="dxa"/>
            <w:vAlign w:val="bottom"/>
            <w:shd w:val="clear" w:color="auto" w:fill="CCEEFF"/>
          </w:tcPr>
          <w:p>
            <w:pPr>
              <w:jc w:val="right"/>
              <w:ind w:right="20"/>
              <w:spacing w:after="0"/>
              <w:rPr>
                <w:sz w:val="20"/>
                <w:szCs w:val="20"/>
                <w:color w:val="auto"/>
              </w:rPr>
            </w:pPr>
            <w:r>
              <w:rPr>
                <w:rFonts w:ascii="Arial" w:cs="Arial" w:eastAsia="Arial" w:hAnsi="Arial"/>
                <w:sz w:val="12"/>
                <w:szCs w:val="12"/>
                <w:color w:val="auto"/>
              </w:rPr>
              <w:t>(97)</w:t>
            </w:r>
          </w:p>
        </w:tc>
        <w:tc>
          <w:tcPr>
            <w:tcW w:w="1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60"/>
              <w:spacing w:after="0"/>
              <w:rPr>
                <w:sz w:val="20"/>
                <w:szCs w:val="20"/>
                <w:color w:val="auto"/>
              </w:rPr>
            </w:pPr>
            <w:r>
              <w:rPr>
                <w:rFonts w:ascii="Arial" w:cs="Arial" w:eastAsia="Arial" w:hAnsi="Arial"/>
                <w:sz w:val="12"/>
                <w:szCs w:val="12"/>
                <w:color w:val="auto"/>
              </w:rPr>
              <w:t>467</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60"/>
              <w:spacing w:after="0"/>
              <w:rPr>
                <w:sz w:val="20"/>
                <w:szCs w:val="20"/>
                <w:color w:val="auto"/>
              </w:rPr>
            </w:pPr>
            <w:r>
              <w:rPr>
                <w:rFonts w:ascii="Arial" w:cs="Arial" w:eastAsia="Arial" w:hAnsi="Arial"/>
                <w:sz w:val="12"/>
                <w:szCs w:val="12"/>
                <w:color w:val="auto"/>
              </w:rPr>
              <w:t>1,038</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w:t>
            </w:r>
          </w:p>
        </w:tc>
      </w:tr>
      <w:tr>
        <w:trPr>
          <w:trHeight w:val="171"/>
        </w:trPr>
        <w:tc>
          <w:tcPr>
            <w:tcW w:w="6540" w:type="dxa"/>
            <w:vAlign w:val="bottom"/>
            <w:tcBorders>
              <w:bottom w:val="single" w:sz="8" w:color="CCEEFF"/>
            </w:tcBorders>
          </w:tcPr>
          <w:p>
            <w:pPr>
              <w:ind w:left="240"/>
              <w:spacing w:after="0"/>
              <w:rPr>
                <w:sz w:val="20"/>
                <w:szCs w:val="20"/>
                <w:color w:val="auto"/>
              </w:rPr>
            </w:pPr>
            <w:r>
              <w:rPr>
                <w:rFonts w:ascii="Arial" w:cs="Arial" w:eastAsia="Arial" w:hAnsi="Arial"/>
                <w:sz w:val="12"/>
                <w:szCs w:val="12"/>
                <w:color w:val="auto"/>
              </w:rPr>
              <w:t>Unrealized gain on derivative instruments, net</w:t>
            </w:r>
          </w:p>
        </w:tc>
        <w:tc>
          <w:tcPr>
            <w:tcW w:w="58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7</w:t>
            </w:r>
          </w:p>
        </w:tc>
        <w:tc>
          <w:tcPr>
            <w:tcW w:w="10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24</w:t>
            </w:r>
          </w:p>
        </w:tc>
        <w:tc>
          <w:tcPr>
            <w:tcW w:w="10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38</w:t>
            </w:r>
          </w:p>
        </w:tc>
        <w:tc>
          <w:tcPr>
            <w:tcW w:w="10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40"/>
              <w:spacing w:after="0"/>
              <w:rPr>
                <w:sz w:val="20"/>
                <w:szCs w:val="20"/>
                <w:color w:val="auto"/>
              </w:rPr>
            </w:pPr>
            <w:r>
              <w:rPr>
                <w:rFonts w:ascii="Arial" w:cs="Arial" w:eastAsia="Arial" w:hAnsi="Arial"/>
                <w:sz w:val="12"/>
                <w:szCs w:val="12"/>
                <w:color w:val="auto"/>
              </w:rPr>
              <w:t>79</w:t>
            </w:r>
          </w:p>
        </w:tc>
      </w:tr>
      <w:tr>
        <w:trPr>
          <w:trHeight w:val="178"/>
        </w:trPr>
        <w:tc>
          <w:tcPr>
            <w:tcW w:w="6540" w:type="dxa"/>
            <w:vAlign w:val="bottom"/>
            <w:shd w:val="clear" w:color="auto" w:fill="CCEEFF"/>
          </w:tcPr>
          <w:p>
            <w:pPr>
              <w:ind w:left="460"/>
              <w:spacing w:after="0"/>
              <w:rPr>
                <w:sz w:val="20"/>
                <w:szCs w:val="20"/>
                <w:color w:val="auto"/>
              </w:rPr>
            </w:pPr>
            <w:r>
              <w:rPr>
                <w:rFonts w:ascii="Arial" w:cs="Arial" w:eastAsia="Arial" w:hAnsi="Arial"/>
                <w:sz w:val="12"/>
                <w:szCs w:val="12"/>
                <w:color w:val="auto"/>
              </w:rPr>
              <w:t>Other comprehensive income (loss)</w:t>
            </w:r>
          </w:p>
        </w:tc>
        <w:tc>
          <w:tcPr>
            <w:tcW w:w="58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rPr>
              <w:t>(90)</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491</w:t>
            </w:r>
          </w:p>
        </w:tc>
        <w:tc>
          <w:tcPr>
            <w:tcW w:w="10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1,076</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740" w:type="dxa"/>
            <w:vAlign w:val="bottom"/>
            <w:tcBorders>
              <w:bottom w:val="single" w:sz="8" w:color="auto"/>
            </w:tcBorders>
            <w:shd w:val="clear" w:color="auto" w:fill="CCEEFF"/>
          </w:tcPr>
          <w:p>
            <w:pPr>
              <w:jc w:val="right"/>
              <w:ind w:right="40"/>
              <w:spacing w:after="0"/>
              <w:rPr>
                <w:sz w:val="20"/>
                <w:szCs w:val="20"/>
                <w:color w:val="auto"/>
              </w:rPr>
            </w:pPr>
            <w:r>
              <w:rPr>
                <w:rFonts w:ascii="Arial" w:cs="Arial" w:eastAsia="Arial" w:hAnsi="Arial"/>
                <w:sz w:val="12"/>
                <w:szCs w:val="12"/>
                <w:color w:val="auto"/>
              </w:rPr>
              <w:t>65</w:t>
            </w:r>
          </w:p>
        </w:tc>
      </w:tr>
      <w:tr>
        <w:trPr>
          <w:trHeight w:val="160"/>
        </w:trPr>
        <w:tc>
          <w:tcPr>
            <w:tcW w:w="6540" w:type="dxa"/>
            <w:vAlign w:val="bottom"/>
          </w:tcPr>
          <w:p>
            <w:pPr>
              <w:ind w:left="20"/>
              <w:spacing w:after="0"/>
              <w:rPr>
                <w:sz w:val="20"/>
                <w:szCs w:val="20"/>
                <w:color w:val="auto"/>
              </w:rPr>
            </w:pPr>
            <w:r>
              <w:rPr>
                <w:rFonts w:ascii="Arial" w:cs="Arial" w:eastAsia="Arial" w:hAnsi="Arial"/>
                <w:sz w:val="12"/>
                <w:szCs w:val="12"/>
                <w:b w:val="1"/>
                <w:bCs w:val="1"/>
                <w:color w:val="auto"/>
              </w:rPr>
              <w:t>Comprehensive income (loss)</w:t>
            </w:r>
          </w:p>
        </w:tc>
        <w:tc>
          <w:tcPr>
            <w:tcW w:w="580" w:type="dxa"/>
            <w:vAlign w:val="bottom"/>
          </w:tcPr>
          <w:p>
            <w:pPr>
              <w:spacing w:after="0"/>
              <w:rPr>
                <w:sz w:val="13"/>
                <w:szCs w:val="13"/>
                <w:color w:val="auto"/>
              </w:rPr>
            </w:pPr>
          </w:p>
        </w:tc>
        <w:tc>
          <w:tcPr>
            <w:tcW w:w="400" w:type="dxa"/>
            <w:vAlign w:val="bottom"/>
          </w:tcPr>
          <w:p>
            <w:pPr>
              <w:jc w:val="right"/>
              <w:ind w:right="60"/>
              <w:spacing w:after="0"/>
              <w:rPr>
                <w:sz w:val="20"/>
                <w:szCs w:val="20"/>
                <w:color w:val="auto"/>
              </w:rPr>
            </w:pPr>
            <w:r>
              <w:rPr>
                <w:rFonts w:ascii="Arial" w:cs="Arial" w:eastAsia="Arial" w:hAnsi="Arial"/>
                <w:sz w:val="12"/>
                <w:szCs w:val="12"/>
                <w:color w:val="auto"/>
              </w:rPr>
              <w:t>421</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60" w:type="dxa"/>
            <w:vAlign w:val="bottom"/>
          </w:tcPr>
          <w:p>
            <w:pPr>
              <w:jc w:val="right"/>
              <w:ind w:right="20"/>
              <w:spacing w:after="0"/>
              <w:rPr>
                <w:sz w:val="20"/>
                <w:szCs w:val="20"/>
                <w:color w:val="auto"/>
              </w:rPr>
            </w:pPr>
            <w:r>
              <w:rPr>
                <w:rFonts w:ascii="Arial" w:cs="Arial" w:eastAsia="Arial" w:hAnsi="Arial"/>
                <w:sz w:val="12"/>
                <w:szCs w:val="12"/>
                <w:color w:val="auto"/>
              </w:rPr>
              <w:t>(142)</w:t>
            </w: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40" w:type="dxa"/>
            <w:vAlign w:val="bottom"/>
          </w:tcPr>
          <w:p>
            <w:pPr>
              <w:jc w:val="right"/>
              <w:ind w:right="60"/>
              <w:spacing w:after="0"/>
              <w:rPr>
                <w:sz w:val="20"/>
                <w:szCs w:val="20"/>
                <w:color w:val="auto"/>
              </w:rPr>
            </w:pPr>
            <w:r>
              <w:rPr>
                <w:rFonts w:ascii="Arial" w:cs="Arial" w:eastAsia="Arial" w:hAnsi="Arial"/>
                <w:sz w:val="12"/>
                <w:szCs w:val="12"/>
                <w:color w:val="auto"/>
              </w:rPr>
              <w:t>680</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740" w:type="dxa"/>
            <w:vAlign w:val="bottom"/>
          </w:tcPr>
          <w:p>
            <w:pPr>
              <w:jc w:val="right"/>
              <w:spacing w:after="0"/>
              <w:rPr>
                <w:sz w:val="20"/>
                <w:szCs w:val="20"/>
                <w:color w:val="auto"/>
              </w:rPr>
            </w:pPr>
            <w:r>
              <w:rPr>
                <w:rFonts w:ascii="Arial" w:cs="Arial" w:eastAsia="Arial" w:hAnsi="Arial"/>
                <w:sz w:val="12"/>
                <w:szCs w:val="12"/>
                <w:color w:val="auto"/>
              </w:rPr>
              <w:t>(308)</w:t>
            </w:r>
          </w:p>
        </w:tc>
      </w:tr>
      <w:tr>
        <w:trPr>
          <w:trHeight w:val="180"/>
        </w:trPr>
        <w:tc>
          <w:tcPr>
            <w:tcW w:w="65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Dividend on preferred stock</w:t>
            </w:r>
          </w:p>
        </w:tc>
        <w:tc>
          <w:tcPr>
            <w:tcW w:w="58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7</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7</w:t>
            </w:r>
          </w:p>
        </w:tc>
        <w:tc>
          <w:tcPr>
            <w:tcW w:w="10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21</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740" w:type="dxa"/>
            <w:vAlign w:val="bottom"/>
            <w:tcBorders>
              <w:bottom w:val="single" w:sz="8" w:color="auto"/>
            </w:tcBorders>
            <w:shd w:val="clear" w:color="auto" w:fill="CCEEFF"/>
          </w:tcPr>
          <w:p>
            <w:pPr>
              <w:jc w:val="right"/>
              <w:ind w:right="40"/>
              <w:spacing w:after="0"/>
              <w:rPr>
                <w:sz w:val="20"/>
                <w:szCs w:val="20"/>
                <w:color w:val="auto"/>
              </w:rPr>
            </w:pPr>
            <w:r>
              <w:rPr>
                <w:rFonts w:ascii="Arial" w:cs="Arial" w:eastAsia="Arial" w:hAnsi="Arial"/>
                <w:sz w:val="12"/>
                <w:szCs w:val="12"/>
                <w:color w:val="auto"/>
              </w:rPr>
              <w:t>21</w:t>
            </w:r>
          </w:p>
        </w:tc>
      </w:tr>
      <w:tr>
        <w:trPr>
          <w:trHeight w:val="185"/>
        </w:trPr>
        <w:tc>
          <w:tcPr>
            <w:tcW w:w="6540" w:type="dxa"/>
            <w:vAlign w:val="bottom"/>
            <w:tcBorders>
              <w:bottom w:val="single" w:sz="8" w:color="CCEEFF"/>
            </w:tcBorders>
          </w:tcPr>
          <w:p>
            <w:pPr>
              <w:ind w:left="20"/>
              <w:spacing w:after="0"/>
              <w:rPr>
                <w:sz w:val="20"/>
                <w:szCs w:val="20"/>
                <w:color w:val="auto"/>
              </w:rPr>
            </w:pPr>
            <w:r>
              <w:rPr>
                <w:rFonts w:ascii="Arial" w:cs="Arial" w:eastAsia="Arial" w:hAnsi="Arial"/>
                <w:sz w:val="12"/>
                <w:szCs w:val="12"/>
                <w:b w:val="1"/>
                <w:bCs w:val="1"/>
                <w:color w:val="auto"/>
              </w:rPr>
              <w:t>Comprehensive income (loss) available (attributable) to common stockholders</w:t>
            </w:r>
          </w:p>
        </w:tc>
        <w:tc>
          <w:tcPr>
            <w:tcW w:w="580" w:type="dxa"/>
            <w:vAlign w:val="bottom"/>
            <w:tcBorders>
              <w:bottom w:val="single" w:sz="8" w:color="auto"/>
            </w:tcBorders>
          </w:tcPr>
          <w:p>
            <w:pPr>
              <w:jc w:val="right"/>
              <w:ind w:right="441"/>
              <w:spacing w:after="0"/>
              <w:rPr>
                <w:sz w:val="20"/>
                <w:szCs w:val="20"/>
                <w:color w:val="auto"/>
              </w:rPr>
            </w:pPr>
            <w:r>
              <w:rPr>
                <w:rFonts w:ascii="Arial" w:cs="Arial" w:eastAsia="Arial" w:hAnsi="Arial"/>
                <w:sz w:val="12"/>
                <w:szCs w:val="12"/>
                <w:color w:val="auto"/>
                <w:w w:val="89"/>
              </w:rPr>
              <w:t>$</w:t>
            </w:r>
          </w:p>
        </w:tc>
        <w:tc>
          <w:tcPr>
            <w:tcW w:w="4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414</w:t>
            </w:r>
          </w:p>
        </w:tc>
        <w:tc>
          <w:tcPr>
            <w:tcW w:w="100" w:type="dxa"/>
            <w:vAlign w:val="bottom"/>
            <w:tcBorders>
              <w:bottom w:val="single" w:sz="8" w:color="CCEEFF"/>
            </w:tcBorders>
          </w:tcPr>
          <w:p>
            <w:pPr>
              <w:spacing w:after="0"/>
              <w:rPr>
                <w:sz w:val="16"/>
                <w:szCs w:val="16"/>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60" w:type="dxa"/>
            <w:vAlign w:val="bottom"/>
            <w:tcBorders>
              <w:bottom w:val="single" w:sz="8" w:color="auto"/>
            </w:tcBorders>
          </w:tcPr>
          <w:p>
            <w:pPr>
              <w:jc w:val="right"/>
              <w:ind w:right="20"/>
              <w:spacing w:after="0"/>
              <w:rPr>
                <w:sz w:val="20"/>
                <w:szCs w:val="20"/>
                <w:color w:val="auto"/>
              </w:rPr>
            </w:pPr>
            <w:r>
              <w:rPr>
                <w:rFonts w:ascii="Arial" w:cs="Arial" w:eastAsia="Arial" w:hAnsi="Arial"/>
                <w:sz w:val="12"/>
                <w:szCs w:val="12"/>
                <w:color w:val="auto"/>
              </w:rPr>
              <w:t>(149)</w:t>
            </w:r>
          </w:p>
        </w:tc>
        <w:tc>
          <w:tcPr>
            <w:tcW w:w="100" w:type="dxa"/>
            <w:vAlign w:val="bottom"/>
            <w:tcBorders>
              <w:bottom w:val="single" w:sz="8" w:color="CCEEFF"/>
            </w:tcBorders>
          </w:tcPr>
          <w:p>
            <w:pPr>
              <w:spacing w:after="0"/>
              <w:rPr>
                <w:sz w:val="16"/>
                <w:szCs w:val="16"/>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4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659</w:t>
            </w:r>
          </w:p>
        </w:tc>
        <w:tc>
          <w:tcPr>
            <w:tcW w:w="100" w:type="dxa"/>
            <w:vAlign w:val="bottom"/>
            <w:tcBorders>
              <w:bottom w:val="single" w:sz="8" w:color="CCEEFF"/>
            </w:tcBorders>
          </w:tcPr>
          <w:p>
            <w:pPr>
              <w:spacing w:after="0"/>
              <w:rPr>
                <w:sz w:val="16"/>
                <w:szCs w:val="16"/>
                <w:color w:val="auto"/>
              </w:rPr>
            </w:pPr>
          </w:p>
        </w:tc>
        <w:tc>
          <w:tcPr>
            <w:tcW w:w="200" w:type="dxa"/>
            <w:vAlign w:val="bottom"/>
            <w:tcBorders>
              <w:bottom w:val="single" w:sz="8" w:color="auto"/>
            </w:tcBorders>
          </w:tcPr>
          <w:p>
            <w:pPr>
              <w:jc w:val="right"/>
              <w:ind w:right="90"/>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(329)</w:t>
            </w:r>
          </w:p>
        </w:tc>
      </w:tr>
      <w:tr>
        <w:trPr>
          <w:trHeight w:val="216"/>
        </w:trPr>
        <w:tc>
          <w:tcPr>
            <w:tcW w:w="654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r>
      <w:tr>
        <w:trPr>
          <w:trHeight w:val="187"/>
        </w:trPr>
        <w:tc>
          <w:tcPr>
            <w:tcW w:w="6540" w:type="dxa"/>
            <w:vAlign w:val="bottom"/>
            <w:tcBorders>
              <w:bottom w:val="single" w:sz="8" w:color="CCEEFF"/>
            </w:tcBorders>
          </w:tcPr>
          <w:p>
            <w:pPr>
              <w:ind w:left="20"/>
              <w:spacing w:after="0"/>
              <w:rPr>
                <w:sz w:val="20"/>
                <w:szCs w:val="20"/>
                <w:color w:val="auto"/>
              </w:rPr>
            </w:pPr>
            <w:r>
              <w:rPr>
                <w:rFonts w:ascii="Arial" w:cs="Arial" w:eastAsia="Arial" w:hAnsi="Arial"/>
                <w:sz w:val="12"/>
                <w:szCs w:val="12"/>
                <w:b w:val="1"/>
                <w:bCs w:val="1"/>
                <w:color w:val="auto"/>
              </w:rPr>
              <w:t>Weighted average number of common shares outstanding - basic and diluted</w:t>
            </w:r>
          </w:p>
        </w:tc>
        <w:tc>
          <w:tcPr>
            <w:tcW w:w="58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w w:val="86"/>
              </w:rPr>
              <w:t>331.0</w:t>
            </w:r>
          </w:p>
        </w:tc>
        <w:tc>
          <w:tcPr>
            <w:tcW w:w="100" w:type="dxa"/>
            <w:vAlign w:val="bottom"/>
            <w:tcBorders>
              <w:bottom w:val="single" w:sz="8" w:color="CCEEFF"/>
            </w:tcBorders>
          </w:tcPr>
          <w:p>
            <w:pPr>
              <w:spacing w:after="0"/>
              <w:rPr>
                <w:sz w:val="16"/>
                <w:szCs w:val="16"/>
                <w:color w:val="auto"/>
              </w:rPr>
            </w:pPr>
          </w:p>
        </w:tc>
        <w:tc>
          <w:tcPr>
            <w:tcW w:w="220" w:type="dxa"/>
            <w:vAlign w:val="bottom"/>
            <w:tcBorders>
              <w:bottom w:val="single" w:sz="8" w:color="auto"/>
            </w:tcBorders>
          </w:tcPr>
          <w:p>
            <w:pPr>
              <w:spacing w:after="0"/>
              <w:rPr>
                <w:sz w:val="16"/>
                <w:szCs w:val="16"/>
                <w:color w:val="auto"/>
              </w:rPr>
            </w:pPr>
          </w:p>
        </w:tc>
        <w:tc>
          <w:tcPr>
            <w:tcW w:w="76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347.8</w:t>
            </w:r>
          </w:p>
        </w:tc>
        <w:tc>
          <w:tcPr>
            <w:tcW w:w="100" w:type="dxa"/>
            <w:vAlign w:val="bottom"/>
            <w:tcBorders>
              <w:bottom w:val="single" w:sz="8" w:color="CCEEFF"/>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84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332.1</w:t>
            </w:r>
          </w:p>
        </w:tc>
        <w:tc>
          <w:tcPr>
            <w:tcW w:w="100" w:type="dxa"/>
            <w:vAlign w:val="bottom"/>
            <w:tcBorders>
              <w:bottom w:val="single" w:sz="8" w:color="CCEEFF"/>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740" w:type="dxa"/>
            <w:vAlign w:val="bottom"/>
            <w:tcBorders>
              <w:bottom w:val="single" w:sz="8" w:color="auto"/>
            </w:tcBorders>
          </w:tcPr>
          <w:p>
            <w:pPr>
              <w:jc w:val="right"/>
              <w:ind w:right="40"/>
              <w:spacing w:after="0"/>
              <w:rPr>
                <w:sz w:val="20"/>
                <w:szCs w:val="20"/>
                <w:color w:val="auto"/>
              </w:rPr>
            </w:pPr>
            <w:r>
              <w:rPr>
                <w:rFonts w:ascii="Arial" w:cs="Arial" w:eastAsia="Arial" w:hAnsi="Arial"/>
                <w:sz w:val="12"/>
                <w:szCs w:val="12"/>
                <w:color w:val="auto"/>
              </w:rPr>
              <w:t>350.9</w:t>
            </w:r>
          </w:p>
        </w:tc>
      </w:tr>
      <w:tr>
        <w:trPr>
          <w:trHeight w:val="187"/>
        </w:trPr>
        <w:tc>
          <w:tcPr>
            <w:tcW w:w="65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2"/>
                <w:szCs w:val="12"/>
                <w:b w:val="1"/>
                <w:bCs w:val="1"/>
                <w:color w:val="auto"/>
              </w:rPr>
              <w:t>Net income (loss) per common share - basic and diluted</w:t>
            </w:r>
          </w:p>
        </w:tc>
        <w:tc>
          <w:tcPr>
            <w:tcW w:w="580" w:type="dxa"/>
            <w:vAlign w:val="bottom"/>
            <w:tcBorders>
              <w:bottom w:val="single" w:sz="8" w:color="auto"/>
            </w:tcBorders>
            <w:shd w:val="clear" w:color="auto" w:fill="CCEEFF"/>
          </w:tcPr>
          <w:p>
            <w:pPr>
              <w:jc w:val="right"/>
              <w:ind w:right="441"/>
              <w:spacing w:after="0"/>
              <w:rPr>
                <w:sz w:val="20"/>
                <w:szCs w:val="20"/>
                <w:color w:val="auto"/>
              </w:rPr>
            </w:pPr>
            <w:r>
              <w:rPr>
                <w:rFonts w:ascii="Arial" w:cs="Arial" w:eastAsia="Arial" w:hAnsi="Arial"/>
                <w:sz w:val="12"/>
                <w:szCs w:val="12"/>
                <w:color w:val="auto"/>
                <w:w w:val="89"/>
              </w:rPr>
              <w:t>$</w:t>
            </w:r>
          </w:p>
        </w:tc>
        <w:tc>
          <w:tcPr>
            <w:tcW w:w="400" w:type="dxa"/>
            <w:vAlign w:val="bottom"/>
            <w:tcBorders>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rPr>
              <w:t>1.52</w:t>
            </w:r>
          </w:p>
        </w:tc>
        <w:tc>
          <w:tcPr>
            <w:tcW w:w="10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auto"/>
            </w:tcBorders>
            <w:shd w:val="clear" w:color="auto" w:fill="CCEEFF"/>
          </w:tcPr>
          <w:p>
            <w:pPr>
              <w:jc w:val="right"/>
              <w:ind w:right="80"/>
              <w:spacing w:after="0"/>
              <w:rPr>
                <w:sz w:val="20"/>
                <w:szCs w:val="20"/>
                <w:color w:val="auto"/>
              </w:rPr>
            </w:pPr>
            <w:r>
              <w:rPr>
                <w:rFonts w:ascii="Arial" w:cs="Arial" w:eastAsia="Arial" w:hAnsi="Arial"/>
                <w:sz w:val="12"/>
                <w:szCs w:val="12"/>
                <w:color w:val="auto"/>
                <w:w w:val="89"/>
              </w:rPr>
              <w:t>$</w:t>
            </w:r>
          </w:p>
        </w:tc>
        <w:tc>
          <w:tcPr>
            <w:tcW w:w="760" w:type="dxa"/>
            <w:vAlign w:val="bottom"/>
            <w:tcBorders>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rPr>
              <w:t>(1.84)</w:t>
            </w:r>
          </w:p>
        </w:tc>
        <w:tc>
          <w:tcPr>
            <w:tcW w:w="10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840" w:type="dxa"/>
            <w:vAlign w:val="bottom"/>
            <w:tcBorders>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rPr>
              <w:t>(1.26)</w:t>
            </w:r>
          </w:p>
        </w:tc>
        <w:tc>
          <w:tcPr>
            <w:tcW w:w="10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auto"/>
            </w:tcBorders>
            <w:shd w:val="clear" w:color="auto" w:fill="CCEEFF"/>
          </w:tcPr>
          <w:p>
            <w:pPr>
              <w:jc w:val="right"/>
              <w:ind w:right="90"/>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(1.12)</w:t>
            </w:r>
          </w:p>
        </w:tc>
      </w:tr>
      <w:tr>
        <w:trPr>
          <w:trHeight w:val="187"/>
        </w:trPr>
        <w:tc>
          <w:tcPr>
            <w:tcW w:w="6540" w:type="dxa"/>
            <w:vAlign w:val="bottom"/>
          </w:tcPr>
          <w:p>
            <w:pPr>
              <w:ind w:left="20"/>
              <w:spacing w:after="0"/>
              <w:rPr>
                <w:sz w:val="20"/>
                <w:szCs w:val="20"/>
                <w:color w:val="auto"/>
              </w:rPr>
            </w:pPr>
            <w:r>
              <w:rPr>
                <w:rFonts w:ascii="Arial" w:cs="Arial" w:eastAsia="Arial" w:hAnsi="Arial"/>
                <w:sz w:val="12"/>
                <w:szCs w:val="12"/>
                <w:b w:val="1"/>
                <w:bCs w:val="1"/>
                <w:color w:val="auto"/>
              </w:rPr>
              <w:t>Dividends declared per common share</w:t>
            </w:r>
          </w:p>
        </w:tc>
        <w:tc>
          <w:tcPr>
            <w:tcW w:w="580" w:type="dxa"/>
            <w:vAlign w:val="bottom"/>
            <w:tcBorders>
              <w:bottom w:val="single" w:sz="8" w:color="auto"/>
            </w:tcBorders>
          </w:tcPr>
          <w:p>
            <w:pPr>
              <w:jc w:val="right"/>
              <w:ind w:right="441"/>
              <w:spacing w:after="0"/>
              <w:rPr>
                <w:sz w:val="20"/>
                <w:szCs w:val="20"/>
                <w:color w:val="auto"/>
              </w:rPr>
            </w:pPr>
            <w:r>
              <w:rPr>
                <w:rFonts w:ascii="Arial" w:cs="Arial" w:eastAsia="Arial" w:hAnsi="Arial"/>
                <w:sz w:val="12"/>
                <w:szCs w:val="12"/>
                <w:color w:val="auto"/>
                <w:w w:val="89"/>
              </w:rPr>
              <w:t>$</w:t>
            </w:r>
          </w:p>
        </w:tc>
        <w:tc>
          <w:tcPr>
            <w:tcW w:w="40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0.56</w:t>
            </w:r>
          </w:p>
        </w:tc>
        <w:tc>
          <w:tcPr>
            <w:tcW w:w="100" w:type="dxa"/>
            <w:vAlign w:val="bottom"/>
          </w:tcPr>
          <w:p>
            <w:pPr>
              <w:spacing w:after="0"/>
              <w:rPr>
                <w:sz w:val="16"/>
                <w:szCs w:val="16"/>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6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0.60</w:t>
            </w:r>
          </w:p>
        </w:tc>
        <w:tc>
          <w:tcPr>
            <w:tcW w:w="100" w:type="dxa"/>
            <w:vAlign w:val="bottom"/>
          </w:tcPr>
          <w:p>
            <w:pPr>
              <w:spacing w:after="0"/>
              <w:rPr>
                <w:sz w:val="16"/>
                <w:szCs w:val="16"/>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40" w:type="dxa"/>
            <w:vAlign w:val="bottom"/>
            <w:tcBorders>
              <w:bottom w:val="single" w:sz="8" w:color="auto"/>
            </w:tcBorders>
          </w:tcPr>
          <w:p>
            <w:pPr>
              <w:jc w:val="right"/>
              <w:ind w:right="60"/>
              <w:spacing w:after="0"/>
              <w:rPr>
                <w:sz w:val="20"/>
                <w:szCs w:val="20"/>
                <w:color w:val="auto"/>
              </w:rPr>
            </w:pPr>
            <w:r>
              <w:rPr>
                <w:rFonts w:ascii="Arial" w:cs="Arial" w:eastAsia="Arial" w:hAnsi="Arial"/>
                <w:sz w:val="12"/>
                <w:szCs w:val="12"/>
                <w:color w:val="auto"/>
              </w:rPr>
              <w:t>1.76</w:t>
            </w:r>
          </w:p>
        </w:tc>
        <w:tc>
          <w:tcPr>
            <w:tcW w:w="100" w:type="dxa"/>
            <w:vAlign w:val="bottom"/>
          </w:tcPr>
          <w:p>
            <w:pPr>
              <w:spacing w:after="0"/>
              <w:rPr>
                <w:sz w:val="16"/>
                <w:szCs w:val="16"/>
                <w:color w:val="auto"/>
              </w:rPr>
            </w:pPr>
          </w:p>
        </w:tc>
        <w:tc>
          <w:tcPr>
            <w:tcW w:w="200" w:type="dxa"/>
            <w:vAlign w:val="bottom"/>
            <w:tcBorders>
              <w:bottom w:val="single" w:sz="8" w:color="auto"/>
            </w:tcBorders>
          </w:tcPr>
          <w:p>
            <w:pPr>
              <w:jc w:val="right"/>
              <w:ind w:right="90"/>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tcPr>
          <w:p>
            <w:pPr>
              <w:jc w:val="right"/>
              <w:ind w:right="40"/>
              <w:spacing w:after="0"/>
              <w:rPr>
                <w:sz w:val="20"/>
                <w:szCs w:val="20"/>
                <w:color w:val="auto"/>
              </w:rPr>
            </w:pPr>
            <w:r>
              <w:rPr>
                <w:rFonts w:ascii="Arial" w:cs="Arial" w:eastAsia="Arial" w:hAnsi="Arial"/>
                <w:sz w:val="12"/>
                <w:szCs w:val="12"/>
                <w:color w:val="auto"/>
              </w:rPr>
              <w:t>1.88</w:t>
            </w:r>
          </w:p>
        </w:tc>
      </w:tr>
    </w:tbl>
    <w:p>
      <w:pPr>
        <w:spacing w:after="0" w:line="99"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See accompanying notes to consolidated financial statements.</w:t>
      </w:r>
    </w:p>
    <w:p>
      <w:pPr>
        <w:spacing w:after="0" w:line="168"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3</w:t>
      </w:r>
    </w:p>
    <w:p>
      <w:pPr>
        <w:sectPr>
          <w:pgSz w:w="11900" w:h="16838" w:orient="portrait"/>
          <w:cols w:equalWidth="0" w:num="1">
            <w:col w:w="10720"/>
          </w:cols>
          <w:pgMar w:left="600" w:top="433" w:right="579" w:bottom="1440" w:gutter="0" w:footer="0" w:header="0"/>
        </w:sectPr>
      </w:pPr>
    </w:p>
    <w:bookmarkStart w:id="4" w:name="page5"/>
    <w:bookmarkEnd w:id="4"/>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CONSOLIDATED STATEMENT OF STOCKHOLDERS' EQUITY</w:t>
      </w:r>
    </w:p>
    <w:p>
      <w:pPr>
        <w:spacing w:after="0" w:line="6" w:lineRule="exact"/>
        <w:rPr>
          <w:sz w:val="20"/>
          <w:szCs w:val="20"/>
          <w:color w:val="auto"/>
        </w:rPr>
      </w:pPr>
    </w:p>
    <w:p>
      <w:pPr>
        <w:ind w:left="5420"/>
        <w:spacing w:after="0"/>
        <w:rPr>
          <w:sz w:val="20"/>
          <w:szCs w:val="20"/>
          <w:color w:val="auto"/>
        </w:rPr>
      </w:pPr>
      <w:r>
        <w:rPr>
          <w:rFonts w:ascii="Arial" w:cs="Arial" w:eastAsia="Arial" w:hAnsi="Arial"/>
          <w:sz w:val="12"/>
          <w:szCs w:val="12"/>
          <w:b w:val="1"/>
          <w:bCs w:val="1"/>
          <w:color w:val="auto"/>
        </w:rPr>
        <w:t>(Unaudited)</w:t>
      </w:r>
    </w:p>
    <w:p>
      <w:pPr>
        <w:spacing w:after="0" w:line="6" w:lineRule="exact"/>
        <w:rPr>
          <w:sz w:val="20"/>
          <w:szCs w:val="20"/>
          <w:color w:val="auto"/>
        </w:rPr>
      </w:pPr>
    </w:p>
    <w:p>
      <w:pPr>
        <w:ind w:left="5420"/>
        <w:spacing w:after="0"/>
        <w:rPr>
          <w:sz w:val="20"/>
          <w:szCs w:val="20"/>
          <w:color w:val="auto"/>
        </w:rPr>
      </w:pPr>
      <w:r>
        <w:rPr>
          <w:rFonts w:ascii="Arial" w:cs="Arial" w:eastAsia="Arial" w:hAnsi="Arial"/>
          <w:sz w:val="12"/>
          <w:szCs w:val="12"/>
          <w:b w:val="1"/>
          <w:bCs w:val="1"/>
          <w:color w:val="auto"/>
        </w:rPr>
        <w:t>(in millions)</w:t>
      </w:r>
    </w:p>
    <w:p>
      <w:pPr>
        <w:spacing w:after="0" w:line="228"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3660" w:type="dxa"/>
            <w:vAlign w:val="bottom"/>
          </w:tcPr>
          <w:p>
            <w:pPr>
              <w:spacing w:after="0"/>
              <w:rPr>
                <w:sz w:val="10"/>
                <w:szCs w:val="10"/>
                <w:color w:val="auto"/>
              </w:rPr>
            </w:pPr>
          </w:p>
        </w:tc>
        <w:tc>
          <w:tcPr>
            <w:tcW w:w="1520" w:type="dxa"/>
            <w:vAlign w:val="bottom"/>
            <w:gridSpan w:val="5"/>
            <w:vMerge w:val="restart"/>
          </w:tcPr>
          <w:p>
            <w:pPr>
              <w:ind w:left="380"/>
              <w:spacing w:after="0"/>
              <w:rPr>
                <w:sz w:val="20"/>
                <w:szCs w:val="20"/>
                <w:color w:val="auto"/>
              </w:rPr>
            </w:pPr>
            <w:r>
              <w:rPr>
                <w:rFonts w:ascii="Arial" w:cs="Arial" w:eastAsia="Arial" w:hAnsi="Arial"/>
                <w:sz w:val="10"/>
                <w:szCs w:val="10"/>
                <w:b w:val="1"/>
                <w:bCs w:val="1"/>
                <w:color w:val="auto"/>
              </w:rPr>
              <w:t>Preferred Stock</w:t>
            </w:r>
          </w:p>
        </w:tc>
        <w:tc>
          <w:tcPr>
            <w:tcW w:w="1720" w:type="dxa"/>
            <w:vAlign w:val="bottom"/>
            <w:gridSpan w:val="5"/>
            <w:vMerge w:val="restart"/>
          </w:tcPr>
          <w:p>
            <w:pPr>
              <w:ind w:left="500"/>
              <w:spacing w:after="0"/>
              <w:rPr>
                <w:sz w:val="20"/>
                <w:szCs w:val="20"/>
                <w:color w:val="auto"/>
              </w:rPr>
            </w:pPr>
            <w:r>
              <w:rPr>
                <w:rFonts w:ascii="Arial" w:cs="Arial" w:eastAsia="Arial" w:hAnsi="Arial"/>
                <w:sz w:val="10"/>
                <w:szCs w:val="10"/>
                <w:b w:val="1"/>
                <w:bCs w:val="1"/>
                <w:color w:val="auto"/>
              </w:rPr>
              <w:t>Common Stock</w:t>
            </w:r>
          </w:p>
        </w:tc>
        <w:tc>
          <w:tcPr>
            <w:tcW w:w="18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160" w:type="dxa"/>
            <w:vAlign w:val="bottom"/>
            <w:gridSpan w:val="2"/>
          </w:tcPr>
          <w:p>
            <w:pPr>
              <w:jc w:val="center"/>
              <w:ind w:right="300"/>
              <w:spacing w:after="0"/>
              <w:rPr>
                <w:sz w:val="20"/>
                <w:szCs w:val="20"/>
                <w:color w:val="auto"/>
              </w:rPr>
            </w:pPr>
            <w:r>
              <w:rPr>
                <w:rFonts w:ascii="Arial" w:cs="Arial" w:eastAsia="Arial" w:hAnsi="Arial"/>
                <w:sz w:val="10"/>
                <w:szCs w:val="10"/>
                <w:b w:val="1"/>
                <w:bCs w:val="1"/>
                <w:color w:val="auto"/>
                <w:w w:val="85"/>
              </w:rPr>
              <w:t>Accumulated</w:t>
            </w:r>
          </w:p>
        </w:tc>
        <w:tc>
          <w:tcPr>
            <w:tcW w:w="26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3660" w:type="dxa"/>
            <w:vAlign w:val="bottom"/>
          </w:tcPr>
          <w:p>
            <w:pPr>
              <w:spacing w:after="0"/>
              <w:rPr>
                <w:sz w:val="9"/>
                <w:szCs w:val="9"/>
                <w:color w:val="auto"/>
              </w:rPr>
            </w:pPr>
          </w:p>
        </w:tc>
        <w:tc>
          <w:tcPr>
            <w:tcW w:w="1520" w:type="dxa"/>
            <w:vAlign w:val="bottom"/>
            <w:gridSpan w:val="5"/>
            <w:vMerge w:val="continue"/>
          </w:tcPr>
          <w:p>
            <w:pPr>
              <w:spacing w:after="0"/>
              <w:rPr>
                <w:sz w:val="9"/>
                <w:szCs w:val="9"/>
                <w:color w:val="auto"/>
              </w:rPr>
            </w:pPr>
          </w:p>
        </w:tc>
        <w:tc>
          <w:tcPr>
            <w:tcW w:w="1720" w:type="dxa"/>
            <w:vAlign w:val="bottom"/>
            <w:gridSpan w:val="5"/>
            <w:vMerge w:val="continue"/>
          </w:tcPr>
          <w:p>
            <w:pPr>
              <w:spacing w:after="0"/>
              <w:rPr>
                <w:sz w:val="9"/>
                <w:szCs w:val="9"/>
                <w:color w:val="auto"/>
              </w:rPr>
            </w:pPr>
          </w:p>
        </w:tc>
        <w:tc>
          <w:tcPr>
            <w:tcW w:w="180" w:type="dxa"/>
            <w:vAlign w:val="bottom"/>
          </w:tcPr>
          <w:p>
            <w:pPr>
              <w:spacing w:after="0"/>
              <w:rPr>
                <w:sz w:val="9"/>
                <w:szCs w:val="9"/>
                <w:color w:val="auto"/>
              </w:rPr>
            </w:pPr>
          </w:p>
        </w:tc>
        <w:tc>
          <w:tcPr>
            <w:tcW w:w="880" w:type="dxa"/>
            <w:vAlign w:val="bottom"/>
            <w:gridSpan w:val="2"/>
          </w:tcPr>
          <w:p>
            <w:pPr>
              <w:jc w:val="center"/>
              <w:ind w:right="280"/>
              <w:spacing w:after="0" w:line="105" w:lineRule="exact"/>
              <w:rPr>
                <w:sz w:val="20"/>
                <w:szCs w:val="20"/>
                <w:color w:val="auto"/>
              </w:rPr>
            </w:pPr>
            <w:r>
              <w:rPr>
                <w:rFonts w:ascii="Arial" w:cs="Arial" w:eastAsia="Arial" w:hAnsi="Arial"/>
                <w:sz w:val="10"/>
                <w:szCs w:val="10"/>
                <w:b w:val="1"/>
                <w:bCs w:val="1"/>
                <w:color w:val="auto"/>
                <w:w w:val="89"/>
              </w:rPr>
              <w:t>Additional</w:t>
            </w:r>
          </w:p>
        </w:tc>
        <w:tc>
          <w:tcPr>
            <w:tcW w:w="16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60" w:type="dxa"/>
            <w:vAlign w:val="bottom"/>
            <w:gridSpan w:val="2"/>
          </w:tcPr>
          <w:p>
            <w:pPr>
              <w:jc w:val="center"/>
              <w:ind w:right="320"/>
              <w:spacing w:after="0" w:line="105" w:lineRule="exact"/>
              <w:rPr>
                <w:sz w:val="20"/>
                <w:szCs w:val="20"/>
                <w:color w:val="auto"/>
              </w:rPr>
            </w:pPr>
            <w:r>
              <w:rPr>
                <w:rFonts w:ascii="Arial" w:cs="Arial" w:eastAsia="Arial" w:hAnsi="Arial"/>
                <w:sz w:val="10"/>
                <w:szCs w:val="10"/>
                <w:b w:val="1"/>
                <w:bCs w:val="1"/>
                <w:color w:val="auto"/>
                <w:w w:val="89"/>
              </w:rPr>
              <w:t>Other</w:t>
            </w:r>
          </w:p>
        </w:tc>
        <w:tc>
          <w:tcPr>
            <w:tcW w:w="26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74"/>
        </w:trPr>
        <w:tc>
          <w:tcPr>
            <w:tcW w:w="3660" w:type="dxa"/>
            <w:vAlign w:val="bottom"/>
          </w:tcPr>
          <w:p>
            <w:pPr>
              <w:spacing w:after="0"/>
              <w:rPr>
                <w:sz w:val="6"/>
                <w:szCs w:val="6"/>
                <w:color w:val="auto"/>
              </w:rPr>
            </w:pPr>
          </w:p>
        </w:tc>
        <w:tc>
          <w:tcPr>
            <w:tcW w:w="580" w:type="dxa"/>
            <w:vAlign w:val="bottom"/>
            <w:tcBorders>
              <w:top w:val="single" w:sz="8" w:color="auto"/>
            </w:tcBorders>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580" w:type="dxa"/>
            <w:vAlign w:val="bottom"/>
            <w:tcBorders>
              <w:top w:val="single" w:sz="8" w:color="auto"/>
            </w:tcBorders>
          </w:tcPr>
          <w:p>
            <w:pPr>
              <w:spacing w:after="0"/>
              <w:rPr>
                <w:sz w:val="6"/>
                <w:szCs w:val="6"/>
                <w:color w:val="auto"/>
              </w:rPr>
            </w:pPr>
          </w:p>
        </w:tc>
        <w:tc>
          <w:tcPr>
            <w:tcW w:w="120" w:type="dxa"/>
            <w:vAlign w:val="bottom"/>
          </w:tcPr>
          <w:p>
            <w:pPr>
              <w:spacing w:after="0"/>
              <w:rPr>
                <w:sz w:val="6"/>
                <w:szCs w:val="6"/>
                <w:color w:val="auto"/>
              </w:rPr>
            </w:pPr>
          </w:p>
        </w:tc>
        <w:tc>
          <w:tcPr>
            <w:tcW w:w="800" w:type="dxa"/>
            <w:vAlign w:val="bottom"/>
            <w:tcBorders>
              <w:top w:val="single" w:sz="8" w:color="auto"/>
            </w:tcBorders>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58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880" w:type="dxa"/>
            <w:vAlign w:val="bottom"/>
            <w:gridSpan w:val="2"/>
          </w:tcPr>
          <w:p>
            <w:pPr>
              <w:jc w:val="center"/>
              <w:ind w:right="300"/>
              <w:spacing w:after="0" w:line="74" w:lineRule="exact"/>
              <w:rPr>
                <w:sz w:val="20"/>
                <w:szCs w:val="20"/>
                <w:color w:val="auto"/>
              </w:rPr>
            </w:pPr>
            <w:r>
              <w:rPr>
                <w:rFonts w:ascii="Arial" w:cs="Arial" w:eastAsia="Arial" w:hAnsi="Arial"/>
                <w:sz w:val="8"/>
                <w:szCs w:val="8"/>
                <w:b w:val="1"/>
                <w:bCs w:val="1"/>
                <w:color w:val="auto"/>
              </w:rPr>
              <w:t>Paid-in</w:t>
            </w:r>
          </w:p>
        </w:tc>
        <w:tc>
          <w:tcPr>
            <w:tcW w:w="160" w:type="dxa"/>
            <w:vAlign w:val="bottom"/>
          </w:tcPr>
          <w:p>
            <w:pPr>
              <w:spacing w:after="0"/>
              <w:rPr>
                <w:sz w:val="6"/>
                <w:szCs w:val="6"/>
                <w:color w:val="auto"/>
              </w:rPr>
            </w:pPr>
          </w:p>
        </w:tc>
        <w:tc>
          <w:tcPr>
            <w:tcW w:w="860" w:type="dxa"/>
            <w:vAlign w:val="bottom"/>
            <w:gridSpan w:val="2"/>
          </w:tcPr>
          <w:p>
            <w:pPr>
              <w:jc w:val="center"/>
              <w:ind w:right="300"/>
              <w:spacing w:after="0" w:line="74" w:lineRule="exact"/>
              <w:rPr>
                <w:sz w:val="20"/>
                <w:szCs w:val="20"/>
                <w:color w:val="auto"/>
              </w:rPr>
            </w:pPr>
            <w:r>
              <w:rPr>
                <w:rFonts w:ascii="Arial" w:cs="Arial" w:eastAsia="Arial" w:hAnsi="Arial"/>
                <w:sz w:val="8"/>
                <w:szCs w:val="8"/>
                <w:b w:val="1"/>
                <w:bCs w:val="1"/>
                <w:color w:val="auto"/>
              </w:rPr>
              <w:t>Retained</w:t>
            </w:r>
          </w:p>
        </w:tc>
        <w:tc>
          <w:tcPr>
            <w:tcW w:w="200" w:type="dxa"/>
            <w:vAlign w:val="bottom"/>
          </w:tcPr>
          <w:p>
            <w:pPr>
              <w:spacing w:after="0"/>
              <w:rPr>
                <w:sz w:val="6"/>
                <w:szCs w:val="6"/>
                <w:color w:val="auto"/>
              </w:rPr>
            </w:pPr>
          </w:p>
        </w:tc>
        <w:tc>
          <w:tcPr>
            <w:tcW w:w="1160" w:type="dxa"/>
            <w:vAlign w:val="bottom"/>
            <w:gridSpan w:val="2"/>
          </w:tcPr>
          <w:p>
            <w:pPr>
              <w:jc w:val="center"/>
              <w:ind w:right="320"/>
              <w:spacing w:after="0" w:line="74" w:lineRule="exact"/>
              <w:rPr>
                <w:sz w:val="20"/>
                <w:szCs w:val="20"/>
                <w:color w:val="auto"/>
              </w:rPr>
            </w:pPr>
            <w:r>
              <w:rPr>
                <w:rFonts w:ascii="Arial" w:cs="Arial" w:eastAsia="Arial" w:hAnsi="Arial"/>
                <w:sz w:val="8"/>
                <w:szCs w:val="8"/>
                <w:b w:val="1"/>
                <w:bCs w:val="1"/>
                <w:color w:val="auto"/>
              </w:rPr>
              <w:t>Comprehensive</w:t>
            </w:r>
          </w:p>
        </w:tc>
        <w:tc>
          <w:tcPr>
            <w:tcW w:w="260" w:type="dxa"/>
            <w:vAlign w:val="bottom"/>
          </w:tcPr>
          <w:p>
            <w:pPr>
              <w:spacing w:after="0"/>
              <w:rPr>
                <w:sz w:val="6"/>
                <w:szCs w:val="6"/>
                <w:color w:val="auto"/>
              </w:rPr>
            </w:pPr>
          </w:p>
        </w:tc>
        <w:tc>
          <w:tcPr>
            <w:tcW w:w="8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8"/>
        </w:trPr>
        <w:tc>
          <w:tcPr>
            <w:tcW w:w="3660" w:type="dxa"/>
            <w:vAlign w:val="bottom"/>
          </w:tcPr>
          <w:p>
            <w:pPr>
              <w:spacing w:after="0"/>
              <w:rPr>
                <w:sz w:val="11"/>
                <w:szCs w:val="11"/>
                <w:color w:val="auto"/>
              </w:rPr>
            </w:pPr>
          </w:p>
        </w:tc>
        <w:tc>
          <w:tcPr>
            <w:tcW w:w="700" w:type="dxa"/>
            <w:vAlign w:val="bottom"/>
            <w:gridSpan w:val="2"/>
          </w:tcPr>
          <w:p>
            <w:pPr>
              <w:ind w:left="160"/>
              <w:spacing w:after="0"/>
              <w:rPr>
                <w:sz w:val="20"/>
                <w:szCs w:val="20"/>
                <w:color w:val="auto"/>
              </w:rPr>
            </w:pPr>
            <w:r>
              <w:rPr>
                <w:rFonts w:ascii="Arial" w:cs="Arial" w:eastAsia="Arial" w:hAnsi="Arial"/>
                <w:sz w:val="10"/>
                <w:szCs w:val="10"/>
                <w:b w:val="1"/>
                <w:bCs w:val="1"/>
                <w:color w:val="auto"/>
              </w:rPr>
              <w:t>Shares</w:t>
            </w:r>
          </w:p>
        </w:tc>
        <w:tc>
          <w:tcPr>
            <w:tcW w:w="120" w:type="dxa"/>
            <w:vAlign w:val="bottom"/>
          </w:tcPr>
          <w:p>
            <w:pPr>
              <w:spacing w:after="0"/>
              <w:rPr>
                <w:sz w:val="11"/>
                <w:szCs w:val="11"/>
                <w:color w:val="auto"/>
              </w:rPr>
            </w:pPr>
          </w:p>
        </w:tc>
        <w:tc>
          <w:tcPr>
            <w:tcW w:w="700" w:type="dxa"/>
            <w:vAlign w:val="bottom"/>
            <w:gridSpan w:val="2"/>
          </w:tcPr>
          <w:p>
            <w:pPr>
              <w:ind w:left="60"/>
              <w:spacing w:after="0"/>
              <w:rPr>
                <w:sz w:val="20"/>
                <w:szCs w:val="20"/>
                <w:color w:val="auto"/>
              </w:rPr>
            </w:pPr>
            <w:r>
              <w:rPr>
                <w:rFonts w:ascii="Arial" w:cs="Arial" w:eastAsia="Arial" w:hAnsi="Arial"/>
                <w:sz w:val="10"/>
                <w:szCs w:val="10"/>
                <w:b w:val="1"/>
                <w:bCs w:val="1"/>
                <w:color w:val="auto"/>
              </w:rPr>
              <w:t>Amount</w:t>
            </w:r>
          </w:p>
        </w:tc>
        <w:tc>
          <w:tcPr>
            <w:tcW w:w="920" w:type="dxa"/>
            <w:vAlign w:val="bottom"/>
            <w:gridSpan w:val="2"/>
          </w:tcPr>
          <w:p>
            <w:pPr>
              <w:ind w:left="260"/>
              <w:spacing w:after="0"/>
              <w:rPr>
                <w:sz w:val="20"/>
                <w:szCs w:val="20"/>
                <w:color w:val="auto"/>
              </w:rPr>
            </w:pPr>
            <w:r>
              <w:rPr>
                <w:rFonts w:ascii="Arial" w:cs="Arial" w:eastAsia="Arial" w:hAnsi="Arial"/>
                <w:sz w:val="10"/>
                <w:szCs w:val="10"/>
                <w:b w:val="1"/>
                <w:bCs w:val="1"/>
                <w:color w:val="auto"/>
              </w:rPr>
              <w:t>Shares</w:t>
            </w:r>
          </w:p>
        </w:tc>
        <w:tc>
          <w:tcPr>
            <w:tcW w:w="120" w:type="dxa"/>
            <w:vAlign w:val="bottom"/>
          </w:tcPr>
          <w:p>
            <w:pPr>
              <w:spacing w:after="0"/>
              <w:rPr>
                <w:sz w:val="11"/>
                <w:szCs w:val="11"/>
                <w:color w:val="auto"/>
              </w:rPr>
            </w:pPr>
          </w:p>
        </w:tc>
        <w:tc>
          <w:tcPr>
            <w:tcW w:w="680" w:type="dxa"/>
            <w:vAlign w:val="bottom"/>
            <w:gridSpan w:val="2"/>
          </w:tcPr>
          <w:p>
            <w:pPr>
              <w:ind w:left="60"/>
              <w:spacing w:after="0"/>
              <w:rPr>
                <w:sz w:val="20"/>
                <w:szCs w:val="20"/>
                <w:color w:val="auto"/>
              </w:rPr>
            </w:pPr>
            <w:r>
              <w:rPr>
                <w:rFonts w:ascii="Arial" w:cs="Arial" w:eastAsia="Arial" w:hAnsi="Arial"/>
                <w:sz w:val="10"/>
                <w:szCs w:val="10"/>
                <w:b w:val="1"/>
                <w:bCs w:val="1"/>
                <w:color w:val="auto"/>
              </w:rPr>
              <w:t>Amount</w:t>
            </w:r>
          </w:p>
        </w:tc>
        <w:tc>
          <w:tcPr>
            <w:tcW w:w="180" w:type="dxa"/>
            <w:vAlign w:val="bottom"/>
          </w:tcPr>
          <w:p>
            <w:pPr>
              <w:spacing w:after="0"/>
              <w:rPr>
                <w:sz w:val="11"/>
                <w:szCs w:val="11"/>
                <w:color w:val="auto"/>
              </w:rPr>
            </w:pPr>
          </w:p>
        </w:tc>
        <w:tc>
          <w:tcPr>
            <w:tcW w:w="880" w:type="dxa"/>
            <w:vAlign w:val="bottom"/>
            <w:gridSpan w:val="2"/>
          </w:tcPr>
          <w:p>
            <w:pPr>
              <w:jc w:val="center"/>
              <w:ind w:right="300"/>
              <w:spacing w:after="0"/>
              <w:rPr>
                <w:sz w:val="20"/>
                <w:szCs w:val="20"/>
                <w:color w:val="auto"/>
              </w:rPr>
            </w:pPr>
            <w:r>
              <w:rPr>
                <w:rFonts w:ascii="Arial" w:cs="Arial" w:eastAsia="Arial" w:hAnsi="Arial"/>
                <w:sz w:val="10"/>
                <w:szCs w:val="10"/>
                <w:b w:val="1"/>
                <w:bCs w:val="1"/>
                <w:color w:val="auto"/>
                <w:w w:val="89"/>
              </w:rPr>
              <w:t>Capital</w:t>
            </w:r>
          </w:p>
        </w:tc>
        <w:tc>
          <w:tcPr>
            <w:tcW w:w="160" w:type="dxa"/>
            <w:vAlign w:val="bottom"/>
          </w:tcPr>
          <w:p>
            <w:pPr>
              <w:spacing w:after="0"/>
              <w:rPr>
                <w:sz w:val="11"/>
                <w:szCs w:val="11"/>
                <w:color w:val="auto"/>
              </w:rPr>
            </w:pPr>
          </w:p>
        </w:tc>
        <w:tc>
          <w:tcPr>
            <w:tcW w:w="860" w:type="dxa"/>
            <w:vAlign w:val="bottom"/>
            <w:gridSpan w:val="2"/>
          </w:tcPr>
          <w:p>
            <w:pPr>
              <w:jc w:val="center"/>
              <w:ind w:right="280"/>
              <w:spacing w:after="0"/>
              <w:rPr>
                <w:sz w:val="20"/>
                <w:szCs w:val="20"/>
                <w:color w:val="auto"/>
              </w:rPr>
            </w:pPr>
            <w:r>
              <w:rPr>
                <w:rFonts w:ascii="Arial" w:cs="Arial" w:eastAsia="Arial" w:hAnsi="Arial"/>
                <w:sz w:val="10"/>
                <w:szCs w:val="10"/>
                <w:b w:val="1"/>
                <w:bCs w:val="1"/>
                <w:color w:val="auto"/>
                <w:w w:val="84"/>
              </w:rPr>
              <w:t>Deficit</w:t>
            </w:r>
          </w:p>
        </w:tc>
        <w:tc>
          <w:tcPr>
            <w:tcW w:w="200" w:type="dxa"/>
            <w:vAlign w:val="bottom"/>
          </w:tcPr>
          <w:p>
            <w:pPr>
              <w:spacing w:after="0"/>
              <w:rPr>
                <w:sz w:val="11"/>
                <w:szCs w:val="11"/>
                <w:color w:val="auto"/>
              </w:rPr>
            </w:pPr>
          </w:p>
        </w:tc>
        <w:tc>
          <w:tcPr>
            <w:tcW w:w="1160" w:type="dxa"/>
            <w:vAlign w:val="bottom"/>
            <w:gridSpan w:val="2"/>
          </w:tcPr>
          <w:p>
            <w:pPr>
              <w:jc w:val="center"/>
              <w:ind w:right="300"/>
              <w:spacing w:after="0"/>
              <w:rPr>
                <w:sz w:val="20"/>
                <w:szCs w:val="20"/>
                <w:color w:val="auto"/>
              </w:rPr>
            </w:pPr>
            <w:r>
              <w:rPr>
                <w:rFonts w:ascii="Arial" w:cs="Arial" w:eastAsia="Arial" w:hAnsi="Arial"/>
                <w:sz w:val="10"/>
                <w:szCs w:val="10"/>
                <w:b w:val="1"/>
                <w:bCs w:val="1"/>
                <w:color w:val="auto"/>
                <w:w w:val="85"/>
              </w:rPr>
              <w:t>Income (Loss)</w:t>
            </w:r>
          </w:p>
        </w:tc>
        <w:tc>
          <w:tcPr>
            <w:tcW w:w="260" w:type="dxa"/>
            <w:vAlign w:val="bottom"/>
          </w:tcPr>
          <w:p>
            <w:pPr>
              <w:spacing w:after="0"/>
              <w:rPr>
                <w:sz w:val="11"/>
                <w:szCs w:val="11"/>
                <w:color w:val="auto"/>
              </w:rPr>
            </w:pPr>
          </w:p>
        </w:tc>
        <w:tc>
          <w:tcPr>
            <w:tcW w:w="860" w:type="dxa"/>
            <w:vAlign w:val="bottom"/>
          </w:tcPr>
          <w:p>
            <w:pPr>
              <w:jc w:val="right"/>
              <w:ind w:right="401"/>
              <w:spacing w:after="0"/>
              <w:rPr>
                <w:sz w:val="20"/>
                <w:szCs w:val="20"/>
                <w:color w:val="auto"/>
              </w:rPr>
            </w:pPr>
            <w:r>
              <w:rPr>
                <w:rFonts w:ascii="Arial" w:cs="Arial" w:eastAsia="Arial" w:hAnsi="Arial"/>
                <w:sz w:val="10"/>
                <w:szCs w:val="10"/>
                <w:b w:val="1"/>
                <w:bCs w:val="1"/>
                <w:color w:val="auto"/>
              </w:rPr>
              <w:t>Total</w:t>
            </w:r>
          </w:p>
        </w:tc>
        <w:tc>
          <w:tcPr>
            <w:tcW w:w="0" w:type="dxa"/>
            <w:vAlign w:val="bottom"/>
          </w:tcPr>
          <w:p>
            <w:pPr>
              <w:spacing w:after="0"/>
              <w:rPr>
                <w:sz w:val="1"/>
                <w:szCs w:val="1"/>
                <w:color w:val="auto"/>
              </w:rPr>
            </w:pPr>
          </w:p>
        </w:tc>
      </w:tr>
      <w:tr>
        <w:trPr>
          <w:trHeight w:val="173"/>
        </w:trPr>
        <w:tc>
          <w:tcPr>
            <w:tcW w:w="366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2"/>
                <w:szCs w:val="12"/>
                <w:b w:val="1"/>
                <w:bCs w:val="1"/>
                <w:color w:val="auto"/>
              </w:rPr>
              <w:t>Balance, December 31, 2014</w:t>
            </w:r>
          </w:p>
        </w:tc>
        <w:tc>
          <w:tcPr>
            <w:tcW w:w="580" w:type="dxa"/>
            <w:vAlign w:val="bottom"/>
            <w:tcBorders>
              <w:top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6.9</w:t>
            </w:r>
          </w:p>
        </w:tc>
        <w:tc>
          <w:tcPr>
            <w:tcW w:w="12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580" w:type="dxa"/>
            <w:vAlign w:val="bottom"/>
            <w:tcBorders>
              <w:top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336</w:t>
            </w:r>
          </w:p>
        </w:tc>
        <w:tc>
          <w:tcPr>
            <w:tcW w:w="120" w:type="dxa"/>
            <w:vAlign w:val="bottom"/>
            <w:tcBorders>
              <w:top w:val="single" w:sz="8" w:color="CCEEFF"/>
            </w:tcBorders>
            <w:shd w:val="clear" w:color="auto" w:fill="CCEEFF"/>
          </w:tcPr>
          <w:p>
            <w:pPr>
              <w:spacing w:after="0"/>
              <w:rPr>
                <w:sz w:val="15"/>
                <w:szCs w:val="15"/>
                <w:color w:val="auto"/>
              </w:rPr>
            </w:pPr>
          </w:p>
        </w:tc>
        <w:tc>
          <w:tcPr>
            <w:tcW w:w="800" w:type="dxa"/>
            <w:vAlign w:val="bottom"/>
            <w:tcBorders>
              <w:top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352.8</w:t>
            </w:r>
          </w:p>
        </w:tc>
        <w:tc>
          <w:tcPr>
            <w:tcW w:w="12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580" w:type="dxa"/>
            <w:vAlign w:val="bottom"/>
            <w:tcBorders>
              <w:top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4</w:t>
            </w:r>
          </w:p>
        </w:tc>
        <w:tc>
          <w:tcPr>
            <w:tcW w:w="100" w:type="dxa"/>
            <w:vAlign w:val="bottom"/>
            <w:tcBorders>
              <w:top w:val="single" w:sz="8" w:color="CCEEFF"/>
            </w:tcBorders>
            <w:shd w:val="clear" w:color="auto" w:fill="CCEEFF"/>
          </w:tcPr>
          <w:p>
            <w:pPr>
              <w:spacing w:after="0"/>
              <w:rPr>
                <w:sz w:val="15"/>
                <w:szCs w:val="15"/>
                <w:color w:val="auto"/>
              </w:rPr>
            </w:pPr>
          </w:p>
        </w:tc>
        <w:tc>
          <w:tcPr>
            <w:tcW w:w="180" w:type="dxa"/>
            <w:vAlign w:val="bottom"/>
            <w:tcBorders>
              <w:top w:val="single" w:sz="8" w:color="auto"/>
            </w:tcBorders>
            <w:shd w:val="clear" w:color="auto" w:fill="CCEEFF"/>
          </w:tcPr>
          <w:p>
            <w:pPr>
              <w:jc w:val="right"/>
              <w:ind w:right="40"/>
              <w:spacing w:after="0"/>
              <w:rPr>
                <w:sz w:val="20"/>
                <w:szCs w:val="20"/>
                <w:color w:val="auto"/>
              </w:rPr>
            </w:pPr>
            <w:r>
              <w:rPr>
                <w:rFonts w:ascii="Arial" w:cs="Arial" w:eastAsia="Arial" w:hAnsi="Arial"/>
                <w:sz w:val="12"/>
                <w:szCs w:val="12"/>
                <w:color w:val="auto"/>
                <w:w w:val="89"/>
              </w:rPr>
              <w:t>$</w:t>
            </w:r>
          </w:p>
        </w:tc>
        <w:tc>
          <w:tcPr>
            <w:tcW w:w="760" w:type="dxa"/>
            <w:vAlign w:val="bottom"/>
            <w:tcBorders>
              <w:top w:val="single" w:sz="8" w:color="auto"/>
            </w:tcBorders>
            <w:shd w:val="clear" w:color="auto" w:fill="CCEEFF"/>
          </w:tcPr>
          <w:p>
            <w:pPr>
              <w:jc w:val="right"/>
              <w:ind w:right="62"/>
              <w:spacing w:after="0"/>
              <w:rPr>
                <w:sz w:val="20"/>
                <w:szCs w:val="20"/>
                <w:color w:val="auto"/>
              </w:rPr>
            </w:pPr>
            <w:r>
              <w:rPr>
                <w:rFonts w:ascii="Arial" w:cs="Arial" w:eastAsia="Arial" w:hAnsi="Arial"/>
                <w:sz w:val="12"/>
                <w:szCs w:val="12"/>
                <w:color w:val="auto"/>
              </w:rPr>
              <w:t>10,332</w:t>
            </w:r>
          </w:p>
        </w:tc>
        <w:tc>
          <w:tcPr>
            <w:tcW w:w="120" w:type="dxa"/>
            <w:vAlign w:val="bottom"/>
            <w:tcBorders>
              <w:top w:val="single" w:sz="8" w:color="CCEEFF"/>
            </w:tcBorders>
            <w:shd w:val="clear" w:color="auto" w:fill="CCEEFF"/>
          </w:tcPr>
          <w:p>
            <w:pPr>
              <w:spacing w:after="0"/>
              <w:rPr>
                <w:sz w:val="15"/>
                <w:szCs w:val="15"/>
                <w:color w:val="auto"/>
              </w:rPr>
            </w:pPr>
          </w:p>
        </w:tc>
        <w:tc>
          <w:tcPr>
            <w:tcW w:w="160" w:type="dxa"/>
            <w:vAlign w:val="bottom"/>
            <w:tcBorders>
              <w:top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w w:val="89"/>
              </w:rPr>
              <w:t>$</w:t>
            </w:r>
          </w:p>
        </w:tc>
        <w:tc>
          <w:tcPr>
            <w:tcW w:w="760" w:type="dxa"/>
            <w:vAlign w:val="bottom"/>
            <w:tcBorders>
              <w:top w:val="single" w:sz="8" w:color="auto"/>
            </w:tcBorders>
            <w:shd w:val="clear" w:color="auto" w:fill="CCEEFF"/>
          </w:tcPr>
          <w:p>
            <w:pPr>
              <w:jc w:val="right"/>
              <w:ind w:right="22"/>
              <w:spacing w:after="0"/>
              <w:rPr>
                <w:sz w:val="20"/>
                <w:szCs w:val="20"/>
                <w:color w:val="auto"/>
              </w:rPr>
            </w:pPr>
            <w:r>
              <w:rPr>
                <w:rFonts w:ascii="Arial" w:cs="Arial" w:eastAsia="Arial" w:hAnsi="Arial"/>
                <w:sz w:val="12"/>
                <w:szCs w:val="12"/>
                <w:color w:val="auto"/>
              </w:rPr>
              <w:t>(1,674)</w:t>
            </w:r>
          </w:p>
        </w:tc>
        <w:tc>
          <w:tcPr>
            <w:tcW w:w="100" w:type="dxa"/>
            <w:vAlign w:val="bottom"/>
            <w:tcBorders>
              <w:top w:val="single" w:sz="8" w:color="CCEEFF"/>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w w:val="89"/>
              </w:rPr>
              <w:t>$</w:t>
            </w:r>
          </w:p>
        </w:tc>
        <w:tc>
          <w:tcPr>
            <w:tcW w:w="1040" w:type="dxa"/>
            <w:vAlign w:val="bottom"/>
            <w:tcBorders>
              <w:top w:val="single" w:sz="8" w:color="auto"/>
            </w:tcBorders>
            <w:shd w:val="clear" w:color="auto" w:fill="CCEEFF"/>
          </w:tcPr>
          <w:p>
            <w:pPr>
              <w:jc w:val="right"/>
              <w:ind w:right="43"/>
              <w:spacing w:after="0"/>
              <w:rPr>
                <w:sz w:val="20"/>
                <w:szCs w:val="20"/>
                <w:color w:val="auto"/>
              </w:rPr>
            </w:pPr>
            <w:r>
              <w:rPr>
                <w:rFonts w:ascii="Arial" w:cs="Arial" w:eastAsia="Arial" w:hAnsi="Arial"/>
                <w:sz w:val="12"/>
                <w:szCs w:val="12"/>
                <w:color w:val="auto"/>
              </w:rPr>
              <w:t>430</w:t>
            </w:r>
          </w:p>
        </w:tc>
        <w:tc>
          <w:tcPr>
            <w:tcW w:w="12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jc w:val="right"/>
              <w:ind w:right="120"/>
              <w:spacing w:after="0"/>
              <w:rPr>
                <w:sz w:val="20"/>
                <w:szCs w:val="20"/>
                <w:color w:val="auto"/>
              </w:rPr>
            </w:pPr>
            <w:r>
              <w:rPr>
                <w:rFonts w:ascii="Arial" w:cs="Arial" w:eastAsia="Arial" w:hAnsi="Arial"/>
                <w:sz w:val="12"/>
                <w:szCs w:val="12"/>
                <w:color w:val="auto"/>
                <w:w w:val="89"/>
              </w:rPr>
              <w:t>$</w:t>
            </w:r>
          </w:p>
        </w:tc>
        <w:tc>
          <w:tcPr>
            <w:tcW w:w="860" w:type="dxa"/>
            <w:vAlign w:val="bottom"/>
            <w:tcBorders>
              <w:top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9,428</w:t>
            </w:r>
          </w:p>
        </w:tc>
        <w:tc>
          <w:tcPr>
            <w:tcW w:w="0" w:type="dxa"/>
            <w:vAlign w:val="bottom"/>
          </w:tcPr>
          <w:p>
            <w:pPr>
              <w:spacing w:after="0"/>
              <w:rPr>
                <w:sz w:val="1"/>
                <w:szCs w:val="1"/>
                <w:color w:val="auto"/>
              </w:rPr>
            </w:pPr>
          </w:p>
        </w:tc>
      </w:tr>
      <w:tr>
        <w:trPr>
          <w:trHeight w:val="171"/>
        </w:trPr>
        <w:tc>
          <w:tcPr>
            <w:tcW w:w="3660" w:type="dxa"/>
            <w:vAlign w:val="bottom"/>
          </w:tcPr>
          <w:p>
            <w:pPr>
              <w:ind w:left="120"/>
              <w:spacing w:after="0"/>
              <w:rPr>
                <w:sz w:val="20"/>
                <w:szCs w:val="20"/>
                <w:color w:val="auto"/>
              </w:rPr>
            </w:pPr>
            <w:r>
              <w:rPr>
                <w:rFonts w:ascii="Arial" w:cs="Arial" w:eastAsia="Arial" w:hAnsi="Arial"/>
                <w:sz w:val="12"/>
                <w:szCs w:val="12"/>
                <w:color w:val="auto"/>
              </w:rPr>
              <w:t>Net loss</w:t>
            </w: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4"/>
                <w:szCs w:val="14"/>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tcPr>
          <w:p>
            <w:pPr>
              <w:spacing w:after="0"/>
              <w:rPr>
                <w:sz w:val="14"/>
                <w:szCs w:val="14"/>
                <w:color w:val="auto"/>
              </w:rPr>
            </w:pPr>
          </w:p>
        </w:tc>
        <w:tc>
          <w:tcPr>
            <w:tcW w:w="760" w:type="dxa"/>
            <w:vAlign w:val="bottom"/>
          </w:tcPr>
          <w:p>
            <w:pPr>
              <w:jc w:val="right"/>
              <w:ind w:right="22"/>
              <w:spacing w:after="0"/>
              <w:rPr>
                <w:sz w:val="20"/>
                <w:szCs w:val="20"/>
                <w:color w:val="auto"/>
              </w:rPr>
            </w:pPr>
            <w:r>
              <w:rPr>
                <w:rFonts w:ascii="Arial" w:cs="Arial" w:eastAsia="Arial" w:hAnsi="Arial"/>
                <w:sz w:val="12"/>
                <w:szCs w:val="12"/>
                <w:color w:val="auto"/>
              </w:rPr>
              <w:t>(373)</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60" w:type="dxa"/>
            <w:vAlign w:val="bottom"/>
          </w:tcPr>
          <w:p>
            <w:pPr>
              <w:spacing w:after="0"/>
              <w:rPr>
                <w:sz w:val="14"/>
                <w:szCs w:val="14"/>
                <w:color w:val="auto"/>
              </w:rPr>
            </w:pPr>
          </w:p>
        </w:tc>
        <w:tc>
          <w:tcPr>
            <w:tcW w:w="860" w:type="dxa"/>
            <w:vAlign w:val="bottom"/>
          </w:tcPr>
          <w:p>
            <w:pPr>
              <w:jc w:val="right"/>
              <w:ind w:right="21"/>
              <w:spacing w:after="0"/>
              <w:rPr>
                <w:sz w:val="20"/>
                <w:szCs w:val="20"/>
                <w:color w:val="auto"/>
              </w:rPr>
            </w:pPr>
            <w:r>
              <w:rPr>
                <w:rFonts w:ascii="Arial" w:cs="Arial" w:eastAsia="Arial" w:hAnsi="Arial"/>
                <w:sz w:val="12"/>
                <w:szCs w:val="12"/>
                <w:color w:val="auto"/>
              </w:rPr>
              <w:t>(373)</w:t>
            </w:r>
          </w:p>
        </w:tc>
        <w:tc>
          <w:tcPr>
            <w:tcW w:w="0" w:type="dxa"/>
            <w:vAlign w:val="bottom"/>
          </w:tcPr>
          <w:p>
            <w:pPr>
              <w:spacing w:after="0"/>
              <w:rPr>
                <w:sz w:val="1"/>
                <w:szCs w:val="1"/>
                <w:color w:val="auto"/>
              </w:rPr>
            </w:pPr>
          </w:p>
        </w:tc>
      </w:tr>
      <w:tr>
        <w:trPr>
          <w:trHeight w:val="189"/>
        </w:trPr>
        <w:tc>
          <w:tcPr>
            <w:tcW w:w="3660" w:type="dxa"/>
            <w:vAlign w:val="bottom"/>
            <w:shd w:val="clear" w:color="auto" w:fill="CCEEFF"/>
          </w:tcPr>
          <w:p>
            <w:pPr>
              <w:ind w:left="360"/>
              <w:spacing w:after="0"/>
              <w:rPr>
                <w:sz w:val="20"/>
                <w:szCs w:val="20"/>
                <w:color w:val="auto"/>
              </w:rPr>
            </w:pPr>
            <w:r>
              <w:rPr>
                <w:rFonts w:ascii="Arial" w:cs="Arial" w:eastAsia="Arial" w:hAnsi="Arial"/>
                <w:sz w:val="12"/>
                <w:szCs w:val="12"/>
                <w:color w:val="auto"/>
              </w:rPr>
              <w:t>Other comprehensive income (loss):</w:t>
            </w: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1"/>
        </w:trPr>
        <w:tc>
          <w:tcPr>
            <w:tcW w:w="3660" w:type="dxa"/>
            <w:vAlign w:val="bottom"/>
          </w:tcPr>
          <w:p>
            <w:pPr>
              <w:ind w:left="240"/>
              <w:spacing w:after="0"/>
              <w:rPr>
                <w:sz w:val="20"/>
                <w:szCs w:val="20"/>
                <w:color w:val="auto"/>
              </w:rPr>
            </w:pPr>
            <w:r>
              <w:rPr>
                <w:rFonts w:ascii="Arial" w:cs="Arial" w:eastAsia="Arial" w:hAnsi="Arial"/>
                <w:sz w:val="12"/>
                <w:szCs w:val="12"/>
                <w:color w:val="auto"/>
              </w:rPr>
              <w:t>Unrealized loss on available-for-sale securities, net</w:t>
            </w: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4"/>
                <w:szCs w:val="14"/>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tcPr>
          <w:p>
            <w:pPr>
              <w:spacing w:after="0"/>
              <w:rPr>
                <w:sz w:val="14"/>
                <w:szCs w:val="14"/>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00" w:type="dxa"/>
            <w:vAlign w:val="bottom"/>
          </w:tcPr>
          <w:p>
            <w:pPr>
              <w:spacing w:after="0"/>
              <w:rPr>
                <w:sz w:val="14"/>
                <w:szCs w:val="14"/>
                <w:color w:val="auto"/>
              </w:rPr>
            </w:pPr>
          </w:p>
        </w:tc>
        <w:tc>
          <w:tcPr>
            <w:tcW w:w="1040" w:type="dxa"/>
            <w:vAlign w:val="bottom"/>
          </w:tcPr>
          <w:p>
            <w:pPr>
              <w:jc w:val="right"/>
              <w:ind w:right="3"/>
              <w:spacing w:after="0"/>
              <w:rPr>
                <w:sz w:val="20"/>
                <w:szCs w:val="20"/>
                <w:color w:val="auto"/>
              </w:rPr>
            </w:pPr>
            <w:r>
              <w:rPr>
                <w:rFonts w:ascii="Arial" w:cs="Arial" w:eastAsia="Arial" w:hAnsi="Arial"/>
                <w:sz w:val="12"/>
                <w:szCs w:val="12"/>
                <w:color w:val="auto"/>
              </w:rPr>
              <w:t>(14)</w:t>
            </w:r>
          </w:p>
        </w:tc>
        <w:tc>
          <w:tcPr>
            <w:tcW w:w="1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60" w:type="dxa"/>
            <w:vAlign w:val="bottom"/>
          </w:tcPr>
          <w:p>
            <w:pPr>
              <w:jc w:val="right"/>
              <w:ind w:right="21"/>
              <w:spacing w:after="0"/>
              <w:rPr>
                <w:sz w:val="20"/>
                <w:szCs w:val="20"/>
                <w:color w:val="auto"/>
              </w:rPr>
            </w:pPr>
            <w:r>
              <w:rPr>
                <w:rFonts w:ascii="Arial" w:cs="Arial" w:eastAsia="Arial" w:hAnsi="Arial"/>
                <w:sz w:val="12"/>
                <w:szCs w:val="12"/>
                <w:color w:val="auto"/>
              </w:rPr>
              <w:t>(14)</w:t>
            </w:r>
          </w:p>
        </w:tc>
        <w:tc>
          <w:tcPr>
            <w:tcW w:w="0" w:type="dxa"/>
            <w:vAlign w:val="bottom"/>
          </w:tcPr>
          <w:p>
            <w:pPr>
              <w:spacing w:after="0"/>
              <w:rPr>
                <w:sz w:val="1"/>
                <w:szCs w:val="1"/>
                <w:color w:val="auto"/>
              </w:rPr>
            </w:pPr>
          </w:p>
        </w:tc>
      </w:tr>
      <w:tr>
        <w:trPr>
          <w:trHeight w:val="189"/>
        </w:trPr>
        <w:tc>
          <w:tcPr>
            <w:tcW w:w="36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Unrealized gain on derivative instruments, net</w:t>
            </w: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200" w:type="dxa"/>
            <w:vAlign w:val="bottom"/>
            <w:shd w:val="clear" w:color="auto" w:fill="CCEEFF"/>
          </w:tcPr>
          <w:p>
            <w:pPr>
              <w:spacing w:after="0"/>
              <w:rPr>
                <w:sz w:val="16"/>
                <w:szCs w:val="16"/>
                <w:color w:val="auto"/>
              </w:rPr>
            </w:pPr>
          </w:p>
        </w:tc>
        <w:tc>
          <w:tcPr>
            <w:tcW w:w="1040" w:type="dxa"/>
            <w:vAlign w:val="bottom"/>
            <w:shd w:val="clear" w:color="auto" w:fill="CCEEFF"/>
          </w:tcPr>
          <w:p>
            <w:pPr>
              <w:jc w:val="right"/>
              <w:ind w:right="43"/>
              <w:spacing w:after="0"/>
              <w:rPr>
                <w:sz w:val="20"/>
                <w:szCs w:val="20"/>
                <w:color w:val="auto"/>
              </w:rPr>
            </w:pPr>
            <w:r>
              <w:rPr>
                <w:rFonts w:ascii="Arial" w:cs="Arial" w:eastAsia="Arial" w:hAnsi="Arial"/>
                <w:sz w:val="12"/>
                <w:szCs w:val="12"/>
                <w:color w:val="auto"/>
              </w:rPr>
              <w:t>79</w:t>
            </w: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79</w:t>
            </w:r>
          </w:p>
        </w:tc>
        <w:tc>
          <w:tcPr>
            <w:tcW w:w="0" w:type="dxa"/>
            <w:vAlign w:val="bottom"/>
          </w:tcPr>
          <w:p>
            <w:pPr>
              <w:spacing w:after="0"/>
              <w:rPr>
                <w:sz w:val="1"/>
                <w:szCs w:val="1"/>
                <w:color w:val="auto"/>
              </w:rPr>
            </w:pPr>
          </w:p>
        </w:tc>
      </w:tr>
      <w:tr>
        <w:trPr>
          <w:trHeight w:val="171"/>
        </w:trPr>
        <w:tc>
          <w:tcPr>
            <w:tcW w:w="3660" w:type="dxa"/>
            <w:vAlign w:val="bottom"/>
          </w:tcPr>
          <w:p>
            <w:pPr>
              <w:ind w:left="360"/>
              <w:spacing w:after="0"/>
              <w:rPr>
                <w:sz w:val="20"/>
                <w:szCs w:val="20"/>
                <w:color w:val="auto"/>
              </w:rPr>
            </w:pPr>
            <w:r>
              <w:rPr>
                <w:rFonts w:ascii="Arial" w:cs="Arial" w:eastAsia="Arial" w:hAnsi="Arial"/>
                <w:sz w:val="12"/>
                <w:szCs w:val="12"/>
                <w:color w:val="auto"/>
              </w:rPr>
              <w:t>Repurchase of common stock</w:t>
            </w: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800" w:type="dxa"/>
            <w:vAlign w:val="bottom"/>
          </w:tcPr>
          <w:p>
            <w:pPr>
              <w:jc w:val="right"/>
              <w:ind w:right="21"/>
              <w:spacing w:after="0"/>
              <w:rPr>
                <w:sz w:val="20"/>
                <w:szCs w:val="20"/>
                <w:color w:val="auto"/>
              </w:rPr>
            </w:pPr>
            <w:r>
              <w:rPr>
                <w:rFonts w:ascii="Arial" w:cs="Arial" w:eastAsia="Arial" w:hAnsi="Arial"/>
                <w:sz w:val="12"/>
                <w:szCs w:val="12"/>
                <w:color w:val="auto"/>
              </w:rPr>
              <w:t>(6.3)</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jc w:val="right"/>
              <w:ind w:right="21"/>
              <w:spacing w:after="0"/>
              <w:rPr>
                <w:sz w:val="20"/>
                <w:szCs w:val="20"/>
                <w:color w:val="auto"/>
              </w:rPr>
            </w:pPr>
            <w:r>
              <w:rPr>
                <w:rFonts w:ascii="Arial" w:cs="Arial" w:eastAsia="Arial" w:hAnsi="Arial"/>
                <w:sz w:val="12"/>
                <w:szCs w:val="12"/>
                <w:color w:val="auto"/>
              </w:rPr>
              <w:t>(1)</w:t>
            </w:r>
          </w:p>
        </w:tc>
        <w:tc>
          <w:tcPr>
            <w:tcW w:w="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60" w:type="dxa"/>
            <w:vAlign w:val="bottom"/>
          </w:tcPr>
          <w:p>
            <w:pPr>
              <w:jc w:val="right"/>
              <w:ind w:right="22"/>
              <w:spacing w:after="0"/>
              <w:rPr>
                <w:sz w:val="20"/>
                <w:szCs w:val="20"/>
                <w:color w:val="auto"/>
              </w:rPr>
            </w:pPr>
            <w:r>
              <w:rPr>
                <w:rFonts w:ascii="Arial" w:cs="Arial" w:eastAsia="Arial" w:hAnsi="Arial"/>
                <w:sz w:val="12"/>
                <w:szCs w:val="12"/>
                <w:color w:val="auto"/>
              </w:rPr>
              <w:t>(123)</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00" w:type="dxa"/>
            <w:vAlign w:val="bottom"/>
          </w:tcPr>
          <w:p>
            <w:pPr>
              <w:spacing w:after="0"/>
              <w:rPr>
                <w:sz w:val="14"/>
                <w:szCs w:val="14"/>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60" w:type="dxa"/>
            <w:vAlign w:val="bottom"/>
          </w:tcPr>
          <w:p>
            <w:pPr>
              <w:spacing w:after="0"/>
              <w:rPr>
                <w:sz w:val="14"/>
                <w:szCs w:val="14"/>
                <w:color w:val="auto"/>
              </w:rPr>
            </w:pPr>
          </w:p>
        </w:tc>
        <w:tc>
          <w:tcPr>
            <w:tcW w:w="860" w:type="dxa"/>
            <w:vAlign w:val="bottom"/>
          </w:tcPr>
          <w:p>
            <w:pPr>
              <w:jc w:val="right"/>
              <w:ind w:right="21"/>
              <w:spacing w:after="0"/>
              <w:rPr>
                <w:sz w:val="20"/>
                <w:szCs w:val="20"/>
                <w:color w:val="auto"/>
              </w:rPr>
            </w:pPr>
            <w:r>
              <w:rPr>
                <w:rFonts w:ascii="Arial" w:cs="Arial" w:eastAsia="Arial" w:hAnsi="Arial"/>
                <w:sz w:val="12"/>
                <w:szCs w:val="12"/>
                <w:color w:val="auto"/>
              </w:rPr>
              <w:t>(124)</w:t>
            </w:r>
          </w:p>
        </w:tc>
        <w:tc>
          <w:tcPr>
            <w:tcW w:w="0" w:type="dxa"/>
            <w:vAlign w:val="bottom"/>
          </w:tcPr>
          <w:p>
            <w:pPr>
              <w:spacing w:after="0"/>
              <w:rPr>
                <w:sz w:val="1"/>
                <w:szCs w:val="1"/>
                <w:color w:val="auto"/>
              </w:rPr>
            </w:pPr>
          </w:p>
        </w:tc>
      </w:tr>
      <w:tr>
        <w:trPr>
          <w:trHeight w:val="189"/>
        </w:trPr>
        <w:tc>
          <w:tcPr>
            <w:tcW w:w="3660" w:type="dxa"/>
            <w:vAlign w:val="bottom"/>
            <w:shd w:val="clear" w:color="auto" w:fill="CCEEFF"/>
          </w:tcPr>
          <w:p>
            <w:pPr>
              <w:ind w:left="360"/>
              <w:spacing w:after="0"/>
              <w:rPr>
                <w:sz w:val="20"/>
                <w:szCs w:val="20"/>
                <w:color w:val="auto"/>
              </w:rPr>
            </w:pPr>
            <w:r>
              <w:rPr>
                <w:rFonts w:ascii="Arial" w:cs="Arial" w:eastAsia="Arial" w:hAnsi="Arial"/>
                <w:sz w:val="12"/>
                <w:szCs w:val="12"/>
                <w:color w:val="auto"/>
              </w:rPr>
              <w:t>Preferred dividends declared</w:t>
            </w: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(21)</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16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26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21"/>
              <w:spacing w:after="0"/>
              <w:rPr>
                <w:sz w:val="20"/>
                <w:szCs w:val="20"/>
                <w:color w:val="auto"/>
              </w:rPr>
            </w:pPr>
            <w:r>
              <w:rPr>
                <w:rFonts w:ascii="Arial" w:cs="Arial" w:eastAsia="Arial" w:hAnsi="Arial"/>
                <w:sz w:val="12"/>
                <w:szCs w:val="12"/>
                <w:color w:val="auto"/>
              </w:rPr>
              <w:t>(21)</w:t>
            </w:r>
          </w:p>
        </w:tc>
        <w:tc>
          <w:tcPr>
            <w:tcW w:w="0" w:type="dxa"/>
            <w:vAlign w:val="bottom"/>
          </w:tcPr>
          <w:p>
            <w:pPr>
              <w:spacing w:after="0"/>
              <w:rPr>
                <w:sz w:val="1"/>
                <w:szCs w:val="1"/>
                <w:color w:val="auto"/>
              </w:rPr>
            </w:pPr>
          </w:p>
        </w:tc>
      </w:tr>
      <w:tr>
        <w:trPr>
          <w:trHeight w:val="171"/>
        </w:trPr>
        <w:tc>
          <w:tcPr>
            <w:tcW w:w="3660" w:type="dxa"/>
            <w:vAlign w:val="bottom"/>
          </w:tcPr>
          <w:p>
            <w:pPr>
              <w:ind w:left="360"/>
              <w:spacing w:after="0"/>
              <w:rPr>
                <w:sz w:val="20"/>
                <w:szCs w:val="20"/>
                <w:color w:val="auto"/>
              </w:rPr>
            </w:pPr>
            <w:r>
              <w:rPr>
                <w:rFonts w:ascii="Arial" w:cs="Arial" w:eastAsia="Arial" w:hAnsi="Arial"/>
                <w:sz w:val="12"/>
                <w:szCs w:val="12"/>
                <w:color w:val="auto"/>
              </w:rPr>
              <w:t>Common dividends declared</w:t>
            </w: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4"/>
                <w:szCs w:val="14"/>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tcPr>
          <w:p>
            <w:pPr>
              <w:spacing w:after="0"/>
              <w:rPr>
                <w:sz w:val="14"/>
                <w:szCs w:val="14"/>
                <w:color w:val="auto"/>
              </w:rPr>
            </w:pPr>
          </w:p>
        </w:tc>
        <w:tc>
          <w:tcPr>
            <w:tcW w:w="760" w:type="dxa"/>
            <w:vAlign w:val="bottom"/>
          </w:tcPr>
          <w:p>
            <w:pPr>
              <w:jc w:val="right"/>
              <w:ind w:right="22"/>
              <w:spacing w:after="0"/>
              <w:rPr>
                <w:sz w:val="20"/>
                <w:szCs w:val="20"/>
                <w:color w:val="auto"/>
              </w:rPr>
            </w:pPr>
            <w:r>
              <w:rPr>
                <w:rFonts w:ascii="Arial" w:cs="Arial" w:eastAsia="Arial" w:hAnsi="Arial"/>
                <w:sz w:val="12"/>
                <w:szCs w:val="12"/>
                <w:color w:val="auto"/>
              </w:rPr>
              <w:t>(659)</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60" w:type="dxa"/>
            <w:vAlign w:val="bottom"/>
          </w:tcPr>
          <w:p>
            <w:pPr>
              <w:spacing w:after="0"/>
              <w:rPr>
                <w:sz w:val="14"/>
                <w:szCs w:val="14"/>
                <w:color w:val="auto"/>
              </w:rPr>
            </w:pPr>
          </w:p>
        </w:tc>
        <w:tc>
          <w:tcPr>
            <w:tcW w:w="860" w:type="dxa"/>
            <w:vAlign w:val="bottom"/>
          </w:tcPr>
          <w:p>
            <w:pPr>
              <w:jc w:val="right"/>
              <w:ind w:right="21"/>
              <w:spacing w:after="0"/>
              <w:rPr>
                <w:sz w:val="20"/>
                <w:szCs w:val="20"/>
                <w:color w:val="auto"/>
              </w:rPr>
            </w:pPr>
            <w:r>
              <w:rPr>
                <w:rFonts w:ascii="Arial" w:cs="Arial" w:eastAsia="Arial" w:hAnsi="Arial"/>
                <w:sz w:val="12"/>
                <w:szCs w:val="12"/>
                <w:color w:val="auto"/>
              </w:rPr>
              <w:t>(659)</w:t>
            </w:r>
          </w:p>
        </w:tc>
        <w:tc>
          <w:tcPr>
            <w:tcW w:w="0" w:type="dxa"/>
            <w:vAlign w:val="bottom"/>
          </w:tcPr>
          <w:p>
            <w:pPr>
              <w:spacing w:after="0"/>
              <w:rPr>
                <w:sz w:val="1"/>
                <w:szCs w:val="1"/>
                <w:color w:val="auto"/>
              </w:rPr>
            </w:pPr>
          </w:p>
        </w:tc>
      </w:tr>
      <w:tr>
        <w:trPr>
          <w:trHeight w:val="185"/>
        </w:trPr>
        <w:tc>
          <w:tcPr>
            <w:tcW w:w="3660" w:type="dxa"/>
            <w:vAlign w:val="bottom"/>
            <w:tcBorders>
              <w:top w:val="single" w:sz="8" w:color="CCEEFF"/>
              <w:bottom w:val="single" w:sz="8" w:color="CCEEFF"/>
            </w:tcBorders>
            <w:shd w:val="clear" w:color="auto" w:fill="CCEEFF"/>
          </w:tcPr>
          <w:p>
            <w:pPr>
              <w:ind w:left="20"/>
              <w:spacing w:after="0"/>
              <w:rPr>
                <w:sz w:val="20"/>
                <w:szCs w:val="20"/>
                <w:color w:val="auto"/>
              </w:rPr>
            </w:pPr>
            <w:r>
              <w:rPr>
                <w:rFonts w:ascii="Arial" w:cs="Arial" w:eastAsia="Arial" w:hAnsi="Arial"/>
                <w:sz w:val="12"/>
                <w:szCs w:val="12"/>
                <w:b w:val="1"/>
                <w:bCs w:val="1"/>
                <w:color w:val="auto"/>
              </w:rPr>
              <w:t>Balance, September 30, 2015</w:t>
            </w:r>
          </w:p>
        </w:tc>
        <w:tc>
          <w:tcPr>
            <w:tcW w:w="58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6.9</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58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336</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80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346.5</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58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3</w:t>
            </w:r>
          </w:p>
        </w:tc>
        <w:tc>
          <w:tcPr>
            <w:tcW w:w="100" w:type="dxa"/>
            <w:vAlign w:val="bottom"/>
            <w:tcBorders>
              <w:top w:val="single" w:sz="8" w:color="CCEEFF"/>
              <w:bottom w:val="single" w:sz="8" w:color="CCEEFF"/>
            </w:tcBorders>
            <w:shd w:val="clear" w:color="auto" w:fill="CCEEFF"/>
          </w:tcPr>
          <w:p>
            <w:pPr>
              <w:spacing w:after="0"/>
              <w:rPr>
                <w:sz w:val="16"/>
                <w:szCs w:val="16"/>
                <w:color w:val="auto"/>
              </w:rPr>
            </w:pPr>
          </w:p>
        </w:tc>
        <w:tc>
          <w:tcPr>
            <w:tcW w:w="180" w:type="dxa"/>
            <w:vAlign w:val="bottom"/>
            <w:tcBorders>
              <w:top w:val="single" w:sz="8" w:color="auto"/>
              <w:bottom w:val="single" w:sz="8" w:color="auto"/>
            </w:tcBorders>
            <w:shd w:val="clear" w:color="auto" w:fill="CCEEFF"/>
          </w:tcPr>
          <w:p>
            <w:pPr>
              <w:jc w:val="right"/>
              <w:ind w:right="40"/>
              <w:spacing w:after="0"/>
              <w:rPr>
                <w:sz w:val="20"/>
                <w:szCs w:val="20"/>
                <w:color w:val="auto"/>
              </w:rPr>
            </w:pPr>
            <w:r>
              <w:rPr>
                <w:rFonts w:ascii="Arial" w:cs="Arial" w:eastAsia="Arial" w:hAnsi="Arial"/>
                <w:sz w:val="12"/>
                <w:szCs w:val="12"/>
                <w:color w:val="auto"/>
                <w:w w:val="89"/>
              </w:rPr>
              <w:t>$</w:t>
            </w:r>
          </w:p>
        </w:tc>
        <w:tc>
          <w:tcPr>
            <w:tcW w:w="760" w:type="dxa"/>
            <w:vAlign w:val="bottom"/>
            <w:tcBorders>
              <w:top w:val="single" w:sz="8" w:color="auto"/>
              <w:bottom w:val="single" w:sz="8" w:color="auto"/>
            </w:tcBorders>
            <w:shd w:val="clear" w:color="auto" w:fill="CCEEFF"/>
          </w:tcPr>
          <w:p>
            <w:pPr>
              <w:jc w:val="right"/>
              <w:ind w:right="62"/>
              <w:spacing w:after="0"/>
              <w:rPr>
                <w:sz w:val="20"/>
                <w:szCs w:val="20"/>
                <w:color w:val="auto"/>
              </w:rPr>
            </w:pPr>
            <w:r>
              <w:rPr>
                <w:rFonts w:ascii="Arial" w:cs="Arial" w:eastAsia="Arial" w:hAnsi="Arial"/>
                <w:sz w:val="12"/>
                <w:szCs w:val="12"/>
                <w:color w:val="auto"/>
              </w:rPr>
              <w:t>10,209</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160" w:type="dxa"/>
            <w:vAlign w:val="bottom"/>
            <w:tcBorders>
              <w:top w:val="single" w:sz="8" w:color="auto"/>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w w:val="89"/>
              </w:rPr>
              <w:t>$</w:t>
            </w:r>
          </w:p>
        </w:tc>
        <w:tc>
          <w:tcPr>
            <w:tcW w:w="760" w:type="dxa"/>
            <w:vAlign w:val="bottom"/>
            <w:tcBorders>
              <w:top w:val="single" w:sz="8" w:color="auto"/>
              <w:bottom w:val="single" w:sz="8" w:color="auto"/>
            </w:tcBorders>
            <w:shd w:val="clear" w:color="auto" w:fill="CCEEFF"/>
          </w:tcPr>
          <w:p>
            <w:pPr>
              <w:jc w:val="right"/>
              <w:ind w:right="22"/>
              <w:spacing w:after="0"/>
              <w:rPr>
                <w:sz w:val="20"/>
                <w:szCs w:val="20"/>
                <w:color w:val="auto"/>
              </w:rPr>
            </w:pPr>
            <w:r>
              <w:rPr>
                <w:rFonts w:ascii="Arial" w:cs="Arial" w:eastAsia="Arial" w:hAnsi="Arial"/>
                <w:sz w:val="12"/>
                <w:szCs w:val="12"/>
                <w:color w:val="auto"/>
              </w:rPr>
              <w:t>(2,727)</w:t>
            </w:r>
          </w:p>
        </w:tc>
        <w:tc>
          <w:tcPr>
            <w:tcW w:w="100" w:type="dxa"/>
            <w:vAlign w:val="bottom"/>
            <w:tcBorders>
              <w:top w:val="single" w:sz="8" w:color="CCEEFF"/>
              <w:bottom w:val="single" w:sz="8" w:color="CCEEFF"/>
            </w:tcBorders>
            <w:shd w:val="clear" w:color="auto" w:fill="CCEEFF"/>
          </w:tcPr>
          <w:p>
            <w:pPr>
              <w:spacing w:after="0"/>
              <w:rPr>
                <w:sz w:val="16"/>
                <w:szCs w:val="16"/>
                <w:color w:val="auto"/>
              </w:rPr>
            </w:pPr>
          </w:p>
        </w:tc>
        <w:tc>
          <w:tcPr>
            <w:tcW w:w="200" w:type="dxa"/>
            <w:vAlign w:val="bottom"/>
            <w:tcBorders>
              <w:top w:val="single" w:sz="8" w:color="auto"/>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w w:val="89"/>
              </w:rPr>
              <w:t>$</w:t>
            </w:r>
          </w:p>
        </w:tc>
        <w:tc>
          <w:tcPr>
            <w:tcW w:w="1040" w:type="dxa"/>
            <w:vAlign w:val="bottom"/>
            <w:tcBorders>
              <w:top w:val="single" w:sz="8" w:color="auto"/>
              <w:bottom w:val="single" w:sz="8" w:color="auto"/>
            </w:tcBorders>
            <w:shd w:val="clear" w:color="auto" w:fill="CCEEFF"/>
          </w:tcPr>
          <w:p>
            <w:pPr>
              <w:jc w:val="right"/>
              <w:ind w:right="43"/>
              <w:spacing w:after="0"/>
              <w:rPr>
                <w:sz w:val="20"/>
                <w:szCs w:val="20"/>
                <w:color w:val="auto"/>
              </w:rPr>
            </w:pPr>
            <w:r>
              <w:rPr>
                <w:rFonts w:ascii="Arial" w:cs="Arial" w:eastAsia="Arial" w:hAnsi="Arial"/>
                <w:sz w:val="12"/>
                <w:szCs w:val="12"/>
                <w:color w:val="auto"/>
              </w:rPr>
              <w:t>495</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260" w:type="dxa"/>
            <w:vAlign w:val="bottom"/>
            <w:tcBorders>
              <w:top w:val="single" w:sz="8" w:color="auto"/>
              <w:bottom w:val="single" w:sz="8" w:color="auto"/>
            </w:tcBorders>
            <w:shd w:val="clear" w:color="auto" w:fill="CCEEFF"/>
          </w:tcPr>
          <w:p>
            <w:pPr>
              <w:jc w:val="right"/>
              <w:ind w:right="120"/>
              <w:spacing w:after="0"/>
              <w:rPr>
                <w:sz w:val="20"/>
                <w:szCs w:val="20"/>
                <w:color w:val="auto"/>
              </w:rPr>
            </w:pPr>
            <w:r>
              <w:rPr>
                <w:rFonts w:ascii="Arial" w:cs="Arial" w:eastAsia="Arial" w:hAnsi="Arial"/>
                <w:sz w:val="12"/>
                <w:szCs w:val="12"/>
                <w:color w:val="auto"/>
                <w:w w:val="89"/>
              </w:rPr>
              <w:t>$</w:t>
            </w:r>
          </w:p>
        </w:tc>
        <w:tc>
          <w:tcPr>
            <w:tcW w:w="86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8,316</w:t>
            </w:r>
          </w:p>
        </w:tc>
        <w:tc>
          <w:tcPr>
            <w:tcW w:w="0" w:type="dxa"/>
            <w:vAlign w:val="bottom"/>
          </w:tcPr>
          <w:p>
            <w:pPr>
              <w:spacing w:after="0"/>
              <w:rPr>
                <w:sz w:val="1"/>
                <w:szCs w:val="1"/>
                <w:color w:val="auto"/>
              </w:rPr>
            </w:pPr>
          </w:p>
        </w:tc>
      </w:tr>
      <w:tr>
        <w:trPr>
          <w:trHeight w:val="216"/>
        </w:trPr>
        <w:tc>
          <w:tcPr>
            <w:tcW w:w="36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80"/>
        </w:trPr>
        <w:tc>
          <w:tcPr>
            <w:tcW w:w="3660" w:type="dxa"/>
            <w:vAlign w:val="bottom"/>
            <w:shd w:val="clear" w:color="auto" w:fill="CCEEFF"/>
          </w:tcPr>
          <w:p>
            <w:pPr>
              <w:ind w:left="20"/>
              <w:spacing w:after="0"/>
              <w:rPr>
                <w:sz w:val="20"/>
                <w:szCs w:val="20"/>
                <w:color w:val="auto"/>
              </w:rPr>
            </w:pPr>
            <w:r>
              <w:rPr>
                <w:rFonts w:ascii="Arial" w:cs="Arial" w:eastAsia="Arial" w:hAnsi="Arial"/>
                <w:sz w:val="12"/>
                <w:szCs w:val="12"/>
                <w:b w:val="1"/>
                <w:bCs w:val="1"/>
                <w:color w:val="auto"/>
              </w:rPr>
              <w:t>Balance, December 31, 2015</w:t>
            </w:r>
          </w:p>
        </w:tc>
        <w:tc>
          <w:tcPr>
            <w:tcW w:w="58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6.9</w:t>
            </w: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58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336</w:t>
            </w:r>
          </w:p>
        </w:tc>
        <w:tc>
          <w:tcPr>
            <w:tcW w:w="120" w:type="dxa"/>
            <w:vAlign w:val="bottom"/>
            <w:shd w:val="clear" w:color="auto" w:fill="CCEEFF"/>
          </w:tcPr>
          <w:p>
            <w:pPr>
              <w:spacing w:after="0"/>
              <w:rPr>
                <w:sz w:val="15"/>
                <w:szCs w:val="15"/>
                <w:color w:val="auto"/>
              </w:rPr>
            </w:pPr>
          </w:p>
        </w:tc>
        <w:tc>
          <w:tcPr>
            <w:tcW w:w="80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337.5</w:t>
            </w: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58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3</w:t>
            </w: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jc w:val="right"/>
              <w:ind w:right="40"/>
              <w:spacing w:after="0"/>
              <w:rPr>
                <w:sz w:val="20"/>
                <w:szCs w:val="20"/>
                <w:color w:val="auto"/>
              </w:rPr>
            </w:pPr>
            <w:r>
              <w:rPr>
                <w:rFonts w:ascii="Arial" w:cs="Arial" w:eastAsia="Arial" w:hAnsi="Arial"/>
                <w:sz w:val="12"/>
                <w:szCs w:val="12"/>
                <w:color w:val="auto"/>
                <w:w w:val="89"/>
              </w:rPr>
              <w:t>$</w:t>
            </w:r>
          </w:p>
        </w:tc>
        <w:tc>
          <w:tcPr>
            <w:tcW w:w="760" w:type="dxa"/>
            <w:vAlign w:val="bottom"/>
            <w:shd w:val="clear" w:color="auto" w:fill="CCEEFF"/>
          </w:tcPr>
          <w:p>
            <w:pPr>
              <w:jc w:val="right"/>
              <w:ind w:right="62"/>
              <w:spacing w:after="0"/>
              <w:rPr>
                <w:sz w:val="20"/>
                <w:szCs w:val="20"/>
                <w:color w:val="auto"/>
              </w:rPr>
            </w:pPr>
            <w:r>
              <w:rPr>
                <w:rFonts w:ascii="Arial" w:cs="Arial" w:eastAsia="Arial" w:hAnsi="Arial"/>
                <w:sz w:val="12"/>
                <w:szCs w:val="12"/>
                <w:color w:val="auto"/>
              </w:rPr>
              <w:t>10,048</w:t>
            </w:r>
          </w:p>
        </w:tc>
        <w:tc>
          <w:tcPr>
            <w:tcW w:w="120" w:type="dxa"/>
            <w:vAlign w:val="bottom"/>
            <w:shd w:val="clear" w:color="auto" w:fill="CCEEFF"/>
          </w:tcPr>
          <w:p>
            <w:pPr>
              <w:spacing w:after="0"/>
              <w:rPr>
                <w:sz w:val="15"/>
                <w:szCs w:val="15"/>
                <w:color w:val="auto"/>
              </w:rPr>
            </w:pPr>
          </w:p>
        </w:tc>
        <w:tc>
          <w:tcPr>
            <w:tcW w:w="160" w:type="dxa"/>
            <w:vAlign w:val="bottom"/>
            <w:shd w:val="clear" w:color="auto" w:fill="CCEEFF"/>
          </w:tcPr>
          <w:p>
            <w:pPr>
              <w:jc w:val="right"/>
              <w:ind w:right="20"/>
              <w:spacing w:after="0"/>
              <w:rPr>
                <w:sz w:val="20"/>
                <w:szCs w:val="20"/>
                <w:color w:val="auto"/>
              </w:rPr>
            </w:pPr>
            <w:r>
              <w:rPr>
                <w:rFonts w:ascii="Arial" w:cs="Arial" w:eastAsia="Arial" w:hAnsi="Arial"/>
                <w:sz w:val="12"/>
                <w:szCs w:val="12"/>
                <w:color w:val="auto"/>
                <w:w w:val="89"/>
              </w:rPr>
              <w:t>$</w:t>
            </w:r>
          </w:p>
        </w:tc>
        <w:tc>
          <w:tcPr>
            <w:tcW w:w="76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(2,350)</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jc w:val="right"/>
              <w:ind w:right="60"/>
              <w:spacing w:after="0"/>
              <w:rPr>
                <w:sz w:val="20"/>
                <w:szCs w:val="20"/>
                <w:color w:val="auto"/>
              </w:rPr>
            </w:pPr>
            <w:r>
              <w:rPr>
                <w:rFonts w:ascii="Arial" w:cs="Arial" w:eastAsia="Arial" w:hAnsi="Arial"/>
                <w:sz w:val="12"/>
                <w:szCs w:val="12"/>
                <w:color w:val="auto"/>
                <w:w w:val="89"/>
              </w:rPr>
              <w:t>$</w:t>
            </w:r>
          </w:p>
        </w:tc>
        <w:tc>
          <w:tcPr>
            <w:tcW w:w="1040" w:type="dxa"/>
            <w:vAlign w:val="bottom"/>
            <w:shd w:val="clear" w:color="auto" w:fill="CCEEFF"/>
          </w:tcPr>
          <w:p>
            <w:pPr>
              <w:jc w:val="right"/>
              <w:ind w:right="3"/>
              <w:spacing w:after="0"/>
              <w:rPr>
                <w:sz w:val="20"/>
                <w:szCs w:val="20"/>
                <w:color w:val="auto"/>
              </w:rPr>
            </w:pPr>
            <w:r>
              <w:rPr>
                <w:rFonts w:ascii="Arial" w:cs="Arial" w:eastAsia="Arial" w:hAnsi="Arial"/>
                <w:sz w:val="12"/>
                <w:szCs w:val="12"/>
                <w:color w:val="auto"/>
              </w:rPr>
              <w:t>(66)</w:t>
            </w:r>
          </w:p>
        </w:tc>
        <w:tc>
          <w:tcPr>
            <w:tcW w:w="120" w:type="dxa"/>
            <w:vAlign w:val="bottom"/>
            <w:shd w:val="clear" w:color="auto" w:fill="CCEEFF"/>
          </w:tcPr>
          <w:p>
            <w:pPr>
              <w:spacing w:after="0"/>
              <w:rPr>
                <w:sz w:val="15"/>
                <w:szCs w:val="15"/>
                <w:color w:val="auto"/>
              </w:rPr>
            </w:pPr>
          </w:p>
        </w:tc>
        <w:tc>
          <w:tcPr>
            <w:tcW w:w="260" w:type="dxa"/>
            <w:vAlign w:val="bottom"/>
            <w:shd w:val="clear" w:color="auto" w:fill="CCEEFF"/>
          </w:tcPr>
          <w:p>
            <w:pPr>
              <w:jc w:val="right"/>
              <w:ind w:right="120"/>
              <w:spacing w:after="0"/>
              <w:rPr>
                <w:sz w:val="20"/>
                <w:szCs w:val="20"/>
                <w:color w:val="auto"/>
              </w:rPr>
            </w:pPr>
            <w:r>
              <w:rPr>
                <w:rFonts w:ascii="Arial" w:cs="Arial" w:eastAsia="Arial" w:hAnsi="Arial"/>
                <w:sz w:val="12"/>
                <w:szCs w:val="12"/>
                <w:color w:val="auto"/>
                <w:w w:val="89"/>
              </w:rPr>
              <w:t>$</w:t>
            </w:r>
          </w:p>
        </w:tc>
        <w:tc>
          <w:tcPr>
            <w:tcW w:w="86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7,971</w:t>
            </w:r>
          </w:p>
        </w:tc>
        <w:tc>
          <w:tcPr>
            <w:tcW w:w="0" w:type="dxa"/>
            <w:vAlign w:val="bottom"/>
          </w:tcPr>
          <w:p>
            <w:pPr>
              <w:spacing w:after="0"/>
              <w:rPr>
                <w:sz w:val="1"/>
                <w:szCs w:val="1"/>
                <w:color w:val="auto"/>
              </w:rPr>
            </w:pPr>
          </w:p>
        </w:tc>
      </w:tr>
      <w:tr>
        <w:trPr>
          <w:trHeight w:val="171"/>
        </w:trPr>
        <w:tc>
          <w:tcPr>
            <w:tcW w:w="3660" w:type="dxa"/>
            <w:vAlign w:val="bottom"/>
          </w:tcPr>
          <w:p>
            <w:pPr>
              <w:ind w:left="120"/>
              <w:spacing w:after="0"/>
              <w:rPr>
                <w:sz w:val="20"/>
                <w:szCs w:val="20"/>
                <w:color w:val="auto"/>
              </w:rPr>
            </w:pPr>
            <w:r>
              <w:rPr>
                <w:rFonts w:ascii="Arial" w:cs="Arial" w:eastAsia="Arial" w:hAnsi="Arial"/>
                <w:sz w:val="12"/>
                <w:szCs w:val="12"/>
                <w:color w:val="auto"/>
              </w:rPr>
              <w:t>Net loss</w:t>
            </w: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4"/>
                <w:szCs w:val="14"/>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tcPr>
          <w:p>
            <w:pPr>
              <w:spacing w:after="0"/>
              <w:rPr>
                <w:sz w:val="14"/>
                <w:szCs w:val="14"/>
                <w:color w:val="auto"/>
              </w:rPr>
            </w:pPr>
          </w:p>
        </w:tc>
        <w:tc>
          <w:tcPr>
            <w:tcW w:w="760" w:type="dxa"/>
            <w:vAlign w:val="bottom"/>
          </w:tcPr>
          <w:p>
            <w:pPr>
              <w:jc w:val="right"/>
              <w:ind w:right="22"/>
              <w:spacing w:after="0"/>
              <w:rPr>
                <w:sz w:val="20"/>
                <w:szCs w:val="20"/>
                <w:color w:val="auto"/>
              </w:rPr>
            </w:pPr>
            <w:r>
              <w:rPr>
                <w:rFonts w:ascii="Arial" w:cs="Arial" w:eastAsia="Arial" w:hAnsi="Arial"/>
                <w:sz w:val="12"/>
                <w:szCs w:val="12"/>
                <w:color w:val="auto"/>
              </w:rPr>
              <w:t>(396)</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60" w:type="dxa"/>
            <w:vAlign w:val="bottom"/>
          </w:tcPr>
          <w:p>
            <w:pPr>
              <w:spacing w:after="0"/>
              <w:rPr>
                <w:sz w:val="14"/>
                <w:szCs w:val="14"/>
                <w:color w:val="auto"/>
              </w:rPr>
            </w:pPr>
          </w:p>
        </w:tc>
        <w:tc>
          <w:tcPr>
            <w:tcW w:w="860" w:type="dxa"/>
            <w:vAlign w:val="bottom"/>
          </w:tcPr>
          <w:p>
            <w:pPr>
              <w:jc w:val="right"/>
              <w:ind w:right="21"/>
              <w:spacing w:after="0"/>
              <w:rPr>
                <w:sz w:val="20"/>
                <w:szCs w:val="20"/>
                <w:color w:val="auto"/>
              </w:rPr>
            </w:pPr>
            <w:r>
              <w:rPr>
                <w:rFonts w:ascii="Arial" w:cs="Arial" w:eastAsia="Arial" w:hAnsi="Arial"/>
                <w:sz w:val="12"/>
                <w:szCs w:val="12"/>
                <w:color w:val="auto"/>
              </w:rPr>
              <w:t>(396)</w:t>
            </w:r>
          </w:p>
        </w:tc>
        <w:tc>
          <w:tcPr>
            <w:tcW w:w="0" w:type="dxa"/>
            <w:vAlign w:val="bottom"/>
          </w:tcPr>
          <w:p>
            <w:pPr>
              <w:spacing w:after="0"/>
              <w:rPr>
                <w:sz w:val="1"/>
                <w:szCs w:val="1"/>
                <w:color w:val="auto"/>
              </w:rPr>
            </w:pPr>
          </w:p>
        </w:tc>
      </w:tr>
      <w:tr>
        <w:trPr>
          <w:trHeight w:val="189"/>
        </w:trPr>
        <w:tc>
          <w:tcPr>
            <w:tcW w:w="3660" w:type="dxa"/>
            <w:vAlign w:val="bottom"/>
            <w:shd w:val="clear" w:color="auto" w:fill="CCEEFF"/>
          </w:tcPr>
          <w:p>
            <w:pPr>
              <w:ind w:left="120"/>
              <w:spacing w:after="0"/>
              <w:rPr>
                <w:sz w:val="20"/>
                <w:szCs w:val="20"/>
                <w:color w:val="auto"/>
              </w:rPr>
            </w:pPr>
            <w:r>
              <w:rPr>
                <w:rFonts w:ascii="Arial" w:cs="Arial" w:eastAsia="Arial" w:hAnsi="Arial"/>
                <w:sz w:val="12"/>
                <w:szCs w:val="12"/>
                <w:color w:val="auto"/>
              </w:rPr>
              <w:t>Other comprehensive income:</w:t>
            </w: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1"/>
        </w:trPr>
        <w:tc>
          <w:tcPr>
            <w:tcW w:w="3660" w:type="dxa"/>
            <w:vAlign w:val="bottom"/>
          </w:tcPr>
          <w:p>
            <w:pPr>
              <w:ind w:left="240"/>
              <w:spacing w:after="0"/>
              <w:rPr>
                <w:sz w:val="20"/>
                <w:szCs w:val="20"/>
                <w:color w:val="auto"/>
              </w:rPr>
            </w:pPr>
            <w:r>
              <w:rPr>
                <w:rFonts w:ascii="Arial" w:cs="Arial" w:eastAsia="Arial" w:hAnsi="Arial"/>
                <w:sz w:val="12"/>
                <w:szCs w:val="12"/>
                <w:color w:val="auto"/>
              </w:rPr>
              <w:t>Unrealized gain on available-for-sale securities, net</w:t>
            </w: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4"/>
                <w:szCs w:val="14"/>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tcPr>
          <w:p>
            <w:pPr>
              <w:spacing w:after="0"/>
              <w:rPr>
                <w:sz w:val="14"/>
                <w:szCs w:val="14"/>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00" w:type="dxa"/>
            <w:vAlign w:val="bottom"/>
          </w:tcPr>
          <w:p>
            <w:pPr>
              <w:spacing w:after="0"/>
              <w:rPr>
                <w:sz w:val="14"/>
                <w:szCs w:val="14"/>
                <w:color w:val="auto"/>
              </w:rPr>
            </w:pPr>
          </w:p>
        </w:tc>
        <w:tc>
          <w:tcPr>
            <w:tcW w:w="1040" w:type="dxa"/>
            <w:vAlign w:val="bottom"/>
          </w:tcPr>
          <w:p>
            <w:pPr>
              <w:jc w:val="right"/>
              <w:ind w:right="43"/>
              <w:spacing w:after="0"/>
              <w:rPr>
                <w:sz w:val="20"/>
                <w:szCs w:val="20"/>
                <w:color w:val="auto"/>
              </w:rPr>
            </w:pPr>
            <w:r>
              <w:rPr>
                <w:rFonts w:ascii="Arial" w:cs="Arial" w:eastAsia="Arial" w:hAnsi="Arial"/>
                <w:sz w:val="12"/>
                <w:szCs w:val="12"/>
                <w:color w:val="auto"/>
              </w:rPr>
              <w:t>1,038</w:t>
            </w:r>
          </w:p>
        </w:tc>
        <w:tc>
          <w:tcPr>
            <w:tcW w:w="1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60" w:type="dxa"/>
            <w:vAlign w:val="bottom"/>
          </w:tcPr>
          <w:p>
            <w:pPr>
              <w:jc w:val="right"/>
              <w:ind w:right="61"/>
              <w:spacing w:after="0"/>
              <w:rPr>
                <w:sz w:val="20"/>
                <w:szCs w:val="20"/>
                <w:color w:val="auto"/>
              </w:rPr>
            </w:pPr>
            <w:r>
              <w:rPr>
                <w:rFonts w:ascii="Arial" w:cs="Arial" w:eastAsia="Arial" w:hAnsi="Arial"/>
                <w:sz w:val="12"/>
                <w:szCs w:val="12"/>
                <w:color w:val="auto"/>
              </w:rPr>
              <w:t>1,038</w:t>
            </w:r>
          </w:p>
        </w:tc>
        <w:tc>
          <w:tcPr>
            <w:tcW w:w="0" w:type="dxa"/>
            <w:vAlign w:val="bottom"/>
          </w:tcPr>
          <w:p>
            <w:pPr>
              <w:spacing w:after="0"/>
              <w:rPr>
                <w:sz w:val="1"/>
                <w:szCs w:val="1"/>
                <w:color w:val="auto"/>
              </w:rPr>
            </w:pPr>
          </w:p>
        </w:tc>
      </w:tr>
      <w:tr>
        <w:trPr>
          <w:trHeight w:val="189"/>
        </w:trPr>
        <w:tc>
          <w:tcPr>
            <w:tcW w:w="36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Unrealized gain on derivative instruments, net</w:t>
            </w: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200" w:type="dxa"/>
            <w:vAlign w:val="bottom"/>
            <w:shd w:val="clear" w:color="auto" w:fill="CCEEFF"/>
          </w:tcPr>
          <w:p>
            <w:pPr>
              <w:spacing w:after="0"/>
              <w:rPr>
                <w:sz w:val="16"/>
                <w:szCs w:val="16"/>
                <w:color w:val="auto"/>
              </w:rPr>
            </w:pPr>
          </w:p>
        </w:tc>
        <w:tc>
          <w:tcPr>
            <w:tcW w:w="1040" w:type="dxa"/>
            <w:vAlign w:val="bottom"/>
            <w:shd w:val="clear" w:color="auto" w:fill="CCEEFF"/>
          </w:tcPr>
          <w:p>
            <w:pPr>
              <w:jc w:val="right"/>
              <w:ind w:right="43"/>
              <w:spacing w:after="0"/>
              <w:rPr>
                <w:sz w:val="20"/>
                <w:szCs w:val="20"/>
                <w:color w:val="auto"/>
              </w:rPr>
            </w:pPr>
            <w:r>
              <w:rPr>
                <w:rFonts w:ascii="Arial" w:cs="Arial" w:eastAsia="Arial" w:hAnsi="Arial"/>
                <w:sz w:val="12"/>
                <w:szCs w:val="12"/>
                <w:color w:val="auto"/>
              </w:rPr>
              <w:t>38</w:t>
            </w: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38</w:t>
            </w:r>
          </w:p>
        </w:tc>
        <w:tc>
          <w:tcPr>
            <w:tcW w:w="0" w:type="dxa"/>
            <w:vAlign w:val="bottom"/>
          </w:tcPr>
          <w:p>
            <w:pPr>
              <w:spacing w:after="0"/>
              <w:rPr>
                <w:sz w:val="1"/>
                <w:szCs w:val="1"/>
                <w:color w:val="auto"/>
              </w:rPr>
            </w:pPr>
          </w:p>
        </w:tc>
      </w:tr>
      <w:tr>
        <w:trPr>
          <w:trHeight w:val="171"/>
        </w:trPr>
        <w:tc>
          <w:tcPr>
            <w:tcW w:w="3660" w:type="dxa"/>
            <w:vAlign w:val="bottom"/>
          </w:tcPr>
          <w:p>
            <w:pPr>
              <w:ind w:left="360"/>
              <w:spacing w:after="0"/>
              <w:rPr>
                <w:sz w:val="20"/>
                <w:szCs w:val="20"/>
                <w:color w:val="auto"/>
              </w:rPr>
            </w:pPr>
            <w:r>
              <w:rPr>
                <w:rFonts w:ascii="Arial" w:cs="Arial" w:eastAsia="Arial" w:hAnsi="Arial"/>
                <w:sz w:val="12"/>
                <w:szCs w:val="12"/>
                <w:color w:val="auto"/>
              </w:rPr>
              <w:t>Repurchase of common stock</w:t>
            </w: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800" w:type="dxa"/>
            <w:vAlign w:val="bottom"/>
          </w:tcPr>
          <w:p>
            <w:pPr>
              <w:jc w:val="right"/>
              <w:ind w:right="21"/>
              <w:spacing w:after="0"/>
              <w:rPr>
                <w:sz w:val="20"/>
                <w:szCs w:val="20"/>
                <w:color w:val="auto"/>
              </w:rPr>
            </w:pPr>
            <w:r>
              <w:rPr>
                <w:rFonts w:ascii="Arial" w:cs="Arial" w:eastAsia="Arial" w:hAnsi="Arial"/>
                <w:sz w:val="12"/>
                <w:szCs w:val="12"/>
                <w:color w:val="auto"/>
              </w:rPr>
              <w:t>(6.5)</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4"/>
                <w:szCs w:val="14"/>
                <w:color w:val="auto"/>
              </w:rPr>
            </w:pPr>
          </w:p>
        </w:tc>
        <w:tc>
          <w:tcPr>
            <w:tcW w:w="760" w:type="dxa"/>
            <w:vAlign w:val="bottom"/>
          </w:tcPr>
          <w:p>
            <w:pPr>
              <w:jc w:val="right"/>
              <w:ind w:right="22"/>
              <w:spacing w:after="0"/>
              <w:rPr>
                <w:sz w:val="20"/>
                <w:szCs w:val="20"/>
                <w:color w:val="auto"/>
              </w:rPr>
            </w:pPr>
            <w:r>
              <w:rPr>
                <w:rFonts w:ascii="Arial" w:cs="Arial" w:eastAsia="Arial" w:hAnsi="Arial"/>
                <w:sz w:val="12"/>
                <w:szCs w:val="12"/>
                <w:color w:val="auto"/>
              </w:rPr>
              <w:t>(116)</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00" w:type="dxa"/>
            <w:vAlign w:val="bottom"/>
          </w:tcPr>
          <w:p>
            <w:pPr>
              <w:spacing w:after="0"/>
              <w:rPr>
                <w:sz w:val="14"/>
                <w:szCs w:val="14"/>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60" w:type="dxa"/>
            <w:vAlign w:val="bottom"/>
          </w:tcPr>
          <w:p>
            <w:pPr>
              <w:spacing w:after="0"/>
              <w:rPr>
                <w:sz w:val="14"/>
                <w:szCs w:val="14"/>
                <w:color w:val="auto"/>
              </w:rPr>
            </w:pPr>
          </w:p>
        </w:tc>
        <w:tc>
          <w:tcPr>
            <w:tcW w:w="860" w:type="dxa"/>
            <w:vAlign w:val="bottom"/>
          </w:tcPr>
          <w:p>
            <w:pPr>
              <w:jc w:val="right"/>
              <w:ind w:right="21"/>
              <w:spacing w:after="0"/>
              <w:rPr>
                <w:sz w:val="20"/>
                <w:szCs w:val="20"/>
                <w:color w:val="auto"/>
              </w:rPr>
            </w:pPr>
            <w:r>
              <w:rPr>
                <w:rFonts w:ascii="Arial" w:cs="Arial" w:eastAsia="Arial" w:hAnsi="Arial"/>
                <w:sz w:val="12"/>
                <w:szCs w:val="12"/>
                <w:color w:val="auto"/>
              </w:rPr>
              <w:t>(116)</w:t>
            </w:r>
          </w:p>
        </w:tc>
        <w:tc>
          <w:tcPr>
            <w:tcW w:w="0" w:type="dxa"/>
            <w:vAlign w:val="bottom"/>
          </w:tcPr>
          <w:p>
            <w:pPr>
              <w:spacing w:after="0"/>
              <w:rPr>
                <w:sz w:val="1"/>
                <w:szCs w:val="1"/>
                <w:color w:val="auto"/>
              </w:rPr>
            </w:pPr>
          </w:p>
        </w:tc>
      </w:tr>
      <w:tr>
        <w:trPr>
          <w:trHeight w:val="189"/>
        </w:trPr>
        <w:tc>
          <w:tcPr>
            <w:tcW w:w="3660" w:type="dxa"/>
            <w:vAlign w:val="bottom"/>
            <w:shd w:val="clear" w:color="auto" w:fill="CCEEFF"/>
          </w:tcPr>
          <w:p>
            <w:pPr>
              <w:ind w:left="360"/>
              <w:spacing w:after="0"/>
              <w:rPr>
                <w:sz w:val="20"/>
                <w:szCs w:val="20"/>
                <w:color w:val="auto"/>
              </w:rPr>
            </w:pPr>
            <w:r>
              <w:rPr>
                <w:rFonts w:ascii="Arial" w:cs="Arial" w:eastAsia="Arial" w:hAnsi="Arial"/>
                <w:sz w:val="12"/>
                <w:szCs w:val="12"/>
                <w:color w:val="auto"/>
              </w:rPr>
              <w:t>Preferred dividends declared</w:t>
            </w: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(21)</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16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26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21"/>
              <w:spacing w:after="0"/>
              <w:rPr>
                <w:sz w:val="20"/>
                <w:szCs w:val="20"/>
                <w:color w:val="auto"/>
              </w:rPr>
            </w:pPr>
            <w:r>
              <w:rPr>
                <w:rFonts w:ascii="Arial" w:cs="Arial" w:eastAsia="Arial" w:hAnsi="Arial"/>
                <w:sz w:val="12"/>
                <w:szCs w:val="12"/>
                <w:color w:val="auto"/>
              </w:rPr>
              <w:t>(21)</w:t>
            </w:r>
          </w:p>
        </w:tc>
        <w:tc>
          <w:tcPr>
            <w:tcW w:w="0" w:type="dxa"/>
            <w:vAlign w:val="bottom"/>
          </w:tcPr>
          <w:p>
            <w:pPr>
              <w:spacing w:after="0"/>
              <w:rPr>
                <w:sz w:val="1"/>
                <w:szCs w:val="1"/>
                <w:color w:val="auto"/>
              </w:rPr>
            </w:pPr>
          </w:p>
        </w:tc>
      </w:tr>
      <w:tr>
        <w:trPr>
          <w:trHeight w:val="171"/>
        </w:trPr>
        <w:tc>
          <w:tcPr>
            <w:tcW w:w="3660" w:type="dxa"/>
            <w:vAlign w:val="bottom"/>
          </w:tcPr>
          <w:p>
            <w:pPr>
              <w:ind w:left="360"/>
              <w:spacing w:after="0"/>
              <w:rPr>
                <w:sz w:val="20"/>
                <w:szCs w:val="20"/>
                <w:color w:val="auto"/>
              </w:rPr>
            </w:pPr>
            <w:r>
              <w:rPr>
                <w:rFonts w:ascii="Arial" w:cs="Arial" w:eastAsia="Arial" w:hAnsi="Arial"/>
                <w:sz w:val="12"/>
                <w:szCs w:val="12"/>
                <w:color w:val="auto"/>
              </w:rPr>
              <w:t>Common dividends declared</w:t>
            </w: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92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20" w:type="dxa"/>
            <w:vAlign w:val="bottom"/>
          </w:tcPr>
          <w:p>
            <w:pPr>
              <w:spacing w:after="0"/>
              <w:rPr>
                <w:sz w:val="14"/>
                <w:szCs w:val="14"/>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4"/>
                <w:szCs w:val="14"/>
                <w:color w:val="auto"/>
              </w:rPr>
            </w:pPr>
          </w:p>
        </w:tc>
        <w:tc>
          <w:tcPr>
            <w:tcW w:w="88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60" w:type="dxa"/>
            <w:vAlign w:val="bottom"/>
          </w:tcPr>
          <w:p>
            <w:pPr>
              <w:spacing w:after="0"/>
              <w:rPr>
                <w:sz w:val="14"/>
                <w:szCs w:val="14"/>
                <w:color w:val="auto"/>
              </w:rPr>
            </w:pPr>
          </w:p>
        </w:tc>
        <w:tc>
          <w:tcPr>
            <w:tcW w:w="760" w:type="dxa"/>
            <w:vAlign w:val="bottom"/>
          </w:tcPr>
          <w:p>
            <w:pPr>
              <w:jc w:val="right"/>
              <w:ind w:right="22"/>
              <w:spacing w:after="0"/>
              <w:rPr>
                <w:sz w:val="20"/>
                <w:szCs w:val="20"/>
                <w:color w:val="auto"/>
              </w:rPr>
            </w:pPr>
            <w:r>
              <w:rPr>
                <w:rFonts w:ascii="Arial" w:cs="Arial" w:eastAsia="Arial" w:hAnsi="Arial"/>
                <w:sz w:val="12"/>
                <w:szCs w:val="12"/>
                <w:color w:val="auto"/>
              </w:rPr>
              <w:t>(583)</w:t>
            </w: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260" w:type="dxa"/>
            <w:vAlign w:val="bottom"/>
          </w:tcPr>
          <w:p>
            <w:pPr>
              <w:spacing w:after="0"/>
              <w:rPr>
                <w:sz w:val="14"/>
                <w:szCs w:val="14"/>
                <w:color w:val="auto"/>
              </w:rPr>
            </w:pPr>
          </w:p>
        </w:tc>
        <w:tc>
          <w:tcPr>
            <w:tcW w:w="860" w:type="dxa"/>
            <w:vAlign w:val="bottom"/>
          </w:tcPr>
          <w:p>
            <w:pPr>
              <w:jc w:val="right"/>
              <w:ind w:right="21"/>
              <w:spacing w:after="0"/>
              <w:rPr>
                <w:sz w:val="20"/>
                <w:szCs w:val="20"/>
                <w:color w:val="auto"/>
              </w:rPr>
            </w:pPr>
            <w:r>
              <w:rPr>
                <w:rFonts w:ascii="Arial" w:cs="Arial" w:eastAsia="Arial" w:hAnsi="Arial"/>
                <w:sz w:val="12"/>
                <w:szCs w:val="12"/>
                <w:color w:val="auto"/>
              </w:rPr>
              <w:t>(583)</w:t>
            </w:r>
          </w:p>
        </w:tc>
        <w:tc>
          <w:tcPr>
            <w:tcW w:w="0" w:type="dxa"/>
            <w:vAlign w:val="bottom"/>
          </w:tcPr>
          <w:p>
            <w:pPr>
              <w:spacing w:after="0"/>
              <w:rPr>
                <w:sz w:val="1"/>
                <w:szCs w:val="1"/>
                <w:color w:val="auto"/>
              </w:rPr>
            </w:pPr>
          </w:p>
        </w:tc>
      </w:tr>
      <w:tr>
        <w:trPr>
          <w:trHeight w:val="185"/>
        </w:trPr>
        <w:tc>
          <w:tcPr>
            <w:tcW w:w="3660" w:type="dxa"/>
            <w:vAlign w:val="bottom"/>
            <w:tcBorders>
              <w:top w:val="single" w:sz="8" w:color="CCEEFF"/>
              <w:bottom w:val="single" w:sz="8" w:color="CCEEFF"/>
            </w:tcBorders>
            <w:shd w:val="clear" w:color="auto" w:fill="CCEEFF"/>
          </w:tcPr>
          <w:p>
            <w:pPr>
              <w:ind w:left="20"/>
              <w:spacing w:after="0"/>
              <w:rPr>
                <w:sz w:val="20"/>
                <w:szCs w:val="20"/>
                <w:color w:val="auto"/>
              </w:rPr>
            </w:pPr>
            <w:r>
              <w:rPr>
                <w:rFonts w:ascii="Arial" w:cs="Arial" w:eastAsia="Arial" w:hAnsi="Arial"/>
                <w:sz w:val="12"/>
                <w:szCs w:val="12"/>
                <w:b w:val="1"/>
                <w:bCs w:val="1"/>
                <w:color w:val="auto"/>
              </w:rPr>
              <w:t>Balance, September 30, 2016</w:t>
            </w:r>
          </w:p>
        </w:tc>
        <w:tc>
          <w:tcPr>
            <w:tcW w:w="58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6.9</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58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336</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80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331.0</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58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3</w:t>
            </w:r>
          </w:p>
        </w:tc>
        <w:tc>
          <w:tcPr>
            <w:tcW w:w="100" w:type="dxa"/>
            <w:vAlign w:val="bottom"/>
            <w:tcBorders>
              <w:top w:val="single" w:sz="8" w:color="CCEEFF"/>
              <w:bottom w:val="single" w:sz="8" w:color="CCEEFF"/>
            </w:tcBorders>
            <w:shd w:val="clear" w:color="auto" w:fill="CCEEFF"/>
          </w:tcPr>
          <w:p>
            <w:pPr>
              <w:spacing w:after="0"/>
              <w:rPr>
                <w:sz w:val="16"/>
                <w:szCs w:val="16"/>
                <w:color w:val="auto"/>
              </w:rPr>
            </w:pPr>
          </w:p>
        </w:tc>
        <w:tc>
          <w:tcPr>
            <w:tcW w:w="180" w:type="dxa"/>
            <w:vAlign w:val="bottom"/>
            <w:tcBorders>
              <w:top w:val="single" w:sz="8" w:color="auto"/>
              <w:bottom w:val="single" w:sz="8" w:color="auto"/>
            </w:tcBorders>
            <w:shd w:val="clear" w:color="auto" w:fill="CCEEFF"/>
          </w:tcPr>
          <w:p>
            <w:pPr>
              <w:jc w:val="right"/>
              <w:ind w:right="40"/>
              <w:spacing w:after="0"/>
              <w:rPr>
                <w:sz w:val="20"/>
                <w:szCs w:val="20"/>
                <w:color w:val="auto"/>
              </w:rPr>
            </w:pPr>
            <w:r>
              <w:rPr>
                <w:rFonts w:ascii="Arial" w:cs="Arial" w:eastAsia="Arial" w:hAnsi="Arial"/>
                <w:sz w:val="12"/>
                <w:szCs w:val="12"/>
                <w:color w:val="auto"/>
                <w:w w:val="89"/>
              </w:rPr>
              <w:t>$</w:t>
            </w:r>
          </w:p>
        </w:tc>
        <w:tc>
          <w:tcPr>
            <w:tcW w:w="760" w:type="dxa"/>
            <w:vAlign w:val="bottom"/>
            <w:tcBorders>
              <w:top w:val="single" w:sz="8" w:color="auto"/>
              <w:bottom w:val="single" w:sz="8" w:color="auto"/>
            </w:tcBorders>
            <w:shd w:val="clear" w:color="auto" w:fill="CCEEFF"/>
          </w:tcPr>
          <w:p>
            <w:pPr>
              <w:jc w:val="right"/>
              <w:ind w:right="62"/>
              <w:spacing w:after="0"/>
              <w:rPr>
                <w:sz w:val="20"/>
                <w:szCs w:val="20"/>
                <w:color w:val="auto"/>
              </w:rPr>
            </w:pPr>
            <w:r>
              <w:rPr>
                <w:rFonts w:ascii="Arial" w:cs="Arial" w:eastAsia="Arial" w:hAnsi="Arial"/>
                <w:sz w:val="12"/>
                <w:szCs w:val="12"/>
                <w:color w:val="auto"/>
              </w:rPr>
              <w:t>9,932</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160" w:type="dxa"/>
            <w:vAlign w:val="bottom"/>
            <w:tcBorders>
              <w:top w:val="single" w:sz="8" w:color="auto"/>
              <w:bottom w:val="single" w:sz="8" w:color="auto"/>
            </w:tcBorders>
            <w:shd w:val="clear" w:color="auto" w:fill="CCEEFF"/>
          </w:tcPr>
          <w:p>
            <w:pPr>
              <w:jc w:val="right"/>
              <w:ind w:right="20"/>
              <w:spacing w:after="0"/>
              <w:rPr>
                <w:sz w:val="20"/>
                <w:szCs w:val="20"/>
                <w:color w:val="auto"/>
              </w:rPr>
            </w:pPr>
            <w:r>
              <w:rPr>
                <w:rFonts w:ascii="Arial" w:cs="Arial" w:eastAsia="Arial" w:hAnsi="Arial"/>
                <w:sz w:val="12"/>
                <w:szCs w:val="12"/>
                <w:color w:val="auto"/>
                <w:w w:val="89"/>
              </w:rPr>
              <w:t>$</w:t>
            </w:r>
          </w:p>
        </w:tc>
        <w:tc>
          <w:tcPr>
            <w:tcW w:w="760" w:type="dxa"/>
            <w:vAlign w:val="bottom"/>
            <w:tcBorders>
              <w:top w:val="single" w:sz="8" w:color="auto"/>
              <w:bottom w:val="single" w:sz="8" w:color="auto"/>
            </w:tcBorders>
            <w:shd w:val="clear" w:color="auto" w:fill="CCEEFF"/>
          </w:tcPr>
          <w:p>
            <w:pPr>
              <w:jc w:val="right"/>
              <w:ind w:right="22"/>
              <w:spacing w:after="0"/>
              <w:rPr>
                <w:sz w:val="20"/>
                <w:szCs w:val="20"/>
                <w:color w:val="auto"/>
              </w:rPr>
            </w:pPr>
            <w:r>
              <w:rPr>
                <w:rFonts w:ascii="Arial" w:cs="Arial" w:eastAsia="Arial" w:hAnsi="Arial"/>
                <w:sz w:val="12"/>
                <w:szCs w:val="12"/>
                <w:color w:val="auto"/>
              </w:rPr>
              <w:t>(3,350)</w:t>
            </w:r>
          </w:p>
        </w:tc>
        <w:tc>
          <w:tcPr>
            <w:tcW w:w="100" w:type="dxa"/>
            <w:vAlign w:val="bottom"/>
            <w:tcBorders>
              <w:top w:val="single" w:sz="8" w:color="CCEEFF"/>
              <w:bottom w:val="single" w:sz="8" w:color="CCEEFF"/>
            </w:tcBorders>
            <w:shd w:val="clear" w:color="auto" w:fill="CCEEFF"/>
          </w:tcPr>
          <w:p>
            <w:pPr>
              <w:spacing w:after="0"/>
              <w:rPr>
                <w:sz w:val="16"/>
                <w:szCs w:val="16"/>
                <w:color w:val="auto"/>
              </w:rPr>
            </w:pPr>
          </w:p>
        </w:tc>
        <w:tc>
          <w:tcPr>
            <w:tcW w:w="200" w:type="dxa"/>
            <w:vAlign w:val="bottom"/>
            <w:tcBorders>
              <w:top w:val="single" w:sz="8" w:color="auto"/>
              <w:bottom w:val="single" w:sz="8" w:color="auto"/>
            </w:tcBorders>
            <w:shd w:val="clear" w:color="auto" w:fill="CCEEFF"/>
          </w:tcPr>
          <w:p>
            <w:pPr>
              <w:jc w:val="right"/>
              <w:ind w:right="60"/>
              <w:spacing w:after="0"/>
              <w:rPr>
                <w:sz w:val="20"/>
                <w:szCs w:val="20"/>
                <w:color w:val="auto"/>
              </w:rPr>
            </w:pPr>
            <w:r>
              <w:rPr>
                <w:rFonts w:ascii="Arial" w:cs="Arial" w:eastAsia="Arial" w:hAnsi="Arial"/>
                <w:sz w:val="12"/>
                <w:szCs w:val="12"/>
                <w:color w:val="auto"/>
                <w:w w:val="89"/>
              </w:rPr>
              <w:t>$</w:t>
            </w:r>
          </w:p>
        </w:tc>
        <w:tc>
          <w:tcPr>
            <w:tcW w:w="1040" w:type="dxa"/>
            <w:vAlign w:val="bottom"/>
            <w:tcBorders>
              <w:top w:val="single" w:sz="8" w:color="auto"/>
              <w:bottom w:val="single" w:sz="8" w:color="auto"/>
            </w:tcBorders>
            <w:shd w:val="clear" w:color="auto" w:fill="CCEEFF"/>
          </w:tcPr>
          <w:p>
            <w:pPr>
              <w:jc w:val="right"/>
              <w:ind w:right="43"/>
              <w:spacing w:after="0"/>
              <w:rPr>
                <w:sz w:val="20"/>
                <w:szCs w:val="20"/>
                <w:color w:val="auto"/>
              </w:rPr>
            </w:pPr>
            <w:r>
              <w:rPr>
                <w:rFonts w:ascii="Arial" w:cs="Arial" w:eastAsia="Arial" w:hAnsi="Arial"/>
                <w:sz w:val="12"/>
                <w:szCs w:val="12"/>
                <w:color w:val="auto"/>
              </w:rPr>
              <w:t>1,010</w:t>
            </w:r>
          </w:p>
        </w:tc>
        <w:tc>
          <w:tcPr>
            <w:tcW w:w="120" w:type="dxa"/>
            <w:vAlign w:val="bottom"/>
            <w:tcBorders>
              <w:top w:val="single" w:sz="8" w:color="CCEEFF"/>
              <w:bottom w:val="single" w:sz="8" w:color="CCEEFF"/>
            </w:tcBorders>
            <w:shd w:val="clear" w:color="auto" w:fill="CCEEFF"/>
          </w:tcPr>
          <w:p>
            <w:pPr>
              <w:spacing w:after="0"/>
              <w:rPr>
                <w:sz w:val="16"/>
                <w:szCs w:val="16"/>
                <w:color w:val="auto"/>
              </w:rPr>
            </w:pPr>
          </w:p>
        </w:tc>
        <w:tc>
          <w:tcPr>
            <w:tcW w:w="260" w:type="dxa"/>
            <w:vAlign w:val="bottom"/>
            <w:tcBorders>
              <w:top w:val="single" w:sz="8" w:color="auto"/>
              <w:bottom w:val="single" w:sz="8" w:color="auto"/>
            </w:tcBorders>
            <w:shd w:val="clear" w:color="auto" w:fill="CCEEFF"/>
          </w:tcPr>
          <w:p>
            <w:pPr>
              <w:jc w:val="right"/>
              <w:ind w:right="120"/>
              <w:spacing w:after="0"/>
              <w:rPr>
                <w:sz w:val="20"/>
                <w:szCs w:val="20"/>
                <w:color w:val="auto"/>
              </w:rPr>
            </w:pPr>
            <w:r>
              <w:rPr>
                <w:rFonts w:ascii="Arial" w:cs="Arial" w:eastAsia="Arial" w:hAnsi="Arial"/>
                <w:sz w:val="12"/>
                <w:szCs w:val="12"/>
                <w:color w:val="auto"/>
                <w:w w:val="89"/>
              </w:rPr>
              <w:t>$</w:t>
            </w:r>
          </w:p>
        </w:tc>
        <w:tc>
          <w:tcPr>
            <w:tcW w:w="860" w:type="dxa"/>
            <w:vAlign w:val="bottom"/>
            <w:tcBorders>
              <w:top w:val="single" w:sz="8" w:color="auto"/>
              <w:bottom w:val="single" w:sz="8" w:color="auto"/>
            </w:tcBorders>
            <w:shd w:val="clear" w:color="auto" w:fill="CCEEFF"/>
          </w:tcPr>
          <w:p>
            <w:pPr>
              <w:jc w:val="right"/>
              <w:ind w:right="61"/>
              <w:spacing w:after="0"/>
              <w:rPr>
                <w:sz w:val="20"/>
                <w:szCs w:val="20"/>
                <w:color w:val="auto"/>
              </w:rPr>
            </w:pPr>
            <w:r>
              <w:rPr>
                <w:rFonts w:ascii="Arial" w:cs="Arial" w:eastAsia="Arial" w:hAnsi="Arial"/>
                <w:sz w:val="12"/>
                <w:szCs w:val="12"/>
                <w:color w:val="auto"/>
              </w:rPr>
              <w:t>7,931</w:t>
            </w:r>
          </w:p>
        </w:tc>
        <w:tc>
          <w:tcPr>
            <w:tcW w:w="0" w:type="dxa"/>
            <w:vAlign w:val="bottom"/>
          </w:tcPr>
          <w:p>
            <w:pPr>
              <w:spacing w:after="0"/>
              <w:rPr>
                <w:sz w:val="1"/>
                <w:szCs w:val="1"/>
                <w:color w:val="auto"/>
              </w:rPr>
            </w:pPr>
          </w:p>
        </w:tc>
      </w:tr>
    </w:tbl>
    <w:p>
      <w:pPr>
        <w:spacing w:after="0" w:line="35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See accompanying notes to consolidated financial statements.</w:t>
      </w:r>
    </w:p>
    <w:p>
      <w:pPr>
        <w:spacing w:after="0" w:line="312"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w:t>
      </w:r>
    </w:p>
    <w:p>
      <w:pPr>
        <w:sectPr>
          <w:pgSz w:w="11900" w:h="16838" w:orient="portrait"/>
          <w:cols w:equalWidth="0" w:num="1">
            <w:col w:w="11460"/>
          </w:cols>
          <w:pgMar w:left="220" w:top="289" w:right="219" w:bottom="1440" w:gutter="0" w:footer="0" w:header="0"/>
        </w:sectPr>
      </w:pPr>
    </w:p>
    <w:bookmarkStart w:id="5" w:name="page6"/>
    <w:bookmarkEnd w:id="5"/>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CONSOLIDATED STATEMENTS OF CASH FLOWS</w:t>
      </w:r>
    </w:p>
    <w:p>
      <w:pPr>
        <w:spacing w:after="0" w:line="6" w:lineRule="exact"/>
        <w:rPr>
          <w:sz w:val="20"/>
          <w:szCs w:val="20"/>
          <w:color w:val="auto"/>
        </w:rPr>
      </w:pPr>
    </w:p>
    <w:p>
      <w:pPr>
        <w:ind w:left="4680"/>
        <w:spacing w:after="0"/>
        <w:rPr>
          <w:sz w:val="20"/>
          <w:szCs w:val="20"/>
          <w:color w:val="auto"/>
        </w:rPr>
      </w:pPr>
      <w:r>
        <w:rPr>
          <w:rFonts w:ascii="Arial" w:cs="Arial" w:eastAsia="Arial" w:hAnsi="Arial"/>
          <w:sz w:val="12"/>
          <w:szCs w:val="12"/>
          <w:b w:val="1"/>
          <w:bCs w:val="1"/>
          <w:color w:val="auto"/>
        </w:rPr>
        <w:t>(Unaudited)</w:t>
      </w:r>
    </w:p>
    <w:p>
      <w:pPr>
        <w:spacing w:after="0" w:line="6" w:lineRule="exact"/>
        <w:rPr>
          <w:sz w:val="20"/>
          <w:szCs w:val="20"/>
          <w:color w:val="auto"/>
        </w:rPr>
      </w:pPr>
    </w:p>
    <w:p>
      <w:pPr>
        <w:ind w:left="4680"/>
        <w:spacing w:after="0"/>
        <w:rPr>
          <w:sz w:val="20"/>
          <w:szCs w:val="20"/>
          <w:color w:val="auto"/>
        </w:rPr>
      </w:pPr>
      <w:r>
        <w:rPr>
          <w:rFonts w:ascii="Arial" w:cs="Arial" w:eastAsia="Arial" w:hAnsi="Arial"/>
          <w:sz w:val="12"/>
          <w:szCs w:val="12"/>
          <w:b w:val="1"/>
          <w:bCs w:val="1"/>
          <w:color w:val="auto"/>
        </w:rPr>
        <w:t>(in millions)</w:t>
      </w:r>
    </w:p>
    <w:p>
      <w:pPr>
        <w:spacing w:after="0" w:line="252" w:lineRule="exact"/>
        <w:rPr>
          <w:sz w:val="20"/>
          <w:szCs w:val="20"/>
          <w:color w:val="auto"/>
        </w:rPr>
      </w:pPr>
    </w:p>
    <w:tbl>
      <w:tblPr>
        <w:tblLayout w:type="fixed"/>
        <w:tblInd w:w="0" w:type="dxa"/>
        <w:tblCellMar>
          <w:top w:w="0" w:type="dxa"/>
          <w:left w:w="0" w:type="dxa"/>
          <w:bottom w:w="0" w:type="dxa"/>
          <w:right w:w="0" w:type="dxa"/>
        </w:tblCellMar>
      </w:tblPr>
      <w:tr>
        <w:trPr>
          <w:trHeight w:val="143"/>
        </w:trPr>
        <w:tc>
          <w:tcPr>
            <w:tcW w:w="7500" w:type="dxa"/>
            <w:vAlign w:val="bottom"/>
          </w:tcPr>
          <w:p>
            <w:pPr>
              <w:spacing w:after="0"/>
              <w:rPr>
                <w:sz w:val="12"/>
                <w:szCs w:val="12"/>
                <w:color w:val="auto"/>
              </w:rPr>
            </w:pPr>
          </w:p>
        </w:tc>
        <w:tc>
          <w:tcPr>
            <w:tcW w:w="2480" w:type="dxa"/>
            <w:vAlign w:val="bottom"/>
            <w:tcBorders>
              <w:bottom w:val="single" w:sz="8" w:color="auto"/>
            </w:tcBorders>
            <w:gridSpan w:val="5"/>
          </w:tcPr>
          <w:p>
            <w:pPr>
              <w:jc w:val="right"/>
              <w:ind w:right="387"/>
              <w:spacing w:after="0"/>
              <w:rPr>
                <w:sz w:val="20"/>
                <w:szCs w:val="20"/>
                <w:color w:val="auto"/>
              </w:rPr>
            </w:pPr>
            <w:r>
              <w:rPr>
                <w:rFonts w:ascii="Arial" w:cs="Arial" w:eastAsia="Arial" w:hAnsi="Arial"/>
                <w:sz w:val="11"/>
                <w:szCs w:val="11"/>
                <w:b w:val="1"/>
                <w:bCs w:val="1"/>
                <w:color w:val="auto"/>
              </w:rPr>
              <w:t>Nine Months Ended September 30,</w:t>
            </w:r>
          </w:p>
        </w:tc>
      </w:tr>
      <w:tr>
        <w:trPr>
          <w:trHeight w:val="169"/>
        </w:trPr>
        <w:tc>
          <w:tcPr>
            <w:tcW w:w="7500" w:type="dxa"/>
            <w:vAlign w:val="bottom"/>
            <w:tcBorders>
              <w:bottom w:val="single" w:sz="8" w:color="CCEEFF"/>
            </w:tcBorders>
          </w:tcPr>
          <w:p>
            <w:pPr>
              <w:spacing w:after="0"/>
              <w:rPr>
                <w:sz w:val="14"/>
                <w:szCs w:val="14"/>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1"/>
                <w:szCs w:val="11"/>
                <w:b w:val="1"/>
                <w:bCs w:val="1"/>
                <w:color w:val="auto"/>
              </w:rPr>
              <w:t>2016</w:t>
            </w:r>
          </w:p>
        </w:tc>
        <w:tc>
          <w:tcPr>
            <w:tcW w:w="480" w:type="dxa"/>
            <w:vAlign w:val="bottom"/>
            <w:tcBorders>
              <w:bottom w:val="single" w:sz="8" w:color="auto"/>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jc w:val="right"/>
              <w:ind w:right="427"/>
              <w:spacing w:after="0"/>
              <w:rPr>
                <w:sz w:val="20"/>
                <w:szCs w:val="20"/>
                <w:color w:val="auto"/>
              </w:rPr>
            </w:pPr>
            <w:r>
              <w:rPr>
                <w:rFonts w:ascii="Arial" w:cs="Arial" w:eastAsia="Arial" w:hAnsi="Arial"/>
                <w:sz w:val="11"/>
                <w:szCs w:val="11"/>
                <w:b w:val="1"/>
                <w:bCs w:val="1"/>
                <w:color w:val="auto"/>
              </w:rPr>
              <w:t>2015</w:t>
            </w:r>
          </w:p>
        </w:tc>
      </w:tr>
      <w:tr>
        <w:trPr>
          <w:trHeight w:val="177"/>
        </w:trPr>
        <w:tc>
          <w:tcPr>
            <w:tcW w:w="7500" w:type="dxa"/>
            <w:vAlign w:val="bottom"/>
            <w:shd w:val="clear" w:color="auto" w:fill="CCEEFF"/>
          </w:tcPr>
          <w:p>
            <w:pPr>
              <w:ind w:left="20"/>
              <w:spacing w:after="0"/>
              <w:rPr>
                <w:sz w:val="20"/>
                <w:szCs w:val="20"/>
                <w:color w:val="auto"/>
              </w:rPr>
            </w:pPr>
            <w:r>
              <w:rPr>
                <w:rFonts w:ascii="Arial" w:cs="Arial" w:eastAsia="Arial" w:hAnsi="Arial"/>
                <w:sz w:val="11"/>
                <w:szCs w:val="11"/>
                <w:b w:val="1"/>
                <w:bCs w:val="1"/>
                <w:color w:val="auto"/>
              </w:rPr>
              <w:t>Operating activities:</w:t>
            </w:r>
          </w:p>
        </w:tc>
        <w:tc>
          <w:tcPr>
            <w:tcW w:w="720" w:type="dxa"/>
            <w:vAlign w:val="bottom"/>
            <w:shd w:val="clear" w:color="auto" w:fill="CCEEFF"/>
          </w:tcPr>
          <w:p>
            <w:pPr>
              <w:spacing w:after="0"/>
              <w:rPr>
                <w:sz w:val="15"/>
                <w:szCs w:val="15"/>
                <w:color w:val="auto"/>
              </w:rPr>
            </w:pPr>
          </w:p>
        </w:tc>
        <w:tc>
          <w:tcPr>
            <w:tcW w:w="4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900" w:type="dxa"/>
            <w:vAlign w:val="bottom"/>
            <w:shd w:val="clear" w:color="auto" w:fill="CCEEFF"/>
          </w:tcPr>
          <w:p>
            <w:pPr>
              <w:spacing w:after="0"/>
              <w:rPr>
                <w:sz w:val="15"/>
                <w:szCs w:val="15"/>
                <w:color w:val="auto"/>
              </w:rPr>
            </w:pPr>
          </w:p>
        </w:tc>
      </w:tr>
      <w:tr>
        <w:trPr>
          <w:trHeight w:val="173"/>
        </w:trPr>
        <w:tc>
          <w:tcPr>
            <w:tcW w:w="7500" w:type="dxa"/>
            <w:vAlign w:val="bottom"/>
          </w:tcPr>
          <w:p>
            <w:pPr>
              <w:ind w:left="20"/>
              <w:spacing w:after="0"/>
              <w:rPr>
                <w:sz w:val="20"/>
                <w:szCs w:val="20"/>
                <w:color w:val="auto"/>
              </w:rPr>
            </w:pPr>
            <w:r>
              <w:rPr>
                <w:rFonts w:ascii="Arial" w:cs="Arial" w:eastAsia="Arial" w:hAnsi="Arial"/>
                <w:sz w:val="11"/>
                <w:szCs w:val="11"/>
                <w:color w:val="auto"/>
              </w:rPr>
              <w:t>Net loss</w:t>
            </w:r>
          </w:p>
        </w:tc>
        <w:tc>
          <w:tcPr>
            <w:tcW w:w="720" w:type="dxa"/>
            <w:vAlign w:val="bottom"/>
          </w:tcPr>
          <w:p>
            <w:pPr>
              <w:jc w:val="right"/>
              <w:ind w:right="610"/>
              <w:spacing w:after="0"/>
              <w:rPr>
                <w:sz w:val="20"/>
                <w:szCs w:val="20"/>
                <w:color w:val="auto"/>
              </w:rPr>
            </w:pPr>
            <w:r>
              <w:rPr>
                <w:rFonts w:ascii="Arial" w:cs="Arial" w:eastAsia="Arial" w:hAnsi="Arial"/>
                <w:sz w:val="9"/>
                <w:szCs w:val="9"/>
                <w:color w:val="auto"/>
                <w:w w:val="78"/>
              </w:rPr>
              <w:t>$</w:t>
            </w:r>
          </w:p>
        </w:tc>
        <w:tc>
          <w:tcPr>
            <w:tcW w:w="480" w:type="dxa"/>
            <w:vAlign w:val="bottom"/>
          </w:tcPr>
          <w:p>
            <w:pPr>
              <w:jc w:val="right"/>
              <w:ind w:right="7"/>
              <w:spacing w:after="0"/>
              <w:rPr>
                <w:sz w:val="20"/>
                <w:szCs w:val="20"/>
                <w:color w:val="auto"/>
              </w:rPr>
            </w:pPr>
            <w:r>
              <w:rPr>
                <w:rFonts w:ascii="Arial" w:cs="Arial" w:eastAsia="Arial" w:hAnsi="Arial"/>
                <w:sz w:val="11"/>
                <w:szCs w:val="11"/>
                <w:color w:val="auto"/>
              </w:rPr>
              <w:t>(396)</w:t>
            </w:r>
          </w:p>
        </w:tc>
        <w:tc>
          <w:tcPr>
            <w:tcW w:w="100" w:type="dxa"/>
            <w:vAlign w:val="bottom"/>
          </w:tcPr>
          <w:p>
            <w:pPr>
              <w:spacing w:after="0"/>
              <w:rPr>
                <w:sz w:val="15"/>
                <w:szCs w:val="15"/>
                <w:color w:val="auto"/>
              </w:rPr>
            </w:pPr>
          </w:p>
        </w:tc>
        <w:tc>
          <w:tcPr>
            <w:tcW w:w="280" w:type="dxa"/>
            <w:vAlign w:val="bottom"/>
          </w:tcPr>
          <w:p>
            <w:pPr>
              <w:jc w:val="right"/>
              <w:ind w:right="173"/>
              <w:spacing w:after="0"/>
              <w:rPr>
                <w:sz w:val="20"/>
                <w:szCs w:val="20"/>
                <w:color w:val="auto"/>
              </w:rPr>
            </w:pPr>
            <w:r>
              <w:rPr>
                <w:rFonts w:ascii="Arial" w:cs="Arial" w:eastAsia="Arial" w:hAnsi="Arial"/>
                <w:sz w:val="9"/>
                <w:szCs w:val="9"/>
                <w:color w:val="auto"/>
                <w:w w:val="78"/>
              </w:rPr>
              <w:t>$</w:t>
            </w: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(373)</w:t>
            </w:r>
          </w:p>
        </w:tc>
      </w:tr>
      <w:tr>
        <w:trPr>
          <w:trHeight w:val="188"/>
        </w:trPr>
        <w:tc>
          <w:tcPr>
            <w:tcW w:w="7500" w:type="dxa"/>
            <w:vAlign w:val="bottom"/>
            <w:shd w:val="clear" w:color="auto" w:fill="CCEEFF"/>
          </w:tcPr>
          <w:p>
            <w:pPr>
              <w:ind w:left="20"/>
              <w:spacing w:after="0"/>
              <w:rPr>
                <w:sz w:val="20"/>
                <w:szCs w:val="20"/>
                <w:color w:val="auto"/>
              </w:rPr>
            </w:pPr>
            <w:r>
              <w:rPr>
                <w:rFonts w:ascii="Arial" w:cs="Arial" w:eastAsia="Arial" w:hAnsi="Arial"/>
                <w:sz w:val="11"/>
                <w:szCs w:val="11"/>
                <w:color w:val="auto"/>
              </w:rPr>
              <w:t>Adjustments to reconcile net loss to net cash provided by operating activities: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Amortization of premiums and discounts on mortgage-backed securities, net</w:t>
            </w:r>
          </w:p>
        </w:tc>
        <w:tc>
          <w:tcPr>
            <w:tcW w:w="720" w:type="dxa"/>
            <w:vAlign w:val="bottom"/>
          </w:tcPr>
          <w:p>
            <w:pPr>
              <w:spacing w:after="0"/>
              <w:rPr>
                <w:sz w:val="15"/>
                <w:szCs w:val="15"/>
                <w:color w:val="auto"/>
              </w:rPr>
            </w:pPr>
          </w:p>
        </w:tc>
        <w:tc>
          <w:tcPr>
            <w:tcW w:w="480" w:type="dxa"/>
            <w:vAlign w:val="bottom"/>
          </w:tcPr>
          <w:p>
            <w:pPr>
              <w:jc w:val="right"/>
              <w:ind w:right="47"/>
              <w:spacing w:after="0"/>
              <w:rPr>
                <w:sz w:val="20"/>
                <w:szCs w:val="20"/>
                <w:color w:val="auto"/>
              </w:rPr>
            </w:pPr>
            <w:r>
              <w:rPr>
                <w:rFonts w:ascii="Arial" w:cs="Arial" w:eastAsia="Arial" w:hAnsi="Arial"/>
                <w:sz w:val="11"/>
                <w:szCs w:val="11"/>
                <w:color w:val="auto"/>
              </w:rPr>
              <w:t>394</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47"/>
              <w:spacing w:after="0"/>
              <w:rPr>
                <w:sz w:val="20"/>
                <w:szCs w:val="20"/>
                <w:color w:val="auto"/>
              </w:rPr>
            </w:pPr>
            <w:r>
              <w:rPr>
                <w:rFonts w:ascii="Arial" w:cs="Arial" w:eastAsia="Arial" w:hAnsi="Arial"/>
                <w:sz w:val="11"/>
                <w:szCs w:val="11"/>
                <w:color w:val="auto"/>
              </w:rPr>
              <w:t>330</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Amortization of accumulated other comprehensive loss on interest rate swaps de-designated as qualifying hedges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38</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79</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Amortization of intangible assets</w:t>
            </w:r>
          </w:p>
        </w:tc>
        <w:tc>
          <w:tcPr>
            <w:tcW w:w="720" w:type="dxa"/>
            <w:vAlign w:val="bottom"/>
          </w:tcPr>
          <w:p>
            <w:pPr>
              <w:spacing w:after="0"/>
              <w:rPr>
                <w:sz w:val="15"/>
                <w:szCs w:val="15"/>
                <w:color w:val="auto"/>
              </w:rPr>
            </w:pPr>
          </w:p>
        </w:tc>
        <w:tc>
          <w:tcPr>
            <w:tcW w:w="480" w:type="dxa"/>
            <w:vAlign w:val="bottom"/>
          </w:tcPr>
          <w:p>
            <w:pPr>
              <w:jc w:val="right"/>
              <w:ind w:right="47"/>
              <w:spacing w:after="0"/>
              <w:rPr>
                <w:sz w:val="20"/>
                <w:szCs w:val="20"/>
                <w:color w:val="auto"/>
              </w:rPr>
            </w:pPr>
            <w:r>
              <w:rPr>
                <w:rFonts w:ascii="Arial" w:cs="Arial" w:eastAsia="Arial" w:hAnsi="Arial"/>
                <w:sz w:val="11"/>
                <w:szCs w:val="11"/>
                <w:color w:val="auto"/>
              </w:rPr>
              <w:t>1</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47"/>
              <w:spacing w:after="0"/>
              <w:rPr>
                <w:sz w:val="20"/>
                <w:szCs w:val="20"/>
                <w:color w:val="auto"/>
              </w:rPr>
            </w:pPr>
            <w:r>
              <w:rPr>
                <w:rFonts w:ascii="Arial" w:cs="Arial" w:eastAsia="Arial" w:hAnsi="Arial"/>
                <w:sz w:val="11"/>
                <w:szCs w:val="11"/>
                <w:color w:val="auto"/>
              </w:rPr>
              <w:t>—</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Stock based compensation</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1</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(Gain) loss on sale of mortgage-backed securities, net</w:t>
            </w:r>
          </w:p>
        </w:tc>
        <w:tc>
          <w:tcPr>
            <w:tcW w:w="720" w:type="dxa"/>
            <w:vAlign w:val="bottom"/>
          </w:tcPr>
          <w:p>
            <w:pPr>
              <w:spacing w:after="0"/>
              <w:rPr>
                <w:sz w:val="15"/>
                <w:szCs w:val="15"/>
                <w:color w:val="auto"/>
              </w:rPr>
            </w:pPr>
          </w:p>
        </w:tc>
        <w:tc>
          <w:tcPr>
            <w:tcW w:w="480" w:type="dxa"/>
            <w:vAlign w:val="bottom"/>
          </w:tcPr>
          <w:p>
            <w:pPr>
              <w:jc w:val="right"/>
              <w:ind w:right="7"/>
              <w:spacing w:after="0"/>
              <w:rPr>
                <w:sz w:val="20"/>
                <w:szCs w:val="20"/>
                <w:color w:val="auto"/>
              </w:rPr>
            </w:pPr>
            <w:r>
              <w:rPr>
                <w:rFonts w:ascii="Arial" w:cs="Arial" w:eastAsia="Arial" w:hAnsi="Arial"/>
                <w:sz w:val="11"/>
                <w:szCs w:val="11"/>
                <w:color w:val="auto"/>
              </w:rPr>
              <w:t>(114)</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47"/>
              <w:spacing w:after="0"/>
              <w:rPr>
                <w:sz w:val="20"/>
                <w:szCs w:val="20"/>
                <w:color w:val="auto"/>
              </w:rPr>
            </w:pPr>
            <w:r>
              <w:rPr>
                <w:rFonts w:ascii="Arial" w:cs="Arial" w:eastAsia="Arial" w:hAnsi="Arial"/>
                <w:sz w:val="11"/>
                <w:szCs w:val="11"/>
                <w:color w:val="auto"/>
              </w:rPr>
              <w:t>25</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Loss on derivative instruments and other securities, net</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1,058</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1,090</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(Increase) decrease in other assets</w:t>
            </w:r>
          </w:p>
        </w:tc>
        <w:tc>
          <w:tcPr>
            <w:tcW w:w="720" w:type="dxa"/>
            <w:vAlign w:val="bottom"/>
          </w:tcPr>
          <w:p>
            <w:pPr>
              <w:spacing w:after="0"/>
              <w:rPr>
                <w:sz w:val="15"/>
                <w:szCs w:val="15"/>
                <w:color w:val="auto"/>
              </w:rPr>
            </w:pPr>
          </w:p>
        </w:tc>
        <w:tc>
          <w:tcPr>
            <w:tcW w:w="480" w:type="dxa"/>
            <w:vAlign w:val="bottom"/>
          </w:tcPr>
          <w:p>
            <w:pPr>
              <w:jc w:val="right"/>
              <w:ind w:right="47"/>
              <w:spacing w:after="0"/>
              <w:rPr>
                <w:sz w:val="20"/>
                <w:szCs w:val="20"/>
                <w:color w:val="auto"/>
              </w:rPr>
            </w:pPr>
            <w:r>
              <w:rPr>
                <w:rFonts w:ascii="Arial" w:cs="Arial" w:eastAsia="Arial" w:hAnsi="Arial"/>
                <w:sz w:val="11"/>
                <w:szCs w:val="11"/>
                <w:color w:val="auto"/>
              </w:rPr>
              <w:t>37</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(73)</w:t>
            </w:r>
          </w:p>
        </w:tc>
      </w:tr>
      <w:tr>
        <w:trPr>
          <w:trHeight w:val="180"/>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Increase (decrease) in accounts payable and other accrued liabilities</w:t>
            </w:r>
          </w:p>
        </w:tc>
        <w:tc>
          <w:tcPr>
            <w:tcW w:w="720" w:type="dxa"/>
            <w:vAlign w:val="bottom"/>
            <w:tcBorders>
              <w:bottom w:val="single" w:sz="8" w:color="auto"/>
            </w:tcBorders>
            <w:shd w:val="clear" w:color="auto" w:fill="CCEEFF"/>
          </w:tcPr>
          <w:p>
            <w:pPr>
              <w:spacing w:after="0"/>
              <w:rPr>
                <w:sz w:val="15"/>
                <w:szCs w:val="15"/>
                <w:color w:val="auto"/>
              </w:rPr>
            </w:pPr>
          </w:p>
        </w:tc>
        <w:tc>
          <w:tcPr>
            <w:tcW w:w="480" w:type="dxa"/>
            <w:vAlign w:val="bottom"/>
            <w:tcBorders>
              <w:bottom w:val="single" w:sz="8" w:color="auto"/>
            </w:tcBorders>
            <w:shd w:val="clear" w:color="auto" w:fill="CCEEFF"/>
          </w:tcPr>
          <w:p>
            <w:pPr>
              <w:jc w:val="right"/>
              <w:ind w:right="47"/>
              <w:spacing w:after="0"/>
              <w:rPr>
                <w:sz w:val="20"/>
                <w:szCs w:val="20"/>
                <w:color w:val="auto"/>
              </w:rPr>
            </w:pPr>
            <w:r>
              <w:rPr>
                <w:rFonts w:ascii="Arial" w:cs="Arial" w:eastAsia="Arial" w:hAnsi="Arial"/>
                <w:sz w:val="11"/>
                <w:szCs w:val="11"/>
                <w:color w:val="auto"/>
              </w:rPr>
              <w:t>10</w:t>
            </w:r>
          </w:p>
        </w:tc>
        <w:tc>
          <w:tcPr>
            <w:tcW w:w="100" w:type="dxa"/>
            <w:vAlign w:val="bottom"/>
            <w:shd w:val="clear" w:color="auto" w:fill="CCEEFF"/>
          </w:tcPr>
          <w:p>
            <w:pPr>
              <w:spacing w:after="0"/>
              <w:rPr>
                <w:sz w:val="15"/>
                <w:szCs w:val="15"/>
                <w:color w:val="auto"/>
              </w:rPr>
            </w:pPr>
          </w:p>
        </w:tc>
        <w:tc>
          <w:tcPr>
            <w:tcW w:w="280" w:type="dxa"/>
            <w:vAlign w:val="bottom"/>
            <w:tcBorders>
              <w:bottom w:val="single" w:sz="8" w:color="auto"/>
            </w:tcBorders>
            <w:shd w:val="clear" w:color="auto" w:fill="CCEEFF"/>
          </w:tcPr>
          <w:p>
            <w:pPr>
              <w:spacing w:after="0"/>
              <w:rPr>
                <w:sz w:val="15"/>
                <w:szCs w:val="15"/>
                <w:color w:val="auto"/>
              </w:rPr>
            </w:pPr>
          </w:p>
        </w:tc>
        <w:tc>
          <w:tcPr>
            <w:tcW w:w="900" w:type="dxa"/>
            <w:vAlign w:val="bottom"/>
            <w:tcBorders>
              <w:bottom w:val="single" w:sz="8" w:color="auto"/>
            </w:tcBorders>
            <w:shd w:val="clear" w:color="auto" w:fill="CCEEFF"/>
          </w:tcPr>
          <w:p>
            <w:pPr>
              <w:jc w:val="right"/>
              <w:ind w:right="7"/>
              <w:spacing w:after="0"/>
              <w:rPr>
                <w:sz w:val="20"/>
                <w:szCs w:val="20"/>
                <w:color w:val="auto"/>
              </w:rPr>
            </w:pPr>
            <w:r>
              <w:rPr>
                <w:rFonts w:ascii="Arial" w:cs="Arial" w:eastAsia="Arial" w:hAnsi="Arial"/>
                <w:sz w:val="11"/>
                <w:szCs w:val="11"/>
                <w:color w:val="auto"/>
              </w:rPr>
              <w:t>(8)</w:t>
            </w:r>
          </w:p>
        </w:tc>
      </w:tr>
      <w:tr>
        <w:trPr>
          <w:trHeight w:val="160"/>
        </w:trPr>
        <w:tc>
          <w:tcPr>
            <w:tcW w:w="7500" w:type="dxa"/>
            <w:vAlign w:val="bottom"/>
            <w:tcBorders>
              <w:bottom w:val="single" w:sz="8" w:color="CCEEFF"/>
            </w:tcBorders>
          </w:tcPr>
          <w:p>
            <w:pPr>
              <w:ind w:left="20"/>
              <w:spacing w:after="0"/>
              <w:rPr>
                <w:sz w:val="20"/>
                <w:szCs w:val="20"/>
                <w:color w:val="auto"/>
              </w:rPr>
            </w:pPr>
            <w:r>
              <w:rPr>
                <w:rFonts w:ascii="Arial" w:cs="Arial" w:eastAsia="Arial" w:hAnsi="Arial"/>
                <w:sz w:val="11"/>
                <w:szCs w:val="11"/>
                <w:color w:val="auto"/>
              </w:rPr>
              <w:t>Net cash provided by operating activities</w:t>
            </w:r>
          </w:p>
        </w:tc>
        <w:tc>
          <w:tcPr>
            <w:tcW w:w="72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ind w:right="47"/>
              <w:spacing w:after="0"/>
              <w:rPr>
                <w:sz w:val="20"/>
                <w:szCs w:val="20"/>
                <w:color w:val="auto"/>
              </w:rPr>
            </w:pPr>
            <w:r>
              <w:rPr>
                <w:rFonts w:ascii="Arial" w:cs="Arial" w:eastAsia="Arial" w:hAnsi="Arial"/>
                <w:sz w:val="11"/>
                <w:szCs w:val="11"/>
                <w:color w:val="auto"/>
              </w:rPr>
              <w:t>1,029</w:t>
            </w:r>
          </w:p>
        </w:tc>
        <w:tc>
          <w:tcPr>
            <w:tcW w:w="100" w:type="dxa"/>
            <w:vAlign w:val="bottom"/>
            <w:tcBorders>
              <w:bottom w:val="single" w:sz="8" w:color="CCEEFF"/>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900" w:type="dxa"/>
            <w:vAlign w:val="bottom"/>
            <w:tcBorders>
              <w:bottom w:val="single" w:sz="8" w:color="auto"/>
            </w:tcBorders>
          </w:tcPr>
          <w:p>
            <w:pPr>
              <w:jc w:val="right"/>
              <w:ind w:right="47"/>
              <w:spacing w:after="0"/>
              <w:rPr>
                <w:sz w:val="20"/>
                <w:szCs w:val="20"/>
                <w:color w:val="auto"/>
              </w:rPr>
            </w:pPr>
            <w:r>
              <w:rPr>
                <w:rFonts w:ascii="Arial" w:cs="Arial" w:eastAsia="Arial" w:hAnsi="Arial"/>
                <w:sz w:val="11"/>
                <w:szCs w:val="11"/>
                <w:color w:val="auto"/>
              </w:rPr>
              <w:t>1,070</w:t>
            </w:r>
          </w:p>
        </w:tc>
      </w:tr>
      <w:tr>
        <w:trPr>
          <w:trHeight w:val="177"/>
        </w:trPr>
        <w:tc>
          <w:tcPr>
            <w:tcW w:w="7500" w:type="dxa"/>
            <w:vAlign w:val="bottom"/>
            <w:shd w:val="clear" w:color="auto" w:fill="CCEEFF"/>
          </w:tcPr>
          <w:p>
            <w:pPr>
              <w:ind w:left="20"/>
              <w:spacing w:after="0"/>
              <w:rPr>
                <w:sz w:val="20"/>
                <w:szCs w:val="20"/>
                <w:color w:val="auto"/>
              </w:rPr>
            </w:pPr>
            <w:r>
              <w:rPr>
                <w:rFonts w:ascii="Arial" w:cs="Arial" w:eastAsia="Arial" w:hAnsi="Arial"/>
                <w:sz w:val="11"/>
                <w:szCs w:val="11"/>
                <w:b w:val="1"/>
                <w:bCs w:val="1"/>
                <w:color w:val="auto"/>
              </w:rPr>
              <w:t>Investing activities:</w:t>
            </w:r>
          </w:p>
        </w:tc>
        <w:tc>
          <w:tcPr>
            <w:tcW w:w="720" w:type="dxa"/>
            <w:vAlign w:val="bottom"/>
            <w:shd w:val="clear" w:color="auto" w:fill="CCEEFF"/>
          </w:tcPr>
          <w:p>
            <w:pPr>
              <w:spacing w:after="0"/>
              <w:rPr>
                <w:sz w:val="15"/>
                <w:szCs w:val="15"/>
                <w:color w:val="auto"/>
              </w:rPr>
            </w:pPr>
          </w:p>
        </w:tc>
        <w:tc>
          <w:tcPr>
            <w:tcW w:w="4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900" w:type="dxa"/>
            <w:vAlign w:val="bottom"/>
            <w:shd w:val="clear" w:color="auto" w:fill="CCEEFF"/>
          </w:tcPr>
          <w:p>
            <w:pPr>
              <w:spacing w:after="0"/>
              <w:rPr>
                <w:sz w:val="15"/>
                <w:szCs w:val="15"/>
                <w:color w:val="auto"/>
              </w:rPr>
            </w:pP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Purchases of mortgage-backed securities</w:t>
            </w:r>
          </w:p>
        </w:tc>
        <w:tc>
          <w:tcPr>
            <w:tcW w:w="720" w:type="dxa"/>
            <w:vAlign w:val="bottom"/>
          </w:tcPr>
          <w:p>
            <w:pPr>
              <w:spacing w:after="0"/>
              <w:rPr>
                <w:sz w:val="15"/>
                <w:szCs w:val="15"/>
                <w:color w:val="auto"/>
              </w:rPr>
            </w:pPr>
          </w:p>
        </w:tc>
        <w:tc>
          <w:tcPr>
            <w:tcW w:w="480" w:type="dxa"/>
            <w:vAlign w:val="bottom"/>
          </w:tcPr>
          <w:p>
            <w:pPr>
              <w:jc w:val="right"/>
              <w:ind w:right="7"/>
              <w:spacing w:after="0"/>
              <w:rPr>
                <w:sz w:val="20"/>
                <w:szCs w:val="20"/>
                <w:color w:val="auto"/>
              </w:rPr>
            </w:pPr>
            <w:r>
              <w:rPr>
                <w:rFonts w:ascii="Arial" w:cs="Arial" w:eastAsia="Arial" w:hAnsi="Arial"/>
                <w:sz w:val="11"/>
                <w:szCs w:val="11"/>
                <w:color w:val="auto"/>
                <w:w w:val="97"/>
              </w:rPr>
              <w:t>(17,275)</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(23,792)</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Proceeds from sale of mortgage-backed securities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17,032</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22,615</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Principal collections on mortgage-backed securities</w:t>
            </w:r>
          </w:p>
        </w:tc>
        <w:tc>
          <w:tcPr>
            <w:tcW w:w="720" w:type="dxa"/>
            <w:vAlign w:val="bottom"/>
          </w:tcPr>
          <w:p>
            <w:pPr>
              <w:spacing w:after="0"/>
              <w:rPr>
                <w:sz w:val="15"/>
                <w:szCs w:val="15"/>
                <w:color w:val="auto"/>
              </w:rPr>
            </w:pPr>
          </w:p>
        </w:tc>
        <w:tc>
          <w:tcPr>
            <w:tcW w:w="480" w:type="dxa"/>
            <w:vAlign w:val="bottom"/>
          </w:tcPr>
          <w:p>
            <w:pPr>
              <w:jc w:val="right"/>
              <w:ind w:right="47"/>
              <w:spacing w:after="0"/>
              <w:rPr>
                <w:sz w:val="20"/>
                <w:szCs w:val="20"/>
                <w:color w:val="auto"/>
              </w:rPr>
            </w:pPr>
            <w:r>
              <w:rPr>
                <w:rFonts w:ascii="Arial" w:cs="Arial" w:eastAsia="Arial" w:hAnsi="Arial"/>
                <w:sz w:val="11"/>
                <w:szCs w:val="11"/>
                <w:color w:val="auto"/>
              </w:rPr>
              <w:t>5,997</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47"/>
              <w:spacing w:after="0"/>
              <w:rPr>
                <w:sz w:val="20"/>
                <w:szCs w:val="20"/>
                <w:color w:val="auto"/>
              </w:rPr>
            </w:pPr>
            <w:r>
              <w:rPr>
                <w:rFonts w:ascii="Arial" w:cs="Arial" w:eastAsia="Arial" w:hAnsi="Arial"/>
                <w:sz w:val="11"/>
                <w:szCs w:val="11"/>
                <w:color w:val="auto"/>
              </w:rPr>
              <w:t>6,177</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Purchases of credit risk transfer securities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(36)</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Purchases of U.S. Treasury securities</w:t>
            </w:r>
          </w:p>
        </w:tc>
        <w:tc>
          <w:tcPr>
            <w:tcW w:w="720" w:type="dxa"/>
            <w:vAlign w:val="bottom"/>
          </w:tcPr>
          <w:p>
            <w:pPr>
              <w:spacing w:after="0"/>
              <w:rPr>
                <w:sz w:val="15"/>
                <w:szCs w:val="15"/>
                <w:color w:val="auto"/>
              </w:rPr>
            </w:pPr>
          </w:p>
        </w:tc>
        <w:tc>
          <w:tcPr>
            <w:tcW w:w="480" w:type="dxa"/>
            <w:vAlign w:val="bottom"/>
          </w:tcPr>
          <w:p>
            <w:pPr>
              <w:jc w:val="right"/>
              <w:ind w:right="7"/>
              <w:spacing w:after="0"/>
              <w:rPr>
                <w:sz w:val="20"/>
                <w:szCs w:val="20"/>
                <w:color w:val="auto"/>
              </w:rPr>
            </w:pPr>
            <w:r>
              <w:rPr>
                <w:rFonts w:ascii="Arial" w:cs="Arial" w:eastAsia="Arial" w:hAnsi="Arial"/>
                <w:sz w:val="11"/>
                <w:szCs w:val="11"/>
                <w:color w:val="auto"/>
              </w:rPr>
              <w:t>(2,178)</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(46,774)</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Proceeds from sale of U.S. Treasury securities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5,741</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44,237</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Net proceeds from (payments on) reverse repurchase agreements</w:t>
            </w:r>
          </w:p>
        </w:tc>
        <w:tc>
          <w:tcPr>
            <w:tcW w:w="720" w:type="dxa"/>
            <w:vAlign w:val="bottom"/>
          </w:tcPr>
          <w:p>
            <w:pPr>
              <w:spacing w:after="0"/>
              <w:rPr>
                <w:sz w:val="15"/>
                <w:szCs w:val="15"/>
                <w:color w:val="auto"/>
              </w:rPr>
            </w:pPr>
          </w:p>
        </w:tc>
        <w:tc>
          <w:tcPr>
            <w:tcW w:w="480" w:type="dxa"/>
            <w:vAlign w:val="bottom"/>
          </w:tcPr>
          <w:p>
            <w:pPr>
              <w:jc w:val="right"/>
              <w:ind w:right="7"/>
              <w:spacing w:after="0"/>
              <w:rPr>
                <w:sz w:val="20"/>
                <w:szCs w:val="20"/>
                <w:color w:val="auto"/>
              </w:rPr>
            </w:pPr>
            <w:r>
              <w:rPr>
                <w:rFonts w:ascii="Arial" w:cs="Arial" w:eastAsia="Arial" w:hAnsi="Arial"/>
                <w:sz w:val="11"/>
                <w:szCs w:val="11"/>
                <w:color w:val="auto"/>
              </w:rPr>
              <w:t>(3,728)</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47"/>
              <w:spacing w:after="0"/>
              <w:rPr>
                <w:sz w:val="20"/>
                <w:szCs w:val="20"/>
                <w:color w:val="auto"/>
              </w:rPr>
            </w:pPr>
            <w:r>
              <w:rPr>
                <w:rFonts w:ascii="Arial" w:cs="Arial" w:eastAsia="Arial" w:hAnsi="Arial"/>
                <w:sz w:val="11"/>
                <w:szCs w:val="11"/>
                <w:color w:val="auto"/>
              </w:rPr>
              <w:t>3,755</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Net payments on other derivative instruments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(892)</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(85)</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Purchases of REIT equity securities</w:t>
            </w:r>
          </w:p>
        </w:tc>
        <w:tc>
          <w:tcPr>
            <w:tcW w:w="720" w:type="dxa"/>
            <w:vAlign w:val="bottom"/>
          </w:tcPr>
          <w:p>
            <w:pPr>
              <w:spacing w:after="0"/>
              <w:rPr>
                <w:sz w:val="15"/>
                <w:szCs w:val="15"/>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1"/>
                <w:szCs w:val="11"/>
                <w:color w:val="auto"/>
              </w:rPr>
              <w:t>—</w:t>
            </w:r>
          </w:p>
        </w:tc>
        <w:tc>
          <w:tcPr>
            <w:tcW w:w="280" w:type="dxa"/>
            <w:vAlign w:val="bottom"/>
          </w:tcPr>
          <w:p>
            <w:pPr>
              <w:spacing w:after="0"/>
              <w:rPr>
                <w:sz w:val="15"/>
                <w:szCs w:val="15"/>
                <w:color w:val="auto"/>
              </w:rPr>
            </w:pP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(11)</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Proceeds from sale of REIT equity securities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39</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35</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Purchase of AGNC Mortgage Management, LLC, net of cash acquired</w:t>
            </w:r>
          </w:p>
        </w:tc>
        <w:tc>
          <w:tcPr>
            <w:tcW w:w="720" w:type="dxa"/>
            <w:vAlign w:val="bottom"/>
          </w:tcPr>
          <w:p>
            <w:pPr>
              <w:spacing w:after="0"/>
              <w:rPr>
                <w:sz w:val="15"/>
                <w:szCs w:val="15"/>
                <w:color w:val="auto"/>
              </w:rPr>
            </w:pPr>
          </w:p>
        </w:tc>
        <w:tc>
          <w:tcPr>
            <w:tcW w:w="480" w:type="dxa"/>
            <w:vAlign w:val="bottom"/>
          </w:tcPr>
          <w:p>
            <w:pPr>
              <w:jc w:val="right"/>
              <w:ind w:right="7"/>
              <w:spacing w:after="0"/>
              <w:rPr>
                <w:sz w:val="20"/>
                <w:szCs w:val="20"/>
                <w:color w:val="auto"/>
              </w:rPr>
            </w:pPr>
            <w:r>
              <w:rPr>
                <w:rFonts w:ascii="Arial" w:cs="Arial" w:eastAsia="Arial" w:hAnsi="Arial"/>
                <w:sz w:val="11"/>
                <w:szCs w:val="11"/>
                <w:color w:val="auto"/>
              </w:rPr>
              <w:t>(555)</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47"/>
              <w:spacing w:after="0"/>
              <w:rPr>
                <w:sz w:val="20"/>
                <w:szCs w:val="20"/>
                <w:color w:val="auto"/>
              </w:rPr>
            </w:pPr>
            <w:r>
              <w:rPr>
                <w:rFonts w:ascii="Arial" w:cs="Arial" w:eastAsia="Arial" w:hAnsi="Arial"/>
                <w:sz w:val="11"/>
                <w:szCs w:val="11"/>
                <w:color w:val="auto"/>
              </w:rPr>
              <w:t>—</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(Increase) decrease in restricted cash and cash equivalents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577</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(700)</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Other investing cash flows, net</w:t>
            </w:r>
          </w:p>
        </w:tc>
        <w:tc>
          <w:tcPr>
            <w:tcW w:w="720" w:type="dxa"/>
            <w:vAlign w:val="bottom"/>
          </w:tcPr>
          <w:p>
            <w:pPr>
              <w:spacing w:after="0"/>
              <w:rPr>
                <w:sz w:val="15"/>
                <w:szCs w:val="15"/>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1"/>
                <w:szCs w:val="11"/>
                <w:color w:val="auto"/>
              </w:rPr>
              <w:t>—</w:t>
            </w:r>
          </w:p>
        </w:tc>
        <w:tc>
          <w:tcPr>
            <w:tcW w:w="280" w:type="dxa"/>
            <w:vAlign w:val="bottom"/>
          </w:tcPr>
          <w:p>
            <w:pPr>
              <w:spacing w:after="0"/>
              <w:rPr>
                <w:sz w:val="15"/>
                <w:szCs w:val="15"/>
                <w:color w:val="auto"/>
              </w:rPr>
            </w:pP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(28)</w:t>
            </w:r>
          </w:p>
        </w:tc>
      </w:tr>
      <w:tr>
        <w:trPr>
          <w:trHeight w:val="168"/>
        </w:trPr>
        <w:tc>
          <w:tcPr>
            <w:tcW w:w="750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Net cash provided by investing activities</w:t>
            </w:r>
          </w:p>
        </w:tc>
        <w:tc>
          <w:tcPr>
            <w:tcW w:w="720" w:type="dxa"/>
            <w:vAlign w:val="bottom"/>
            <w:tcBorders>
              <w:top w:val="single" w:sz="8" w:color="auto"/>
              <w:bottom w:val="single" w:sz="8" w:color="auto"/>
            </w:tcBorders>
            <w:shd w:val="clear" w:color="auto" w:fill="CCEEFF"/>
          </w:tcPr>
          <w:p>
            <w:pPr>
              <w:spacing w:after="0"/>
              <w:rPr>
                <w:sz w:val="14"/>
                <w:szCs w:val="14"/>
                <w:color w:val="auto"/>
              </w:rPr>
            </w:pPr>
          </w:p>
        </w:tc>
        <w:tc>
          <w:tcPr>
            <w:tcW w:w="480" w:type="dxa"/>
            <w:vAlign w:val="bottom"/>
            <w:tcBorders>
              <w:top w:val="single" w:sz="8" w:color="auto"/>
              <w:bottom w:val="single" w:sz="8" w:color="auto"/>
            </w:tcBorders>
            <w:shd w:val="clear" w:color="auto" w:fill="CCEEFF"/>
          </w:tcPr>
          <w:p>
            <w:pPr>
              <w:jc w:val="right"/>
              <w:ind w:right="47"/>
              <w:spacing w:after="0"/>
              <w:rPr>
                <w:sz w:val="20"/>
                <w:szCs w:val="20"/>
                <w:color w:val="auto"/>
              </w:rPr>
            </w:pPr>
            <w:r>
              <w:rPr>
                <w:rFonts w:ascii="Arial" w:cs="Arial" w:eastAsia="Arial" w:hAnsi="Arial"/>
                <w:sz w:val="11"/>
                <w:szCs w:val="11"/>
                <w:color w:val="auto"/>
              </w:rPr>
              <w:t>4,722</w:t>
            </w:r>
          </w:p>
        </w:tc>
        <w:tc>
          <w:tcPr>
            <w:tcW w:w="100" w:type="dxa"/>
            <w:vAlign w:val="bottom"/>
            <w:tcBorders>
              <w:top w:val="single" w:sz="8" w:color="CCEEFF"/>
            </w:tcBorders>
            <w:shd w:val="clear" w:color="auto" w:fill="CCEEFF"/>
          </w:tcPr>
          <w:p>
            <w:pPr>
              <w:spacing w:after="0"/>
              <w:rPr>
                <w:sz w:val="14"/>
                <w:szCs w:val="14"/>
                <w:color w:val="auto"/>
              </w:rPr>
            </w:pPr>
          </w:p>
        </w:tc>
        <w:tc>
          <w:tcPr>
            <w:tcW w:w="280" w:type="dxa"/>
            <w:vAlign w:val="bottom"/>
            <w:tcBorders>
              <w:top w:val="single" w:sz="8" w:color="auto"/>
              <w:bottom w:val="single" w:sz="8" w:color="auto"/>
            </w:tcBorders>
            <w:shd w:val="clear" w:color="auto" w:fill="CCEEFF"/>
          </w:tcPr>
          <w:p>
            <w:pPr>
              <w:spacing w:after="0"/>
              <w:rPr>
                <w:sz w:val="14"/>
                <w:szCs w:val="14"/>
                <w:color w:val="auto"/>
              </w:rPr>
            </w:pPr>
          </w:p>
        </w:tc>
        <w:tc>
          <w:tcPr>
            <w:tcW w:w="900" w:type="dxa"/>
            <w:vAlign w:val="bottom"/>
            <w:tcBorders>
              <w:top w:val="single" w:sz="8" w:color="auto"/>
              <w:bottom w:val="single" w:sz="8" w:color="auto"/>
            </w:tcBorders>
            <w:shd w:val="clear" w:color="auto" w:fill="CCEEFF"/>
          </w:tcPr>
          <w:p>
            <w:pPr>
              <w:jc w:val="right"/>
              <w:ind w:right="47"/>
              <w:spacing w:after="0"/>
              <w:rPr>
                <w:sz w:val="20"/>
                <w:szCs w:val="20"/>
                <w:color w:val="auto"/>
              </w:rPr>
            </w:pPr>
            <w:r>
              <w:rPr>
                <w:rFonts w:ascii="Arial" w:cs="Arial" w:eastAsia="Arial" w:hAnsi="Arial"/>
                <w:sz w:val="11"/>
                <w:szCs w:val="11"/>
                <w:color w:val="auto"/>
              </w:rPr>
              <w:t>5,429</w:t>
            </w:r>
          </w:p>
        </w:tc>
      </w:tr>
      <w:tr>
        <w:trPr>
          <w:trHeight w:val="162"/>
        </w:trPr>
        <w:tc>
          <w:tcPr>
            <w:tcW w:w="7500" w:type="dxa"/>
            <w:vAlign w:val="bottom"/>
          </w:tcPr>
          <w:p>
            <w:pPr>
              <w:ind w:left="20"/>
              <w:spacing w:after="0"/>
              <w:rPr>
                <w:sz w:val="20"/>
                <w:szCs w:val="20"/>
                <w:color w:val="auto"/>
              </w:rPr>
            </w:pPr>
            <w:r>
              <w:rPr>
                <w:rFonts w:ascii="Arial" w:cs="Arial" w:eastAsia="Arial" w:hAnsi="Arial"/>
                <w:sz w:val="11"/>
                <w:szCs w:val="11"/>
                <w:b w:val="1"/>
                <w:bCs w:val="1"/>
                <w:color w:val="auto"/>
              </w:rPr>
              <w:t>Financing activities:</w:t>
            </w:r>
          </w:p>
        </w:tc>
        <w:tc>
          <w:tcPr>
            <w:tcW w:w="7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900" w:type="dxa"/>
            <w:vAlign w:val="bottom"/>
          </w:tcPr>
          <w:p>
            <w:pPr>
              <w:spacing w:after="0"/>
              <w:rPr>
                <w:sz w:val="14"/>
                <w:szCs w:val="14"/>
                <w:color w:val="auto"/>
              </w:rPr>
            </w:pP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Proceeds from repurchase arrangements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w w:val="90"/>
              </w:rPr>
              <w:t>196,015</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317,718</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Payments on repurchase agreements</w:t>
            </w:r>
          </w:p>
        </w:tc>
        <w:tc>
          <w:tcPr>
            <w:tcW w:w="720" w:type="dxa"/>
            <w:vAlign w:val="bottom"/>
          </w:tcPr>
          <w:p>
            <w:pPr>
              <w:spacing w:after="0"/>
              <w:rPr>
                <w:sz w:val="15"/>
                <w:szCs w:val="15"/>
                <w:color w:val="auto"/>
              </w:rPr>
            </w:pPr>
          </w:p>
        </w:tc>
        <w:tc>
          <w:tcPr>
            <w:tcW w:w="480" w:type="dxa"/>
            <w:vAlign w:val="bottom"/>
          </w:tcPr>
          <w:p>
            <w:pPr>
              <w:jc w:val="right"/>
              <w:ind w:right="7"/>
              <w:spacing w:after="0"/>
              <w:rPr>
                <w:sz w:val="20"/>
                <w:szCs w:val="20"/>
                <w:color w:val="auto"/>
              </w:rPr>
            </w:pPr>
            <w:r>
              <w:rPr>
                <w:rFonts w:ascii="Arial" w:cs="Arial" w:eastAsia="Arial" w:hAnsi="Arial"/>
                <w:sz w:val="11"/>
                <w:szCs w:val="11"/>
                <w:color w:val="auto"/>
                <w:w w:val="84"/>
              </w:rPr>
              <w:t>(200,078)</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(327,000)</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Proceeds from Federal Home Loan Bank advances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2,098</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5,437</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Payments on Federal Home Loan Bank advances</w:t>
            </w:r>
          </w:p>
        </w:tc>
        <w:tc>
          <w:tcPr>
            <w:tcW w:w="720" w:type="dxa"/>
            <w:vAlign w:val="bottom"/>
          </w:tcPr>
          <w:p>
            <w:pPr>
              <w:spacing w:after="0"/>
              <w:rPr>
                <w:sz w:val="15"/>
                <w:szCs w:val="15"/>
                <w:color w:val="auto"/>
              </w:rPr>
            </w:pPr>
          </w:p>
        </w:tc>
        <w:tc>
          <w:tcPr>
            <w:tcW w:w="480" w:type="dxa"/>
            <w:vAlign w:val="bottom"/>
          </w:tcPr>
          <w:p>
            <w:pPr>
              <w:jc w:val="right"/>
              <w:ind w:right="7"/>
              <w:spacing w:after="0"/>
              <w:rPr>
                <w:sz w:val="20"/>
                <w:szCs w:val="20"/>
                <w:color w:val="auto"/>
              </w:rPr>
            </w:pPr>
            <w:r>
              <w:rPr>
                <w:rFonts w:ascii="Arial" w:cs="Arial" w:eastAsia="Arial" w:hAnsi="Arial"/>
                <w:sz w:val="11"/>
                <w:szCs w:val="11"/>
                <w:color w:val="auto"/>
              </w:rPr>
              <w:t>(2,814)</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(1,935)</w:t>
            </w:r>
          </w:p>
        </w:tc>
      </w:tr>
      <w:tr>
        <w:trPr>
          <w:trHeight w:val="188"/>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Payments on debt of consolidated variable interest entities</w:t>
            </w:r>
          </w:p>
        </w:tc>
        <w:tc>
          <w:tcPr>
            <w:tcW w:w="720" w:type="dxa"/>
            <w:vAlign w:val="bottom"/>
            <w:shd w:val="clear" w:color="auto" w:fill="CCEEFF"/>
          </w:tcPr>
          <w:p>
            <w:pPr>
              <w:spacing w:after="0"/>
              <w:rPr>
                <w:sz w:val="16"/>
                <w:szCs w:val="16"/>
                <w:color w:val="auto"/>
              </w:rPr>
            </w:pPr>
          </w:p>
        </w:tc>
        <w:tc>
          <w:tcPr>
            <w:tcW w:w="48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(100)</w:t>
            </w: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(121)</w:t>
            </w:r>
          </w:p>
        </w:tc>
      </w:tr>
      <w:tr>
        <w:trPr>
          <w:trHeight w:val="173"/>
        </w:trPr>
        <w:tc>
          <w:tcPr>
            <w:tcW w:w="7500" w:type="dxa"/>
            <w:vAlign w:val="bottom"/>
          </w:tcPr>
          <w:p>
            <w:pPr>
              <w:ind w:left="260"/>
              <w:spacing w:after="0"/>
              <w:rPr>
                <w:sz w:val="20"/>
                <w:szCs w:val="20"/>
                <w:color w:val="auto"/>
              </w:rPr>
            </w:pPr>
            <w:r>
              <w:rPr>
                <w:rFonts w:ascii="Arial" w:cs="Arial" w:eastAsia="Arial" w:hAnsi="Arial"/>
                <w:sz w:val="11"/>
                <w:szCs w:val="11"/>
                <w:color w:val="auto"/>
              </w:rPr>
              <w:t>Payments for common stock repurchases</w:t>
            </w:r>
          </w:p>
        </w:tc>
        <w:tc>
          <w:tcPr>
            <w:tcW w:w="720" w:type="dxa"/>
            <w:vAlign w:val="bottom"/>
          </w:tcPr>
          <w:p>
            <w:pPr>
              <w:spacing w:after="0"/>
              <w:rPr>
                <w:sz w:val="15"/>
                <w:szCs w:val="15"/>
                <w:color w:val="auto"/>
              </w:rPr>
            </w:pPr>
          </w:p>
        </w:tc>
        <w:tc>
          <w:tcPr>
            <w:tcW w:w="480" w:type="dxa"/>
            <w:vAlign w:val="bottom"/>
          </w:tcPr>
          <w:p>
            <w:pPr>
              <w:jc w:val="right"/>
              <w:ind w:right="7"/>
              <w:spacing w:after="0"/>
              <w:rPr>
                <w:sz w:val="20"/>
                <w:szCs w:val="20"/>
                <w:color w:val="auto"/>
              </w:rPr>
            </w:pPr>
            <w:r>
              <w:rPr>
                <w:rFonts w:ascii="Arial" w:cs="Arial" w:eastAsia="Arial" w:hAnsi="Arial"/>
                <w:sz w:val="11"/>
                <w:szCs w:val="11"/>
                <w:color w:val="auto"/>
              </w:rPr>
              <w:t>(116)</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900" w:type="dxa"/>
            <w:vAlign w:val="bottom"/>
          </w:tcPr>
          <w:p>
            <w:pPr>
              <w:jc w:val="right"/>
              <w:ind w:right="7"/>
              <w:spacing w:after="0"/>
              <w:rPr>
                <w:sz w:val="20"/>
                <w:szCs w:val="20"/>
                <w:color w:val="auto"/>
              </w:rPr>
            </w:pPr>
            <w:r>
              <w:rPr>
                <w:rFonts w:ascii="Arial" w:cs="Arial" w:eastAsia="Arial" w:hAnsi="Arial"/>
                <w:sz w:val="11"/>
                <w:szCs w:val="11"/>
                <w:color w:val="auto"/>
              </w:rPr>
              <w:t>(124)</w:t>
            </w:r>
          </w:p>
        </w:tc>
      </w:tr>
      <w:tr>
        <w:trPr>
          <w:trHeight w:val="180"/>
        </w:trPr>
        <w:tc>
          <w:tcPr>
            <w:tcW w:w="7500" w:type="dxa"/>
            <w:vAlign w:val="bottom"/>
            <w:shd w:val="clear" w:color="auto" w:fill="CCEEFF"/>
          </w:tcPr>
          <w:p>
            <w:pPr>
              <w:ind w:left="260"/>
              <w:spacing w:after="0"/>
              <w:rPr>
                <w:sz w:val="20"/>
                <w:szCs w:val="20"/>
                <w:color w:val="auto"/>
              </w:rPr>
            </w:pPr>
            <w:r>
              <w:rPr>
                <w:rFonts w:ascii="Arial" w:cs="Arial" w:eastAsia="Arial" w:hAnsi="Arial"/>
                <w:sz w:val="11"/>
                <w:szCs w:val="11"/>
                <w:color w:val="auto"/>
              </w:rPr>
              <w:t>Cash dividends paid</w:t>
            </w:r>
          </w:p>
        </w:tc>
        <w:tc>
          <w:tcPr>
            <w:tcW w:w="720" w:type="dxa"/>
            <w:vAlign w:val="bottom"/>
            <w:tcBorders>
              <w:bottom w:val="single" w:sz="8" w:color="auto"/>
            </w:tcBorders>
            <w:shd w:val="clear" w:color="auto" w:fill="CCEEFF"/>
          </w:tcPr>
          <w:p>
            <w:pPr>
              <w:spacing w:after="0"/>
              <w:rPr>
                <w:sz w:val="15"/>
                <w:szCs w:val="15"/>
                <w:color w:val="auto"/>
              </w:rPr>
            </w:pPr>
          </w:p>
        </w:tc>
        <w:tc>
          <w:tcPr>
            <w:tcW w:w="480" w:type="dxa"/>
            <w:vAlign w:val="bottom"/>
            <w:tcBorders>
              <w:bottom w:val="single" w:sz="8" w:color="auto"/>
            </w:tcBorders>
            <w:shd w:val="clear" w:color="auto" w:fill="CCEEFF"/>
          </w:tcPr>
          <w:p>
            <w:pPr>
              <w:jc w:val="right"/>
              <w:ind w:right="7"/>
              <w:spacing w:after="0"/>
              <w:rPr>
                <w:sz w:val="20"/>
                <w:szCs w:val="20"/>
                <w:color w:val="auto"/>
              </w:rPr>
            </w:pPr>
            <w:r>
              <w:rPr>
                <w:rFonts w:ascii="Arial" w:cs="Arial" w:eastAsia="Arial" w:hAnsi="Arial"/>
                <w:sz w:val="11"/>
                <w:szCs w:val="11"/>
                <w:color w:val="auto"/>
              </w:rPr>
              <w:t>(612)</w:t>
            </w:r>
          </w:p>
        </w:tc>
        <w:tc>
          <w:tcPr>
            <w:tcW w:w="100" w:type="dxa"/>
            <w:vAlign w:val="bottom"/>
            <w:shd w:val="clear" w:color="auto" w:fill="CCEEFF"/>
          </w:tcPr>
          <w:p>
            <w:pPr>
              <w:spacing w:after="0"/>
              <w:rPr>
                <w:sz w:val="15"/>
                <w:szCs w:val="15"/>
                <w:color w:val="auto"/>
              </w:rPr>
            </w:pPr>
          </w:p>
        </w:tc>
        <w:tc>
          <w:tcPr>
            <w:tcW w:w="280" w:type="dxa"/>
            <w:vAlign w:val="bottom"/>
            <w:tcBorders>
              <w:bottom w:val="single" w:sz="8" w:color="auto"/>
            </w:tcBorders>
            <w:shd w:val="clear" w:color="auto" w:fill="CCEEFF"/>
          </w:tcPr>
          <w:p>
            <w:pPr>
              <w:spacing w:after="0"/>
              <w:rPr>
                <w:sz w:val="15"/>
                <w:szCs w:val="15"/>
                <w:color w:val="auto"/>
              </w:rPr>
            </w:pPr>
          </w:p>
        </w:tc>
        <w:tc>
          <w:tcPr>
            <w:tcW w:w="900" w:type="dxa"/>
            <w:vAlign w:val="bottom"/>
            <w:tcBorders>
              <w:bottom w:val="single" w:sz="8" w:color="auto"/>
            </w:tcBorders>
            <w:shd w:val="clear" w:color="auto" w:fill="CCEEFF"/>
          </w:tcPr>
          <w:p>
            <w:pPr>
              <w:jc w:val="right"/>
              <w:ind w:right="7"/>
              <w:spacing w:after="0"/>
              <w:rPr>
                <w:sz w:val="20"/>
                <w:szCs w:val="20"/>
                <w:color w:val="auto"/>
              </w:rPr>
            </w:pPr>
            <w:r>
              <w:rPr>
                <w:rFonts w:ascii="Arial" w:cs="Arial" w:eastAsia="Arial" w:hAnsi="Arial"/>
                <w:sz w:val="11"/>
                <w:szCs w:val="11"/>
                <w:color w:val="auto"/>
              </w:rPr>
              <w:t>(689)</w:t>
            </w:r>
          </w:p>
        </w:tc>
      </w:tr>
      <w:tr>
        <w:trPr>
          <w:trHeight w:val="160"/>
        </w:trPr>
        <w:tc>
          <w:tcPr>
            <w:tcW w:w="7500" w:type="dxa"/>
            <w:vAlign w:val="bottom"/>
            <w:tcBorders>
              <w:bottom w:val="single" w:sz="8" w:color="CCEEFF"/>
            </w:tcBorders>
          </w:tcPr>
          <w:p>
            <w:pPr>
              <w:ind w:left="20"/>
              <w:spacing w:after="0"/>
              <w:rPr>
                <w:sz w:val="20"/>
                <w:szCs w:val="20"/>
                <w:color w:val="auto"/>
              </w:rPr>
            </w:pPr>
            <w:r>
              <w:rPr>
                <w:rFonts w:ascii="Arial" w:cs="Arial" w:eastAsia="Arial" w:hAnsi="Arial"/>
                <w:sz w:val="11"/>
                <w:szCs w:val="11"/>
                <w:color w:val="auto"/>
              </w:rPr>
              <w:t>Net cash used in financing activities</w:t>
            </w:r>
          </w:p>
        </w:tc>
        <w:tc>
          <w:tcPr>
            <w:tcW w:w="72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ind w:right="7"/>
              <w:spacing w:after="0"/>
              <w:rPr>
                <w:sz w:val="20"/>
                <w:szCs w:val="20"/>
                <w:color w:val="auto"/>
              </w:rPr>
            </w:pPr>
            <w:r>
              <w:rPr>
                <w:rFonts w:ascii="Arial" w:cs="Arial" w:eastAsia="Arial" w:hAnsi="Arial"/>
                <w:sz w:val="11"/>
                <w:szCs w:val="11"/>
                <w:color w:val="auto"/>
              </w:rPr>
              <w:t>(5,607)</w:t>
            </w:r>
          </w:p>
        </w:tc>
        <w:tc>
          <w:tcPr>
            <w:tcW w:w="100" w:type="dxa"/>
            <w:vAlign w:val="bottom"/>
            <w:tcBorders>
              <w:bottom w:val="single" w:sz="8" w:color="CCEEFF"/>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900" w:type="dxa"/>
            <w:vAlign w:val="bottom"/>
            <w:tcBorders>
              <w:bottom w:val="single" w:sz="8" w:color="auto"/>
            </w:tcBorders>
          </w:tcPr>
          <w:p>
            <w:pPr>
              <w:jc w:val="right"/>
              <w:ind w:right="7"/>
              <w:spacing w:after="0"/>
              <w:rPr>
                <w:sz w:val="20"/>
                <w:szCs w:val="20"/>
                <w:color w:val="auto"/>
              </w:rPr>
            </w:pPr>
            <w:r>
              <w:rPr>
                <w:rFonts w:ascii="Arial" w:cs="Arial" w:eastAsia="Arial" w:hAnsi="Arial"/>
                <w:sz w:val="11"/>
                <w:szCs w:val="11"/>
                <w:color w:val="auto"/>
              </w:rPr>
              <w:t>(6,714)</w:t>
            </w:r>
          </w:p>
        </w:tc>
      </w:tr>
      <w:tr>
        <w:trPr>
          <w:trHeight w:val="168"/>
        </w:trPr>
        <w:tc>
          <w:tcPr>
            <w:tcW w:w="7500" w:type="dxa"/>
            <w:vAlign w:val="bottom"/>
            <w:shd w:val="clear" w:color="auto" w:fill="CCEEFF"/>
          </w:tcPr>
          <w:p>
            <w:pPr>
              <w:ind w:left="20"/>
              <w:spacing w:after="0"/>
              <w:rPr>
                <w:sz w:val="20"/>
                <w:szCs w:val="20"/>
                <w:color w:val="auto"/>
              </w:rPr>
            </w:pPr>
            <w:r>
              <w:rPr>
                <w:rFonts w:ascii="Arial" w:cs="Arial" w:eastAsia="Arial" w:hAnsi="Arial"/>
                <w:sz w:val="11"/>
                <w:szCs w:val="11"/>
                <w:color w:val="auto"/>
              </w:rPr>
              <w:t>Net change in cash and cash equivalents</w:t>
            </w:r>
          </w:p>
        </w:tc>
        <w:tc>
          <w:tcPr>
            <w:tcW w:w="720" w:type="dxa"/>
            <w:vAlign w:val="bottom"/>
            <w:shd w:val="clear" w:color="auto" w:fill="CCEEFF"/>
          </w:tcPr>
          <w:p>
            <w:pPr>
              <w:spacing w:after="0"/>
              <w:rPr>
                <w:sz w:val="14"/>
                <w:szCs w:val="14"/>
                <w:color w:val="auto"/>
              </w:rPr>
            </w:pPr>
          </w:p>
        </w:tc>
        <w:tc>
          <w:tcPr>
            <w:tcW w:w="48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144</w:t>
            </w:r>
          </w:p>
        </w:tc>
        <w:tc>
          <w:tcPr>
            <w:tcW w:w="10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90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(215)</w:t>
            </w:r>
          </w:p>
        </w:tc>
      </w:tr>
      <w:tr>
        <w:trPr>
          <w:trHeight w:val="173"/>
        </w:trPr>
        <w:tc>
          <w:tcPr>
            <w:tcW w:w="7500" w:type="dxa"/>
            <w:vAlign w:val="bottom"/>
            <w:tcBorders>
              <w:bottom w:val="single" w:sz="8" w:color="CCEEFF"/>
            </w:tcBorders>
          </w:tcPr>
          <w:p>
            <w:pPr>
              <w:ind w:left="20"/>
              <w:spacing w:after="0"/>
              <w:rPr>
                <w:sz w:val="20"/>
                <w:szCs w:val="20"/>
                <w:color w:val="auto"/>
              </w:rPr>
            </w:pPr>
            <w:r>
              <w:rPr>
                <w:rFonts w:ascii="Arial" w:cs="Arial" w:eastAsia="Arial" w:hAnsi="Arial"/>
                <w:sz w:val="11"/>
                <w:szCs w:val="11"/>
                <w:color w:val="auto"/>
              </w:rPr>
              <w:t>Cash and cash equivalents at beginning of period</w:t>
            </w:r>
          </w:p>
        </w:tc>
        <w:tc>
          <w:tcPr>
            <w:tcW w:w="720" w:type="dxa"/>
            <w:vAlign w:val="bottom"/>
            <w:tcBorders>
              <w:bottom w:val="single" w:sz="8" w:color="auto"/>
            </w:tcBorders>
          </w:tcPr>
          <w:p>
            <w:pPr>
              <w:spacing w:after="0"/>
              <w:rPr>
                <w:sz w:val="15"/>
                <w:szCs w:val="15"/>
                <w:color w:val="auto"/>
              </w:rPr>
            </w:pPr>
          </w:p>
        </w:tc>
        <w:tc>
          <w:tcPr>
            <w:tcW w:w="480" w:type="dxa"/>
            <w:vAlign w:val="bottom"/>
            <w:tcBorders>
              <w:bottom w:val="single" w:sz="8" w:color="auto"/>
            </w:tcBorders>
          </w:tcPr>
          <w:p>
            <w:pPr>
              <w:jc w:val="right"/>
              <w:ind w:right="47"/>
              <w:spacing w:after="0"/>
              <w:rPr>
                <w:sz w:val="20"/>
                <w:szCs w:val="20"/>
                <w:color w:val="auto"/>
              </w:rPr>
            </w:pPr>
            <w:r>
              <w:rPr>
                <w:rFonts w:ascii="Arial" w:cs="Arial" w:eastAsia="Arial" w:hAnsi="Arial"/>
                <w:sz w:val="11"/>
                <w:szCs w:val="11"/>
                <w:color w:val="auto"/>
              </w:rPr>
              <w:t>1,110</w:t>
            </w:r>
          </w:p>
        </w:tc>
        <w:tc>
          <w:tcPr>
            <w:tcW w:w="100" w:type="dxa"/>
            <w:vAlign w:val="bottom"/>
            <w:tcBorders>
              <w:bottom w:val="single" w:sz="8" w:color="CCEEFF"/>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900" w:type="dxa"/>
            <w:vAlign w:val="bottom"/>
            <w:tcBorders>
              <w:bottom w:val="single" w:sz="8" w:color="auto"/>
            </w:tcBorders>
          </w:tcPr>
          <w:p>
            <w:pPr>
              <w:jc w:val="right"/>
              <w:ind w:right="47"/>
              <w:spacing w:after="0"/>
              <w:rPr>
                <w:sz w:val="20"/>
                <w:szCs w:val="20"/>
                <w:color w:val="auto"/>
              </w:rPr>
            </w:pPr>
            <w:r>
              <w:rPr>
                <w:rFonts w:ascii="Arial" w:cs="Arial" w:eastAsia="Arial" w:hAnsi="Arial"/>
                <w:sz w:val="11"/>
                <w:szCs w:val="11"/>
                <w:color w:val="auto"/>
              </w:rPr>
              <w:t>1,720</w:t>
            </w:r>
          </w:p>
        </w:tc>
      </w:tr>
      <w:tr>
        <w:trPr>
          <w:trHeight w:val="166"/>
        </w:trPr>
        <w:tc>
          <w:tcPr>
            <w:tcW w:w="75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Cash and cash equivalents at end of period</w:t>
            </w:r>
          </w:p>
        </w:tc>
        <w:tc>
          <w:tcPr>
            <w:tcW w:w="720" w:type="dxa"/>
            <w:vAlign w:val="bottom"/>
            <w:tcBorders>
              <w:bottom w:val="single" w:sz="8" w:color="auto"/>
            </w:tcBorders>
            <w:shd w:val="clear" w:color="auto" w:fill="CCEEFF"/>
          </w:tcPr>
          <w:p>
            <w:pPr>
              <w:jc w:val="right"/>
              <w:ind w:right="610"/>
              <w:spacing w:after="0"/>
              <w:rPr>
                <w:sz w:val="20"/>
                <w:szCs w:val="20"/>
                <w:color w:val="auto"/>
              </w:rPr>
            </w:pPr>
            <w:r>
              <w:rPr>
                <w:rFonts w:ascii="Arial" w:cs="Arial" w:eastAsia="Arial" w:hAnsi="Arial"/>
                <w:sz w:val="9"/>
                <w:szCs w:val="9"/>
                <w:color w:val="auto"/>
                <w:w w:val="78"/>
              </w:rPr>
              <w:t>$</w:t>
            </w:r>
          </w:p>
        </w:tc>
        <w:tc>
          <w:tcPr>
            <w:tcW w:w="480" w:type="dxa"/>
            <w:vAlign w:val="bottom"/>
            <w:tcBorders>
              <w:bottom w:val="single" w:sz="8" w:color="auto"/>
            </w:tcBorders>
            <w:shd w:val="clear" w:color="auto" w:fill="CCEEFF"/>
          </w:tcPr>
          <w:p>
            <w:pPr>
              <w:jc w:val="right"/>
              <w:ind w:right="47"/>
              <w:spacing w:after="0"/>
              <w:rPr>
                <w:sz w:val="20"/>
                <w:szCs w:val="20"/>
                <w:color w:val="auto"/>
              </w:rPr>
            </w:pPr>
            <w:r>
              <w:rPr>
                <w:rFonts w:ascii="Arial" w:cs="Arial" w:eastAsia="Arial" w:hAnsi="Arial"/>
                <w:sz w:val="11"/>
                <w:szCs w:val="11"/>
                <w:color w:val="auto"/>
              </w:rPr>
              <w:t>1,254</w:t>
            </w:r>
          </w:p>
        </w:tc>
        <w:tc>
          <w:tcPr>
            <w:tcW w:w="10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auto"/>
            </w:tcBorders>
            <w:shd w:val="clear" w:color="auto" w:fill="CCEEFF"/>
          </w:tcPr>
          <w:p>
            <w:pPr>
              <w:jc w:val="right"/>
              <w:ind w:right="173"/>
              <w:spacing w:after="0"/>
              <w:rPr>
                <w:sz w:val="20"/>
                <w:szCs w:val="20"/>
                <w:color w:val="auto"/>
              </w:rPr>
            </w:pPr>
            <w:r>
              <w:rPr>
                <w:rFonts w:ascii="Arial" w:cs="Arial" w:eastAsia="Arial" w:hAnsi="Arial"/>
                <w:sz w:val="9"/>
                <w:szCs w:val="9"/>
                <w:color w:val="auto"/>
                <w:w w:val="78"/>
              </w:rPr>
              <w:t>$</w:t>
            </w:r>
          </w:p>
        </w:tc>
        <w:tc>
          <w:tcPr>
            <w:tcW w:w="900" w:type="dxa"/>
            <w:vAlign w:val="bottom"/>
            <w:tcBorders>
              <w:bottom w:val="single" w:sz="8" w:color="auto"/>
            </w:tcBorders>
            <w:shd w:val="clear" w:color="auto" w:fill="CCEEFF"/>
          </w:tcPr>
          <w:p>
            <w:pPr>
              <w:jc w:val="right"/>
              <w:ind w:right="47"/>
              <w:spacing w:after="0"/>
              <w:rPr>
                <w:sz w:val="20"/>
                <w:szCs w:val="20"/>
                <w:color w:val="auto"/>
              </w:rPr>
            </w:pPr>
            <w:r>
              <w:rPr>
                <w:rFonts w:ascii="Arial" w:cs="Arial" w:eastAsia="Arial" w:hAnsi="Arial"/>
                <w:sz w:val="11"/>
                <w:szCs w:val="11"/>
                <w:color w:val="auto"/>
              </w:rPr>
              <w:t>1,505</w:t>
            </w:r>
          </w:p>
        </w:tc>
      </w:tr>
    </w:tbl>
    <w:p>
      <w:pPr>
        <w:spacing w:after="0" w:line="9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See accompanying notes to consolidated financial statements.</w:t>
      </w:r>
    </w:p>
    <w:p>
      <w:pPr>
        <w:spacing w:after="0" w:line="16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5</w:t>
      </w:r>
    </w:p>
    <w:p>
      <w:pPr>
        <w:sectPr>
          <w:pgSz w:w="11900" w:h="16838" w:orient="portrait"/>
          <w:cols w:equalWidth="0" w:num="1">
            <w:col w:w="9980"/>
          </w:cols>
          <w:pgMar w:left="960" w:top="433" w:right="959" w:bottom="1440" w:gutter="0" w:footer="0" w:header="0"/>
        </w:sectPr>
      </w:pPr>
    </w:p>
    <w:bookmarkStart w:id="6" w:name="page7"/>
    <w:bookmarkEnd w:id="6"/>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60"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NOTES TO CONSOLIDATED FINANCIAL STATEMENTS</w:t>
      </w:r>
    </w:p>
    <w:p>
      <w:pPr>
        <w:spacing w:after="0" w:line="78"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(Unaudited)</w:t>
      </w:r>
    </w:p>
    <w:p>
      <w:pPr>
        <w:spacing w:after="0" w:line="78"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1. Unaudited Interim Consolidated Financial Statements</w:t>
      </w:r>
    </w:p>
    <w:p>
      <w:pPr>
        <w:spacing w:after="0" w:line="64"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The unaudited interim consolidated financial statements of AGNC Investment Corp. (referred throughout this report as the "Company", "we", "us" and "our") are prepared in accordance with U.S. generally accepted accounting principles ("GAAP") for interim financial information and pursuant to the requirements for reporting on Form 10-Q and Article 10 of Regulation S-X. The preparation of financial statements in conformity with GAAP requires management to make estimates and assumptions that affect the reported amounts of assets and liabilities and disclosure of contingent assets and liabilities at the date of the financial statements and the reported amounts of income and expenses during the reporting period. Actual results could differ from those estimates.</w:t>
      </w:r>
    </w:p>
    <w:p>
      <w:pPr>
        <w:spacing w:after="0" w:line="8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Our unaudited interim consolidated financial statements include the accounts of all of our wholly-owned subsidiaries and variable interest entities for which we are the primary beneficiary. Significant intercompany accounts and transactions have been eliminated. In the opinion of management, all adjustments, consisting solely of normal recurring accruals, necessary for the fair presentation of financial statements for the interim period have been included. The current period’s results of operations are not necessarily indicative of results that ultimately may be achieved for the year.</w:t>
      </w:r>
    </w:p>
    <w:p>
      <w:pPr>
        <w:spacing w:after="0" w:line="119"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2. Organization</w:t>
      </w:r>
    </w:p>
    <w:p>
      <w:pPr>
        <w:spacing w:after="0" w:line="118"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We were organized in Delaware on January 7, 2008, and commenced operations on May 20, 2008 following the completion of our initial public offering ("IPO"). Our common stock is traded on The NASDAQ Global Select Market under the symbol "AGNC."</w:t>
      </w:r>
    </w:p>
    <w:p>
      <w:pPr>
        <w:spacing w:after="0" w:line="79"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We operate so as to qualify to be taxed as a real estate investment trust ("REIT") under the Internal Revenue Code of 1986, as amended (the "Internal Revenue Code"). As a REIT, we are required to distribute annually 90% of our taxable net income. As long as we continue to qualify as a REIT, we will generally not be subject to U.S. federal or state corporate taxes on our taxable net income to the extent that we distribute our annual taxable net income to our stockholders on a timely basis. It is our intention to distribute 100% of our taxable net income, after application of available tax attributes, within the limits prescribed by the Internal Revenue Code, which may extend into the subsequent taxable year.</w:t>
      </w:r>
    </w:p>
    <w:p>
      <w:pPr>
        <w:spacing w:after="0" w:line="89" w:lineRule="exact"/>
        <w:rPr>
          <w:sz w:val="20"/>
          <w:szCs w:val="20"/>
          <w:color w:val="auto"/>
        </w:rPr>
      </w:pPr>
    </w:p>
    <w:p>
      <w:pPr>
        <w:jc w:val="both"/>
        <w:ind w:firstLine="270"/>
        <w:spacing w:after="0" w:line="290" w:lineRule="auto"/>
        <w:rPr>
          <w:sz w:val="20"/>
          <w:szCs w:val="20"/>
          <w:color w:val="auto"/>
        </w:rPr>
      </w:pPr>
      <w:r>
        <w:rPr>
          <w:rFonts w:ascii="Arial" w:cs="Arial" w:eastAsia="Arial" w:hAnsi="Arial"/>
          <w:sz w:val="11"/>
          <w:szCs w:val="11"/>
          <w:color w:val="auto"/>
        </w:rPr>
        <w:t>We invest primarily in agency mortgage-backed securities ("agency MBS") on a leveraged basis. These investments consist of residential mortgage pass-through securities and collateralized mortgage obligations ("CMOs") for which the principal and interest payments are guaranteed by a government-sponsored enterprise, such as the Federal National Mortgage Association ("Fannie Mae") and the Federal Home Loan Mortgage Corporation ("Freddie Mac"), or by a U.S. Government agency, such as the Government National Mortgage Association ("Ginnie Mae") (collectively referred to as "GSEs"). We may also invest in other types of mortgage and mortgage-related securities, such as credit risk transfer ("CRT") securities and non-agency residential and commercial mortgage-backed securities, where repayment of principal and interest is not guaranteed by a GSE or U.S. Government agency.</w:t>
      </w:r>
    </w:p>
    <w:p>
      <w:pPr>
        <w:spacing w:after="0" w:line="73"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Our principal objective is to provide our stockholders with attractive risk-adjusted returns through a combination of monthly dividends and net asset value (also referred to as "net book value," "NAV" and "stockholders' equity") accretion. We generate income from the interest earned on our investment assets, net of associated borrowing and hedging activities, and net realized gains and losses on our investments and hedging activities. We fund our investments primarily through short-term borrowings structured as repurchase agreements.</w:t>
      </w:r>
    </w:p>
    <w:p>
      <w:pPr>
        <w:spacing w:after="0" w:line="87" w:lineRule="exact"/>
        <w:rPr>
          <w:sz w:val="20"/>
          <w:szCs w:val="20"/>
          <w:color w:val="auto"/>
        </w:rPr>
      </w:pPr>
    </w:p>
    <w:p>
      <w:pPr>
        <w:jc w:val="both"/>
        <w:ind w:firstLine="270"/>
        <w:spacing w:after="0" w:line="257" w:lineRule="auto"/>
        <w:rPr>
          <w:sz w:val="20"/>
          <w:szCs w:val="20"/>
          <w:color w:val="auto"/>
        </w:rPr>
      </w:pPr>
      <w:r>
        <w:rPr>
          <w:rFonts w:ascii="Arial" w:cs="Arial" w:eastAsia="Arial" w:hAnsi="Arial"/>
          <w:sz w:val="12"/>
          <w:szCs w:val="12"/>
          <w:color w:val="auto"/>
        </w:rPr>
        <w:t>Prior to July 1, 2016, we were externally managed by AGNC Management, LLC, (formerly known as American Capital AGNC Management, LLC) (our "Manager"). On July 1, 2016, we completed the acquisition of all of the outstanding membership interests of AGNC Mortgage Management, LLC ("AMM," formerly known as American Capital Mortgage Management, LLC ), the parent company of our Manager, from American Capital Asset Management, LLC ("ACAM"), a wholly owned portfolio company of American Capital, Ltd. ("ACAS"). AMM is also the parent company of MTGE Management, LLC ("MTGE Manager," formerly known as American Capital MTGE Management, LLC), the external manager of MTGE Investment Corp. ("MTGE," formerly known as American Capital Mortgage Investment Corp.). Following the closing of the acquisition of AMM, we became internally managed and are no longer affiliated with ACAS. (See Note 10 for further details.)</w:t>
      </w:r>
    </w:p>
    <w:p>
      <w:pPr>
        <w:spacing w:after="0" w:line="28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6</w:t>
      </w:r>
    </w:p>
    <w:p>
      <w:pPr>
        <w:sectPr>
          <w:pgSz w:w="11900" w:h="16838" w:orient="portrait"/>
          <w:cols w:equalWidth="0" w:num="1">
            <w:col w:w="11480"/>
          </w:cols>
          <w:pgMar w:left="220" w:top="433" w:right="199" w:bottom="1440" w:gutter="0" w:footer="0" w:header="0"/>
        </w:sectPr>
      </w:pPr>
    </w:p>
    <w:bookmarkStart w:id="7" w:name="page8"/>
    <w:bookmarkEnd w:id="7"/>
    <w:p>
      <w:pPr>
        <w:spacing w:after="0"/>
        <w:rPr>
          <w:sz w:val="20"/>
          <w:szCs w:val="20"/>
          <w:color w:val="auto"/>
        </w:rPr>
      </w:pPr>
      <w:r>
        <w:rPr>
          <w:rFonts w:ascii="Arial" w:cs="Arial" w:eastAsia="Arial" w:hAnsi="Arial"/>
          <w:sz w:val="12"/>
          <w:szCs w:val="12"/>
          <w:b w:val="1"/>
          <w:bCs w:val="1"/>
          <w:color w:val="auto"/>
        </w:rPr>
        <w:t>Note 3. Summary of Significant Accounting Policies</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Investment Securities</w:t>
      </w:r>
    </w:p>
    <w:p>
      <w:pPr>
        <w:spacing w:after="0" w:line="114" w:lineRule="exact"/>
        <w:rPr>
          <w:sz w:val="20"/>
          <w:szCs w:val="20"/>
          <w:color w:val="auto"/>
        </w:rPr>
      </w:pPr>
    </w:p>
    <w:p>
      <w:pPr>
        <w:jc w:val="both"/>
        <w:ind w:firstLine="288"/>
        <w:spacing w:after="0" w:line="255" w:lineRule="auto"/>
        <w:rPr>
          <w:sz w:val="20"/>
          <w:szCs w:val="20"/>
          <w:color w:val="auto"/>
        </w:rPr>
      </w:pPr>
      <w:r>
        <w:rPr>
          <w:rFonts w:ascii="Arial" w:cs="Arial" w:eastAsia="Arial" w:hAnsi="Arial"/>
          <w:sz w:val="12"/>
          <w:szCs w:val="12"/>
          <w:color w:val="auto"/>
        </w:rPr>
        <w:t xml:space="preserve">Accounting Standards Codification ("ASC") Topic 320, </w:t>
      </w:r>
      <w:r>
        <w:rPr>
          <w:rFonts w:ascii="Arial" w:cs="Arial" w:eastAsia="Arial" w:hAnsi="Arial"/>
          <w:sz w:val="12"/>
          <w:szCs w:val="12"/>
          <w:i w:val="1"/>
          <w:iCs w:val="1"/>
          <w:color w:val="auto"/>
        </w:rPr>
        <w:t>Investments—Debt and Equity Securities</w:t>
      </w:r>
      <w:r>
        <w:rPr>
          <w:rFonts w:ascii="Arial" w:cs="Arial" w:eastAsia="Arial" w:hAnsi="Arial"/>
          <w:sz w:val="12"/>
          <w:szCs w:val="12"/>
          <w:color w:val="auto"/>
        </w:rPr>
        <w:t xml:space="preserve"> ("ASC 320"), requires that at the time of purchase, we designate a security as held-to-maturity, available-for-sale or trading, depending on our ability and intent to hold such security to maturity. Securities classified as trading and available-for-sale are reported at fair value, while securities classified as held-to-maturity are reported at amortized cost. We may sell any of our securities as part of our overall management of our investment portfolio. Accordingly, we typically designate our investment securities as available-for-sale, unless we have elected the fair value option for such securities under ASC Topic 825, </w:t>
      </w:r>
      <w:r>
        <w:rPr>
          <w:rFonts w:ascii="Arial" w:cs="Arial" w:eastAsia="Arial" w:hAnsi="Arial"/>
          <w:sz w:val="12"/>
          <w:szCs w:val="12"/>
          <w:i w:val="1"/>
          <w:iCs w:val="1"/>
          <w:color w:val="auto"/>
        </w:rPr>
        <w:t>Financial Instruments</w:t>
      </w:r>
      <w:r>
        <w:rPr>
          <w:rFonts w:ascii="Arial" w:cs="Arial" w:eastAsia="Arial" w:hAnsi="Arial"/>
          <w:sz w:val="12"/>
          <w:szCs w:val="12"/>
          <w:color w:val="auto"/>
        </w:rPr>
        <w:t>. All securities classified as available-for-sale are reported at fair value, with unrealized gains and losses reported in accumulated other comprehensive income (loss) ("OCI"), a separate component of stockholders' equity. Upon the sale of a security designated as available-for-sale, we determine the cost of the security and the amount of unrealized gains or losses to reclassify out of accumulated OCI into earnings based on the specific identification method.</w:t>
      </w:r>
    </w:p>
    <w:p>
      <w:pPr>
        <w:spacing w:after="0" w:line="93"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If we designate a security as trading or if we elect the fair value option for a security, changes in the fair value of such security are reflected in net income through other gain (loss) during the period in which they occur. We have elected the fair value option to account for CRT securities, interest-only securities and inverse interest-only securities (together referred to as "interest-only securities") and principal-only securities as this election simplifies the accounting for such securities.</w:t>
      </w:r>
    </w:p>
    <w:p>
      <w:pPr>
        <w:spacing w:after="0" w:line="87"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CRT securities are risk sharing instruments issued by the GSEs, and similarly structured transactions issued by third party market participants, that transfer a portion of the risk associated with credit losses within pools of conventional residential mortgage loans from the GSEs and/or third parties to private investors. Unlike agency MBS, full repayment of the original principal balance of CRT securities is not guaranteed by a GSE or government agency; rather, "credit risk transfer" is achieved by writing down the outstanding principal balance of the CRT securities if credit losses on a related pool of loans exceed certain thresholds. By reducing the amount that they are obligated to repay to holders of CRT securities, the GSEs and/or other third parties are able to offset credit losses on the related loans.</w:t>
      </w:r>
    </w:p>
    <w:p>
      <w:pPr>
        <w:spacing w:after="0" w:line="89" w:lineRule="exact"/>
        <w:rPr>
          <w:sz w:val="20"/>
          <w:szCs w:val="20"/>
          <w:color w:val="auto"/>
        </w:rPr>
      </w:pPr>
    </w:p>
    <w:p>
      <w:pPr>
        <w:jc w:val="both"/>
        <w:ind w:firstLine="270"/>
        <w:spacing w:after="0" w:line="276" w:lineRule="auto"/>
        <w:rPr>
          <w:sz w:val="20"/>
          <w:szCs w:val="20"/>
          <w:color w:val="auto"/>
        </w:rPr>
      </w:pPr>
      <w:r>
        <w:rPr>
          <w:rFonts w:ascii="Arial" w:cs="Arial" w:eastAsia="Arial" w:hAnsi="Arial"/>
          <w:sz w:val="12"/>
          <w:szCs w:val="12"/>
          <w:color w:val="auto"/>
        </w:rPr>
        <w:t>Non-agency MBS are backed by residential or commercial mortgage loans packaged and securitized by a private institution, such as a commercial bank. Non-agency MBS typically benefit from credit enhancements derived from structural elements, such as subordination, overcollateralization or insurance, but nonetheless carry a higher level of credit exposure than agency MBS.</w:t>
      </w:r>
    </w:p>
    <w:p>
      <w:pPr>
        <w:spacing w:after="0" w:line="79" w:lineRule="exact"/>
        <w:rPr>
          <w:sz w:val="20"/>
          <w:szCs w:val="20"/>
          <w:color w:val="auto"/>
        </w:rPr>
      </w:pPr>
    </w:p>
    <w:p>
      <w:pPr>
        <w:jc w:val="both"/>
        <w:ind w:right="20" w:firstLine="288"/>
        <w:spacing w:after="0" w:line="276" w:lineRule="auto"/>
        <w:rPr>
          <w:sz w:val="20"/>
          <w:szCs w:val="20"/>
          <w:color w:val="auto"/>
        </w:rPr>
      </w:pPr>
      <w:r>
        <w:rPr>
          <w:rFonts w:ascii="Arial" w:cs="Arial" w:eastAsia="Arial" w:hAnsi="Arial"/>
          <w:sz w:val="12"/>
          <w:szCs w:val="12"/>
          <w:color w:val="auto"/>
        </w:rPr>
        <w:t>Interest-only securities represent the right to receive a specified proportion of the contractual interest flows of specific agency CMO securities. Principal-only securities represent the right to receive the contractual principal flows of specific agency CMO securities. Our investments in interest and principal-only securities are included in agency securities, at fair value on the accompanying consolidated balance sheets.</w:t>
      </w:r>
    </w:p>
    <w:p>
      <w:pPr>
        <w:spacing w:after="0" w:line="79"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REIT equity securities represent investments in the common stock of other publicly traded mortgage REITs that invest predominantly in agency MBS. We designate our investments in REIT equity securities as trading securities and report them at fair value on the accompanying consolidated balance sheets.</w:t>
      </w:r>
    </w:p>
    <w:p>
      <w:pPr>
        <w:spacing w:after="0" w:line="79" w:lineRule="exact"/>
        <w:rPr>
          <w:sz w:val="20"/>
          <w:szCs w:val="20"/>
          <w:color w:val="auto"/>
        </w:rPr>
      </w:pPr>
    </w:p>
    <w:p>
      <w:pPr>
        <w:jc w:val="both"/>
        <w:ind w:firstLine="288"/>
        <w:spacing w:after="0" w:line="290" w:lineRule="auto"/>
        <w:rPr>
          <w:sz w:val="20"/>
          <w:szCs w:val="20"/>
          <w:color w:val="auto"/>
        </w:rPr>
      </w:pPr>
      <w:r>
        <w:rPr>
          <w:rFonts w:ascii="Arial" w:cs="Arial" w:eastAsia="Arial" w:hAnsi="Arial"/>
          <w:sz w:val="11"/>
          <w:szCs w:val="11"/>
          <w:color w:val="auto"/>
        </w:rPr>
        <w:t>We estimate the fair value of agency and non-agency MBS and CRT securities based on a market approach using "Level 2" inputs from third-party pricing services and non-binding dealer quotes derived from common market pricing methods. Such methods incorporate, but are not limited to, reported trades and executable bid and asked prices for similar securities, benchmark interest rate curves, such as the spread to the U.S. Treasury rate and interest rate swap curves, convexity, duration and the underlying characteristics of the particular security, including coupon, periodic and life caps, rate reset period, issuer, additional credit support and expected life of the security. We estimate the fair value of our REIT equity securities based on a market approach using "Level 1" inputs based on quoted market prices. Refer to Note 8 for further discussion of fair value measurements.</w:t>
      </w:r>
    </w:p>
    <w:p>
      <w:pPr>
        <w:spacing w:after="0" w:line="73" w:lineRule="exact"/>
        <w:rPr>
          <w:sz w:val="20"/>
          <w:szCs w:val="20"/>
          <w:color w:val="auto"/>
        </w:rPr>
      </w:pPr>
    </w:p>
    <w:p>
      <w:pPr>
        <w:jc w:val="both"/>
        <w:ind w:firstLine="288"/>
        <w:spacing w:after="0" w:line="290" w:lineRule="auto"/>
        <w:rPr>
          <w:sz w:val="20"/>
          <w:szCs w:val="20"/>
          <w:color w:val="auto"/>
        </w:rPr>
      </w:pPr>
      <w:r>
        <w:rPr>
          <w:rFonts w:ascii="Arial" w:cs="Arial" w:eastAsia="Arial" w:hAnsi="Arial"/>
          <w:sz w:val="11"/>
          <w:szCs w:val="11"/>
          <w:color w:val="auto"/>
        </w:rPr>
        <w:t>We evaluate our investments designated as available-for-sale for other-than-temporary impairment ("OTTI") on at least a quarterly basis. The determination of whether a security is other-than-temporarily impaired may involve judgments and assumptions based on subjective and objective factors. When a security is impaired, an OTTI is considered to have occurred if any one of the following three conditions exists as of the financial reporting date: (i) we intend to sell the security (that is, a decision has been made to sell the security), (ii) it is more likely than not that we will be required to sell the security before recovery of its amortized cost basis or (iii) we do not expect to recover the security's amortized cost basis, even if we do not intend to sell the security and it is not more likely than not that we will be required to sell the security. A general allowance for unidentified impairments in a portfolio of securities is not permitted.</w:t>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7</w:t>
      </w:r>
    </w:p>
    <w:p>
      <w:pPr>
        <w:sectPr>
          <w:pgSz w:w="11900" w:h="16838" w:orient="portrait"/>
          <w:cols w:equalWidth="0" w:num="1">
            <w:col w:w="11480"/>
          </w:cols>
          <w:pgMar w:left="220" w:top="433" w:right="199" w:bottom="1440" w:gutter="0" w:footer="0" w:header="0"/>
        </w:sectPr>
      </w:pPr>
    </w:p>
    <w:bookmarkStart w:id="8" w:name="page9"/>
    <w:bookmarkEnd w:id="8"/>
    <w:p>
      <w:pPr>
        <w:spacing w:after="0"/>
        <w:rPr>
          <w:sz w:val="20"/>
          <w:szCs w:val="20"/>
          <w:color w:val="auto"/>
        </w:rPr>
      </w:pPr>
      <w:r>
        <w:rPr>
          <w:rFonts w:ascii="Arial" w:cs="Arial" w:eastAsia="Arial" w:hAnsi="Arial"/>
          <w:sz w:val="12"/>
          <w:szCs w:val="12"/>
          <w:b w:val="1"/>
          <w:bCs w:val="1"/>
          <w:i w:val="1"/>
          <w:iCs w:val="1"/>
          <w:color w:val="auto"/>
        </w:rPr>
        <w:t>Interest Income</w:t>
      </w:r>
    </w:p>
    <w:p>
      <w:pPr>
        <w:spacing w:after="0" w:line="114"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 xml:space="preserve">Interest income is accrued based on the outstanding principal amount of the investment securities and their contractual terms. Premiums or discounts associated with the purchase of agency and non-agency MBS are amortized or accreted into interest income, respectively, over the projected lives of the securities, including contractual payments and estimated prepayments using the effective interest method in accordance with ASC Subtopic 310-20, </w:t>
      </w:r>
      <w:r>
        <w:rPr>
          <w:rFonts w:ascii="Arial" w:cs="Arial" w:eastAsia="Arial" w:hAnsi="Arial"/>
          <w:sz w:val="12"/>
          <w:szCs w:val="12"/>
          <w:i w:val="1"/>
          <w:iCs w:val="1"/>
          <w:color w:val="auto"/>
        </w:rPr>
        <w:t>Receivables—</w:t>
      </w:r>
      <w:r>
        <w:rPr>
          <w:rFonts w:ascii="Arial" w:cs="Arial" w:eastAsia="Arial" w:hAnsi="Arial"/>
          <w:sz w:val="12"/>
          <w:szCs w:val="12"/>
          <w:color w:val="auto"/>
        </w:rPr>
        <w:t xml:space="preserve"> </w:t>
      </w:r>
      <w:r>
        <w:rPr>
          <w:rFonts w:ascii="Arial" w:cs="Arial" w:eastAsia="Arial" w:hAnsi="Arial"/>
          <w:sz w:val="12"/>
          <w:szCs w:val="12"/>
          <w:i w:val="1"/>
          <w:iCs w:val="1"/>
          <w:color w:val="auto"/>
        </w:rPr>
        <w:t xml:space="preserve">Nonrefundable Fees and Other Costs </w:t>
      </w:r>
      <w:r>
        <w:rPr>
          <w:rFonts w:ascii="Arial" w:cs="Arial" w:eastAsia="Arial" w:hAnsi="Arial"/>
          <w:sz w:val="12"/>
          <w:szCs w:val="12"/>
          <w:color w:val="auto"/>
        </w:rPr>
        <w:t>("ASC 310-20").</w:t>
      </w:r>
    </w:p>
    <w:p>
      <w:pPr>
        <w:spacing w:after="0" w:line="87" w:lineRule="exact"/>
        <w:rPr>
          <w:sz w:val="20"/>
          <w:szCs w:val="20"/>
          <w:color w:val="auto"/>
        </w:rPr>
      </w:pPr>
    </w:p>
    <w:p>
      <w:pPr>
        <w:jc w:val="both"/>
        <w:ind w:firstLine="288"/>
        <w:spacing w:after="0" w:line="283" w:lineRule="auto"/>
        <w:rPr>
          <w:sz w:val="20"/>
          <w:szCs w:val="20"/>
          <w:color w:val="auto"/>
        </w:rPr>
      </w:pPr>
      <w:r>
        <w:rPr>
          <w:rFonts w:ascii="Arial" w:cs="Arial" w:eastAsia="Arial" w:hAnsi="Arial"/>
          <w:sz w:val="11"/>
          <w:szCs w:val="11"/>
          <w:color w:val="auto"/>
        </w:rPr>
        <w:t>We estimate long-term prepayment speeds of our mortgage securities using a third-party service and market data. The third-party service estimates prepayment speeds using models that incorporate the forward yield curve, current mortgage rates and mortgage rates of the outstanding loans, age and size of the outstanding loans, loan-to-value ratios, interest rate volatility and other factors. We review the prepayment speeds estimated by the third-party service and compare the results to market consensus prepayment speeds, if available. We also consider historical prepayment speeds and current market conditions to validate the reasonableness of the prepayment speeds estimated by the third-party service and, based on our judgment, we may make adjustments to its estimates. Actual and anticipated prepayment experience is reviewed quarterly and effective yields are recalculated when differences arise between (i) our previously estimated future prepayments and (ii) the actual prepayments to date plus our currently estimated future prepayments. If the actual and estimated future prepayment experience differs from our prior estimate of prepayments, we are required to record an adjustment in the current period to the amortization or accretion of premiums and discounts for the cumulative difference in the effective yield through the reporting date.</w:t>
      </w:r>
    </w:p>
    <w:p>
      <w:pPr>
        <w:spacing w:after="0" w:line="114" w:lineRule="exact"/>
        <w:rPr>
          <w:sz w:val="20"/>
          <w:szCs w:val="20"/>
          <w:color w:val="auto"/>
        </w:rPr>
      </w:pPr>
    </w:p>
    <w:p>
      <w:pPr>
        <w:jc w:val="both"/>
        <w:ind w:firstLine="270"/>
        <w:spacing w:after="0" w:line="290" w:lineRule="auto"/>
        <w:rPr>
          <w:sz w:val="20"/>
          <w:szCs w:val="20"/>
          <w:color w:val="auto"/>
        </w:rPr>
      </w:pPr>
      <w:r>
        <w:rPr>
          <w:rFonts w:ascii="Arial" w:cs="Arial" w:eastAsia="Arial" w:hAnsi="Arial"/>
          <w:sz w:val="11"/>
          <w:szCs w:val="11"/>
          <w:color w:val="auto"/>
        </w:rPr>
        <w:t>At the time we purchase CRT securities, we determine an effective yield based on our estimate of the timing and amount of future cash flows and our cost basis. Our initial cash flow estimates for these investments are based on our observations of current information and events and include assumptions related to interest rates, prepayment rates and the impact of default and severity rates on the timing and amount of credit losses. On at least a quarterly basis, we review the estimated cash flows and make appropriate adjustments, based on inputs and analysis received from external sources, internal models, and our judgment about interest rates, prepayment rates, the timing and amount of credit losses, and other factors. Any resulting changes in effective yield are recognized prospectively based on the current amortized cost of the investment as adjusted for credit impairment, if any.</w:t>
      </w:r>
    </w:p>
    <w:p>
      <w:pPr>
        <w:spacing w:after="0" w:line="73"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Derivative Instruments</w:t>
      </w:r>
    </w:p>
    <w:p>
      <w:pPr>
        <w:spacing w:after="0" w:line="114" w:lineRule="exact"/>
        <w:rPr>
          <w:sz w:val="20"/>
          <w:szCs w:val="20"/>
          <w:color w:val="auto"/>
        </w:rPr>
      </w:pPr>
    </w:p>
    <w:p>
      <w:pPr>
        <w:jc w:val="both"/>
        <w:ind w:firstLine="270"/>
        <w:spacing w:after="0" w:line="257" w:lineRule="auto"/>
        <w:rPr>
          <w:sz w:val="20"/>
          <w:szCs w:val="20"/>
          <w:color w:val="auto"/>
        </w:rPr>
      </w:pPr>
      <w:r>
        <w:rPr>
          <w:rFonts w:ascii="Arial" w:cs="Arial" w:eastAsia="Arial" w:hAnsi="Arial"/>
          <w:sz w:val="12"/>
          <w:szCs w:val="12"/>
          <w:color w:val="auto"/>
        </w:rPr>
        <w:t>We use a variety of derivative instruments to hedge a portion of our exposure to market risks, including interest rate, prepayment, extension and liquidity risk. The objective of our risk management strategy is to reduce fluctuations in net book value over a range of interest rate scenarios. In particular, we attempt to mitigate the risk of the cost of our variable rate liabilities increasing during a period of rising interest rates. The principal instruments that we use are interest rate swaps and options to enter into interest rate swaps ("swaptions"). We also utilize U.S. Treasury securities and U.S. Treasury futures contracts, primarily through short sales, and forward contracts for the purchase or sale of agency MBS securities on a generic pool basis in the "to-be-announced" market ("TBA securities") and on a specified pool basis. We may also purchase or write put or call options on TBA securities and invest in mortgage and other types of derivatives, such as interest and principal-only securities.</w:t>
      </w:r>
    </w:p>
    <w:p>
      <w:pPr>
        <w:spacing w:after="0" w:line="90" w:lineRule="exact"/>
        <w:rPr>
          <w:sz w:val="20"/>
          <w:szCs w:val="20"/>
          <w:color w:val="auto"/>
        </w:rPr>
      </w:pPr>
    </w:p>
    <w:p>
      <w:pPr>
        <w:jc w:val="both"/>
        <w:ind w:firstLine="288"/>
        <w:spacing w:after="0" w:line="254" w:lineRule="auto"/>
        <w:rPr>
          <w:sz w:val="20"/>
          <w:szCs w:val="20"/>
          <w:color w:val="auto"/>
        </w:rPr>
      </w:pPr>
      <w:r>
        <w:rPr>
          <w:rFonts w:ascii="Arial" w:cs="Arial" w:eastAsia="Arial" w:hAnsi="Arial"/>
          <w:sz w:val="12"/>
          <w:szCs w:val="12"/>
          <w:color w:val="auto"/>
        </w:rPr>
        <w:t>We also enter into TBA contracts as a means of investing in and financing agency securities (thereby increasing our "at risk" leverage) or as a means of disposing of or reducing our exposure to agency securities (thereby reducing our "at risk" leverage). Under TBA contracts, we agree to purchase or sell, for future delivery, agency securities with certain principal and interest terms and certain types of collateral, but the particular agency securities to be delivered are not identified until shortly before the TBA settlement date. We may also choose, prior to settlement, to move the settlement of these securities out to a later date by entering into an offsetting short or long position (referred to as a "pair off"), net settling the paired off positions for cash, and simultaneously purchasing or selling a similar TBA contract for a later settlement date. This transaction is commonly referred to as a "dollar roll." The agency securities purchased or sold for a forward settlement date are typically priced at a discount to agency securities for settlement in the current month. This difference (or discount) is referred to as the "price drop." The price drop is the economic equivalent of net interest carry income on the underlying agency securities over the roll period (interest income less implied financing cost) and is commonly referred to as "dollar roll income/loss." Consequently, forward purchases of agency securities and dollar roll transactions represent a form of off-balance sheet financing.</w:t>
      </w:r>
    </w:p>
    <w:p>
      <w:pPr>
        <w:spacing w:after="0" w:line="95"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 xml:space="preserve">We account for derivative instruments in accordance with ASC Topic 815, </w:t>
      </w:r>
      <w:r>
        <w:rPr>
          <w:rFonts w:ascii="Arial" w:cs="Arial" w:eastAsia="Arial" w:hAnsi="Arial"/>
          <w:sz w:val="12"/>
          <w:szCs w:val="12"/>
          <w:i w:val="1"/>
          <w:iCs w:val="1"/>
          <w:color w:val="auto"/>
        </w:rPr>
        <w:t>Derivatives and Hedging</w:t>
      </w:r>
      <w:r>
        <w:rPr>
          <w:rFonts w:ascii="Arial" w:cs="Arial" w:eastAsia="Arial" w:hAnsi="Arial"/>
          <w:sz w:val="12"/>
          <w:szCs w:val="12"/>
          <w:color w:val="auto"/>
        </w:rPr>
        <w:t xml:space="preserve"> ("ASC 815"). ASC 815 requires an entity to recognize all derivatives as either assets or liabilities in our accompanying consolidated balance sheets and to measure those instruments at fair value.</w:t>
      </w:r>
    </w:p>
    <w:p>
      <w:pPr>
        <w:spacing w:after="0" w:line="79" w:lineRule="exact"/>
        <w:rPr>
          <w:sz w:val="20"/>
          <w:szCs w:val="20"/>
          <w:color w:val="auto"/>
        </w:rPr>
      </w:pPr>
    </w:p>
    <w:p>
      <w:pPr>
        <w:jc w:val="both"/>
        <w:ind w:firstLine="270"/>
        <w:spacing w:after="0" w:line="298" w:lineRule="auto"/>
        <w:rPr>
          <w:sz w:val="20"/>
          <w:szCs w:val="20"/>
          <w:color w:val="auto"/>
        </w:rPr>
      </w:pPr>
      <w:r>
        <w:rPr>
          <w:rFonts w:ascii="Arial" w:cs="Arial" w:eastAsia="Arial" w:hAnsi="Arial"/>
          <w:sz w:val="11"/>
          <w:szCs w:val="11"/>
          <w:color w:val="auto"/>
        </w:rPr>
        <w:t>Our derivative agreements generally contain provisions that allow for netting or setting off derivative assets and liabilities with the counterparty; however, we report related assets and liabilities on a gross basis in our consolidated balance sheets. Derivative instruments in a gain position are reported as derivative assets at fair value and derivative instruments in a loss position are reported as derivative liabilities at fair value in our consolidated balance sheets. Changes in fair value of derivative instruments and periodic settlements related to our derivative instruments are recorded in gain (loss) on derivative instruments and other securities, net in</w:t>
      </w:r>
    </w:p>
    <w:p>
      <w:pPr>
        <w:spacing w:after="0" w:line="12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8</w:t>
      </w:r>
    </w:p>
    <w:p>
      <w:pPr>
        <w:sectPr>
          <w:pgSz w:w="11900" w:h="16838" w:orient="portrait"/>
          <w:cols w:equalWidth="0" w:num="1">
            <w:col w:w="11480"/>
          </w:cols>
          <w:pgMar w:left="220" w:top="545" w:right="199" w:bottom="1440" w:gutter="0" w:footer="0" w:header="0"/>
        </w:sectPr>
      </w:pPr>
    </w:p>
    <w:bookmarkStart w:id="9" w:name="page10"/>
    <w:bookmarkEnd w:id="9"/>
    <w:p>
      <w:pPr>
        <w:jc w:val="both"/>
        <w:spacing w:after="0" w:line="276" w:lineRule="auto"/>
        <w:rPr>
          <w:sz w:val="20"/>
          <w:szCs w:val="20"/>
          <w:color w:val="auto"/>
        </w:rPr>
      </w:pPr>
      <w:r>
        <w:rPr>
          <w:rFonts w:ascii="Arial" w:cs="Arial" w:eastAsia="Arial" w:hAnsi="Arial"/>
          <w:sz w:val="12"/>
          <w:szCs w:val="12"/>
          <w:color w:val="auto"/>
        </w:rPr>
        <w:t>our consolidated statements of comprehensive income. Cash receipts and payments related to derivative instruments are classified in our consolidated statements of cash flows according to the underlying nature or purpose of the derivative transaction, generally in the investing section.</w:t>
      </w:r>
    </w:p>
    <w:p>
      <w:pPr>
        <w:spacing w:after="0" w:line="79" w:lineRule="exact"/>
        <w:rPr>
          <w:sz w:val="20"/>
          <w:szCs w:val="20"/>
          <w:color w:val="auto"/>
        </w:rPr>
      </w:pPr>
    </w:p>
    <w:p>
      <w:pPr>
        <w:jc w:val="both"/>
        <w:ind w:right="20" w:firstLine="288"/>
        <w:spacing w:after="0" w:line="323" w:lineRule="auto"/>
        <w:rPr>
          <w:sz w:val="20"/>
          <w:szCs w:val="20"/>
          <w:color w:val="auto"/>
        </w:rPr>
      </w:pPr>
      <w:r>
        <w:rPr>
          <w:rFonts w:ascii="Arial" w:cs="Arial" w:eastAsia="Arial" w:hAnsi="Arial"/>
          <w:sz w:val="11"/>
          <w:szCs w:val="11"/>
          <w:color w:val="auto"/>
        </w:rPr>
        <w:t>The use of derivative instruments creates exposure to credit risk relating to potential losses that could be recognized in the event that the counterparties to these instruments fail to perform their obligations under the contracts. We attempt to minimize this risk by limiting our counterparties to major financial institutions with acceptable credit ratings, monitoring positions with individual counterparties and adjusting posted collateral as required.</w:t>
      </w:r>
    </w:p>
    <w:p>
      <w:pPr>
        <w:spacing w:after="0" w:line="56"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Discontinuation of hedge accounting for interest rate swap agreements</w:t>
      </w:r>
    </w:p>
    <w:p>
      <w:pPr>
        <w:spacing w:after="0" w:line="114"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Prior to fiscal year 2011, we entered into interest rate swap agreements typically with the intention of qualifying for hedge accounting under ASC 815. However, during fiscal year 2011, we elected to discontinue hedge accounting for our interest rate swaps. Upon discontinuation of hedge accounting, the net deferred loss related to our de-designated interest rate swaps remained in accumulated OCI and is being reclassified from accumulated OCI into interest expense on a straight-line basis over the remaining term of each interest rate swap through October 2016.</w:t>
      </w:r>
    </w:p>
    <w:p>
      <w:pPr>
        <w:spacing w:after="0" w:line="87"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Interest rate swap agreements</w:t>
      </w:r>
    </w:p>
    <w:p>
      <w:pPr>
        <w:spacing w:after="0" w:line="114"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We use interest rate swaps to hedge the variable cash flows associated with borrowings made under our repurchase agreement facilities. Under our interest rate swap agreements, we typically pay a fixed rate and receive a floating rate based on one, three or six-month LIBOR ("payer swaps") with terms up to 20 years. The floating rate we receive under our swap agreements has the effect of offsetting the repricing characteristics of our repurchase agreements and cash flows on such liabilities. Our swap agreements are privately negotiated in the over−the−counter ("OTC") market, with swap agreements entered into subsequent to May 2013 subject to central clearing through a registered commodities exchange ("centrally cleared swaps").</w:t>
      </w:r>
    </w:p>
    <w:p>
      <w:pPr>
        <w:spacing w:after="0" w:line="89" w:lineRule="exact"/>
        <w:rPr>
          <w:sz w:val="20"/>
          <w:szCs w:val="20"/>
          <w:color w:val="auto"/>
        </w:rPr>
      </w:pPr>
    </w:p>
    <w:p>
      <w:pPr>
        <w:jc w:val="both"/>
        <w:ind w:right="20" w:firstLine="288"/>
        <w:spacing w:after="0" w:line="276" w:lineRule="auto"/>
        <w:rPr>
          <w:sz w:val="20"/>
          <w:szCs w:val="20"/>
          <w:color w:val="auto"/>
        </w:rPr>
      </w:pPr>
      <w:r>
        <w:rPr>
          <w:rFonts w:ascii="Arial" w:cs="Arial" w:eastAsia="Arial" w:hAnsi="Arial"/>
          <w:sz w:val="12"/>
          <w:szCs w:val="12"/>
          <w:color w:val="auto"/>
        </w:rPr>
        <w:t>We estimate the fair value of our centrally cleared interest rate swaps using the daily settlement price determined by the respective exchange. Centrally cleared swaps are valued by the exchange using a pricing model that references the underlying rates including the overnight index swap rate and LIBOR forward rate to produce the daily settlement price.</w:t>
      </w:r>
    </w:p>
    <w:p>
      <w:pPr>
        <w:spacing w:after="0" w:line="79" w:lineRule="exact"/>
        <w:rPr>
          <w:sz w:val="20"/>
          <w:szCs w:val="20"/>
          <w:color w:val="auto"/>
        </w:rPr>
      </w:pPr>
    </w:p>
    <w:p>
      <w:pPr>
        <w:jc w:val="both"/>
        <w:ind w:firstLine="288"/>
        <w:spacing w:after="0" w:line="340" w:lineRule="auto"/>
        <w:rPr>
          <w:sz w:val="20"/>
          <w:szCs w:val="20"/>
          <w:color w:val="auto"/>
        </w:rPr>
      </w:pPr>
      <w:r>
        <w:rPr>
          <w:rFonts w:ascii="Arial" w:cs="Arial" w:eastAsia="Arial" w:hAnsi="Arial"/>
          <w:sz w:val="10"/>
          <w:szCs w:val="10"/>
          <w:color w:val="auto"/>
        </w:rPr>
        <w:t>We estimate the fair value of our "non-centrally cleared" swaps using a combination of inputs from counterparty and third-party pricing models to estimate the net present value of the future cash flows using the forward interest rate yield curve in effect as of the end of the measurement period. We also incorporate both our own and our counterparties' nonperformance risk in estimating the fair value of our interest rate swaps. In considering the effect of nonperformance risk, we consider the impact of netting and credit enhancements, such as collateral postings and guarantees, and have concluded that our own and our counterparty risk is not significant to the overall valuation of these agreements.</w:t>
      </w:r>
    </w:p>
    <w:p>
      <w:pPr>
        <w:spacing w:after="0" w:line="52"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Interest rate swaptions</w:t>
      </w:r>
    </w:p>
    <w:p>
      <w:pPr>
        <w:spacing w:after="0" w:line="114" w:lineRule="exact"/>
        <w:rPr>
          <w:sz w:val="20"/>
          <w:szCs w:val="20"/>
          <w:color w:val="auto"/>
        </w:rPr>
      </w:pPr>
    </w:p>
    <w:p>
      <w:pPr>
        <w:jc w:val="both"/>
        <w:ind w:firstLine="288"/>
        <w:spacing w:after="0" w:line="254" w:lineRule="auto"/>
        <w:rPr>
          <w:sz w:val="20"/>
          <w:szCs w:val="20"/>
          <w:color w:val="auto"/>
        </w:rPr>
      </w:pPr>
      <w:r>
        <w:rPr>
          <w:rFonts w:ascii="Arial" w:cs="Arial" w:eastAsia="Arial" w:hAnsi="Arial"/>
          <w:sz w:val="12"/>
          <w:szCs w:val="12"/>
          <w:color w:val="auto"/>
        </w:rPr>
        <w:t>We purchase interest rate swaptions generally to help mitigate the potential impact of larger, more rapid changes in interest rates on the performance of our investment portfolio. Interest rate swaptions provide us the option to enter into an interest rate swap agreement for a predetermined notional amount, stated term and pay and receive interest rates in the future. Our swaption agreements typically provide us the option to enter into a pay fixed rate interest rate swap, which we refer as "payer swaptions." We may also enter into swaption agreements that provide us the option to enter into a receive fixed interest rate swap, which we refer to as "receiver swaptions." The premium paid for interest rate swaptions is reported as an asset in our consolidated balance sheets. The premium is valued at an amount equal to the fair value of the swaption that would have the effect of closing the position adjusted for nonperformance risk, if any. The difference between the premium and the fair value of the swaption is reported in gain (loss) on derivative instruments and other securities, net in our consolidated statements of comprehensive income. If a swaption expires unexercised, the realized loss on the swaption would be equal to the premium paid. If we sell or exercise a swaption, the realized gain or loss on the swaption would be equal to the difference between the cash or the fair value of the underlying interest rate swap received and the premium paid.</w:t>
      </w:r>
    </w:p>
    <w:p>
      <w:pPr>
        <w:spacing w:after="0" w:line="95" w:lineRule="exact"/>
        <w:rPr>
          <w:sz w:val="20"/>
          <w:szCs w:val="20"/>
          <w:color w:val="auto"/>
        </w:rPr>
      </w:pPr>
    </w:p>
    <w:p>
      <w:pPr>
        <w:jc w:val="both"/>
        <w:ind w:firstLine="288"/>
        <w:spacing w:after="0" w:line="323" w:lineRule="auto"/>
        <w:rPr>
          <w:sz w:val="20"/>
          <w:szCs w:val="20"/>
          <w:color w:val="auto"/>
        </w:rPr>
      </w:pPr>
      <w:r>
        <w:rPr>
          <w:rFonts w:ascii="Arial" w:cs="Arial" w:eastAsia="Arial" w:hAnsi="Arial"/>
          <w:sz w:val="11"/>
          <w:szCs w:val="11"/>
          <w:color w:val="auto"/>
        </w:rPr>
        <w:t>Our interest rate swaption agreements are privately negotiated in the OTC market and are not subject to central clearing. We estimate the fair value of interest rate swaptions using a combination of inputs from counterparty and third-party pricing models based on the fair value of the future interest rate swap that we have the option to enter into as well as the remaining length of time that we have to exercise the option, adjusted for non-performance risk, if any.</w:t>
      </w:r>
    </w:p>
    <w:p>
      <w:pPr>
        <w:spacing w:after="0" w:line="56"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TBA securities</w:t>
      </w:r>
    </w:p>
    <w:p>
      <w:pPr>
        <w:spacing w:after="0" w:line="114"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A TBA security is a forward contract for the purchase ("long position") or sale ("short position") of agency MBS at a predetermined price, face amount, issuer, coupon and stated maturity on an agreed-upon future date. The specific agency MBS delivered into the contract upon the settlement date, published each month by the Securities Industry and Financial Markets</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9</w:t>
      </w:r>
    </w:p>
    <w:p>
      <w:pPr>
        <w:sectPr>
          <w:pgSz w:w="11900" w:h="16838" w:orient="portrait"/>
          <w:cols w:equalWidth="0" w:num="1">
            <w:col w:w="11480"/>
          </w:cols>
          <w:pgMar w:left="220" w:top="545" w:right="199" w:bottom="1440" w:gutter="0" w:footer="0" w:header="0"/>
        </w:sectPr>
      </w:pPr>
    </w:p>
    <w:bookmarkStart w:id="10" w:name="page11"/>
    <w:bookmarkEnd w:id="10"/>
    <w:p>
      <w:pPr>
        <w:jc w:val="both"/>
        <w:spacing w:after="0" w:line="276" w:lineRule="auto"/>
        <w:rPr>
          <w:sz w:val="20"/>
          <w:szCs w:val="20"/>
          <w:color w:val="auto"/>
        </w:rPr>
      </w:pPr>
      <w:r>
        <w:rPr>
          <w:rFonts w:ascii="Arial" w:cs="Arial" w:eastAsia="Arial" w:hAnsi="Arial"/>
          <w:sz w:val="12"/>
          <w:szCs w:val="12"/>
          <w:color w:val="auto"/>
        </w:rPr>
        <w:t>Association, are not known at the time of the transaction. We may enter into TBA contracts as a means of hedging against short-term changes in interest rates. We may also enter into TBA contracts as a means of acquiring or disposing of agency securities and utilize TBA dollar roll transactions to finance agency MBS purchases.</w:t>
      </w:r>
    </w:p>
    <w:p>
      <w:pPr>
        <w:spacing w:after="0" w:line="79" w:lineRule="exact"/>
        <w:rPr>
          <w:sz w:val="20"/>
          <w:szCs w:val="20"/>
          <w:color w:val="auto"/>
        </w:rPr>
      </w:pPr>
    </w:p>
    <w:p>
      <w:pPr>
        <w:jc w:val="both"/>
        <w:ind w:firstLine="288"/>
        <w:spacing w:after="0" w:line="298" w:lineRule="auto"/>
        <w:rPr>
          <w:sz w:val="20"/>
          <w:szCs w:val="20"/>
          <w:color w:val="auto"/>
        </w:rPr>
      </w:pPr>
      <w:r>
        <w:rPr>
          <w:rFonts w:ascii="Arial" w:cs="Arial" w:eastAsia="Arial" w:hAnsi="Arial"/>
          <w:sz w:val="11"/>
          <w:szCs w:val="11"/>
          <w:color w:val="auto"/>
        </w:rPr>
        <w:t>We account for TBA contracts as derivative instruments since either the TBA contracts do not settle in the shortest period of time possible or we cannot assert that it is probable at inception and throughout the term of the TBA contract that we will take physical delivery of the agency security upon settlement of the contract. We account for TBA dollar roll transactions as a series of derivative transactions. Gains, losses and dollar roll income associated with our TBA contracts and dollar roll transactions are recognized in our consolidated statements of comprehensive income in gain (loss) on derivative instruments and other securities, net.</w:t>
      </w:r>
    </w:p>
    <w:p>
      <w:pPr>
        <w:spacing w:after="0" w:line="69" w:lineRule="exact"/>
        <w:rPr>
          <w:sz w:val="20"/>
          <w:szCs w:val="20"/>
          <w:color w:val="auto"/>
        </w:rPr>
      </w:pPr>
    </w:p>
    <w:p>
      <w:pPr>
        <w:ind w:left="280"/>
        <w:spacing w:after="0"/>
        <w:rPr>
          <w:sz w:val="20"/>
          <w:szCs w:val="20"/>
          <w:color w:val="auto"/>
        </w:rPr>
      </w:pPr>
      <w:r>
        <w:rPr>
          <w:rFonts w:ascii="Arial" w:cs="Arial" w:eastAsia="Arial" w:hAnsi="Arial"/>
          <w:sz w:val="12"/>
          <w:szCs w:val="12"/>
          <w:color w:val="auto"/>
        </w:rPr>
        <w:t>We estimate the fair value of TBA securities based on similar methods used to value our agency MBS securities.</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U.S. Treasury securities</w:t>
      </w:r>
    </w:p>
    <w:p>
      <w:pPr>
        <w:spacing w:after="0" w:line="114"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We purchase or sell short U.S. Treasury securities and U.S. Treasury futures contracts to help mitigate the potential impact of changes in interest rates on the performance of our portfolio. We borrow securities to cover short sales of U.S. Treasury securities under reverse repurchase agreements. We account for these as securities borrowing transactions and recognize an obligation to return the borrowed securities at fair value on our accompanying consolidated balance sheets based on the value of the underlying borrowed securities as of the reporting date. Gains and losses associated with purchases and short sales of U.S. Treasury securities and U.S. Treasury futures contracts are recognized in gain (loss) on derivative instruments and other securities, net in our consolidated statements of comprehensive income.</w:t>
      </w:r>
    </w:p>
    <w:p>
      <w:pPr>
        <w:spacing w:after="0" w:line="8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Goodwill and Other Intangible Assets, Net</w:t>
      </w:r>
    </w:p>
    <w:p>
      <w:pPr>
        <w:spacing w:after="0" w:line="114" w:lineRule="exact"/>
        <w:rPr>
          <w:sz w:val="20"/>
          <w:szCs w:val="20"/>
          <w:color w:val="auto"/>
        </w:rPr>
      </w:pPr>
    </w:p>
    <w:p>
      <w:pPr>
        <w:jc w:val="both"/>
        <w:ind w:firstLine="288"/>
        <w:spacing w:after="0" w:line="257" w:lineRule="auto"/>
        <w:rPr>
          <w:sz w:val="20"/>
          <w:szCs w:val="20"/>
          <w:color w:val="auto"/>
        </w:rPr>
      </w:pPr>
      <w:r>
        <w:rPr>
          <w:rFonts w:ascii="Arial" w:cs="Arial" w:eastAsia="Arial" w:hAnsi="Arial"/>
          <w:sz w:val="12"/>
          <w:szCs w:val="12"/>
          <w:color w:val="auto"/>
        </w:rPr>
        <w:t>Goodwill is the cost of an acquisition in excess of the fair value of identified assets acquired and liabilities assumed and is recorded as an asset on our balance sheet. Acquired intangible assets that do not meet the criteria for recognition as a separate asset are included in goodwill, which represents the estimated future economic benefit arising from these assets. Goodwill is not subject to amortization but must be tested for impairment at least annually. Intangible assets meeting the criteria for recognition as separate assets are recorded at their respective fair market values at the date of acquisition. Intangible assets with an estimated useful life are amortized over their expected useful life. As of September 30, 2016, we had $526 million of goodwill and $29 million of other intangible assets, net of accumulated amortization, reported in goodwill and other intangible assets, net in our accompanying consolidated balance sheets related to our acquisition of AMM on July 1, 2016 (see Note 10 for further details).</w:t>
      </w:r>
    </w:p>
    <w:p>
      <w:pPr>
        <w:spacing w:after="0" w:line="90"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We test goodwill for impairment on an annual basis and at interim periods when events or circumstances may make it more likely than not that an impairment has occurred. If a qualitative analysis indicates that there may be an impairment, a quantitative analysis is performed. The quantitative impairment test for goodwill utilizes a two-step approach whereby we compare the carrying value of each identified reporting unit to its fair value. If the carrying value of the reporting unit is greater than its fair value, the second step is performed, where the implied fair value of goodwill is compared to its carrying value. An impairment charge is recognized to the extent the carrying amount of goodwill exceeds its fair value.</w:t>
      </w:r>
    </w:p>
    <w:p>
      <w:pPr>
        <w:spacing w:after="0" w:line="121"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4. Investment Securities</w:t>
      </w:r>
    </w:p>
    <w:p>
      <w:pPr>
        <w:spacing w:after="0" w:line="118"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As of September 30, 2016 and December 31, 2015, our investment portfolio consisted of $47.4 billion and $52.5 billion of investment securities, at fair value, respectively, and a $15.6 billion and $7.4 billion net long TBA position, at fair value, respectively.</w:t>
      </w:r>
    </w:p>
    <w:p>
      <w:pPr>
        <w:spacing w:after="0" w:line="7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Our TBA position is reported at its net carrying value of $46 million and $14 million as of September 30, 2016 and December 31, 2015, respectively, in derivative assets/(liabilities) on our accompanying consolidated balance sheets. The net carrying value of our TBA position represents the difference between the fair value of the underlying agency security in the TBA contract and the cost basis or the forward price to be paid or received for the underlying agency security. (See Note 6 for further details of our net TBA position as of September 30, 2016 and December 31, 2015.)</w:t>
      </w:r>
    </w:p>
    <w:p>
      <w:pPr>
        <w:spacing w:after="0" w:line="87" w:lineRule="exact"/>
        <w:rPr>
          <w:sz w:val="20"/>
          <w:szCs w:val="20"/>
          <w:color w:val="auto"/>
        </w:rPr>
      </w:pPr>
    </w:p>
    <w:p>
      <w:pPr>
        <w:ind w:left="260"/>
        <w:spacing w:after="0"/>
        <w:rPr>
          <w:sz w:val="20"/>
          <w:szCs w:val="20"/>
          <w:color w:val="auto"/>
        </w:rPr>
      </w:pPr>
      <w:r>
        <w:rPr>
          <w:rFonts w:ascii="Arial" w:cs="Arial" w:eastAsia="Arial" w:hAnsi="Arial"/>
          <w:sz w:val="12"/>
          <w:szCs w:val="12"/>
          <w:color w:val="auto"/>
        </w:rPr>
        <w:t>As of September 30, 2016 and December 31, 2015, the net unamortized premium balance on our MBS was $2.1 billion and $2.3 billion, respectively, including interest and principal-only securities.</w:t>
      </w:r>
    </w:p>
    <w:p>
      <w:pPr>
        <w:spacing w:after="0" w:line="16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10</w:t>
      </w:r>
    </w:p>
    <w:p>
      <w:pPr>
        <w:sectPr>
          <w:pgSz w:w="11900" w:h="16838" w:orient="portrait"/>
          <w:cols w:equalWidth="0" w:num="1">
            <w:col w:w="11480"/>
          </w:cols>
          <w:pgMar w:left="220" w:top="545" w:right="199" w:bottom="1440" w:gutter="0" w:footer="0" w:header="0"/>
        </w:sectPr>
      </w:pPr>
    </w:p>
    <w:bookmarkStart w:id="11" w:name="page12"/>
    <w:bookmarkEnd w:id="11"/>
    <w:p>
      <w:pPr>
        <w:ind w:left="260"/>
        <w:spacing w:after="0"/>
        <w:rPr>
          <w:sz w:val="20"/>
          <w:szCs w:val="20"/>
          <w:color w:val="auto"/>
        </w:rPr>
      </w:pPr>
      <w:r>
        <w:rPr>
          <w:rFonts w:ascii="Arial" w:cs="Arial" w:eastAsia="Arial" w:hAnsi="Arial"/>
          <w:sz w:val="12"/>
          <w:szCs w:val="12"/>
          <w:color w:val="auto"/>
        </w:rPr>
        <w:t>The following tables summarize our investment securities as of September 30, 2016 and December 31, 2015 (dollars in millions):</w:t>
      </w: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39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gridSpan w:val="5"/>
          </w:tcPr>
          <w:p>
            <w:pPr>
              <w:jc w:val="center"/>
              <w:ind w:left="52"/>
              <w:spacing w:after="0"/>
              <w:rPr>
                <w:sz w:val="20"/>
                <w:szCs w:val="20"/>
                <w:color w:val="auto"/>
              </w:rPr>
            </w:pPr>
            <w:r>
              <w:rPr>
                <w:rFonts w:ascii="Arial" w:cs="Arial" w:eastAsia="Arial" w:hAnsi="Arial"/>
                <w:sz w:val="10"/>
                <w:szCs w:val="10"/>
                <w:b w:val="1"/>
                <w:bCs w:val="1"/>
                <w:color w:val="auto"/>
                <w:w w:val="85"/>
              </w:rPr>
              <w:t>September 30, 2016</w:t>
            </w:r>
          </w:p>
        </w:tc>
        <w:tc>
          <w:tcPr>
            <w:tcW w:w="86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r>
      <w:tr>
        <w:trPr>
          <w:trHeight w:val="96"/>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9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26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460" w:type="dxa"/>
            <w:vAlign w:val="bottom"/>
          </w:tcPr>
          <w:p>
            <w:pPr>
              <w:spacing w:after="0"/>
              <w:rPr>
                <w:sz w:val="8"/>
                <w:szCs w:val="8"/>
                <w:color w:val="auto"/>
              </w:rPr>
            </w:pPr>
          </w:p>
        </w:tc>
        <w:tc>
          <w:tcPr>
            <w:tcW w:w="40" w:type="dxa"/>
            <w:vAlign w:val="bottom"/>
          </w:tcPr>
          <w:p>
            <w:pPr>
              <w:spacing w:after="0"/>
              <w:rPr>
                <w:sz w:val="8"/>
                <w:szCs w:val="8"/>
                <w:color w:val="auto"/>
              </w:rPr>
            </w:pPr>
          </w:p>
        </w:tc>
        <w:tc>
          <w:tcPr>
            <w:tcW w:w="420" w:type="dxa"/>
            <w:vAlign w:val="bottom"/>
            <w:gridSpan w:val="2"/>
          </w:tcPr>
          <w:p>
            <w:pPr>
              <w:jc w:val="center"/>
              <w:ind w:right="20"/>
              <w:spacing w:after="0" w:line="96" w:lineRule="exact"/>
              <w:rPr>
                <w:sz w:val="20"/>
                <w:szCs w:val="20"/>
                <w:color w:val="auto"/>
              </w:rPr>
            </w:pPr>
            <w:r>
              <w:rPr>
                <w:rFonts w:ascii="Arial" w:cs="Arial" w:eastAsia="Arial" w:hAnsi="Arial"/>
                <w:sz w:val="10"/>
                <w:szCs w:val="10"/>
                <w:b w:val="1"/>
                <w:bCs w:val="1"/>
                <w:color w:val="auto"/>
                <w:w w:val="82"/>
              </w:rPr>
              <w:t>Gross</w:t>
            </w:r>
          </w:p>
        </w:tc>
        <w:tc>
          <w:tcPr>
            <w:tcW w:w="46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260" w:type="dxa"/>
            <w:vAlign w:val="bottom"/>
          </w:tcPr>
          <w:p>
            <w:pPr>
              <w:spacing w:after="0"/>
              <w:rPr>
                <w:sz w:val="8"/>
                <w:szCs w:val="8"/>
                <w:color w:val="auto"/>
              </w:rPr>
            </w:pPr>
          </w:p>
        </w:tc>
        <w:tc>
          <w:tcPr>
            <w:tcW w:w="100" w:type="dxa"/>
            <w:vAlign w:val="bottom"/>
          </w:tcPr>
          <w:p>
            <w:pPr>
              <w:spacing w:after="0"/>
              <w:rPr>
                <w:sz w:val="8"/>
                <w:szCs w:val="8"/>
                <w:color w:val="auto"/>
              </w:rPr>
            </w:pPr>
          </w:p>
        </w:tc>
        <w:tc>
          <w:tcPr>
            <w:tcW w:w="860" w:type="dxa"/>
            <w:vAlign w:val="bottom"/>
          </w:tcPr>
          <w:p>
            <w:pPr>
              <w:jc w:val="center"/>
              <w:ind w:right="252"/>
              <w:spacing w:after="0" w:line="96" w:lineRule="exact"/>
              <w:rPr>
                <w:sz w:val="20"/>
                <w:szCs w:val="20"/>
                <w:color w:val="auto"/>
              </w:rPr>
            </w:pPr>
            <w:r>
              <w:rPr>
                <w:rFonts w:ascii="Arial" w:cs="Arial" w:eastAsia="Arial" w:hAnsi="Arial"/>
                <w:sz w:val="10"/>
                <w:szCs w:val="10"/>
                <w:b w:val="1"/>
                <w:bCs w:val="1"/>
                <w:color w:val="auto"/>
                <w:w w:val="82"/>
              </w:rPr>
              <w:t>Gross</w:t>
            </w:r>
          </w:p>
        </w:tc>
        <w:tc>
          <w:tcPr>
            <w:tcW w:w="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980" w:type="dxa"/>
            <w:vAlign w:val="bottom"/>
          </w:tcPr>
          <w:p>
            <w:pPr>
              <w:spacing w:after="0"/>
              <w:rPr>
                <w:sz w:val="8"/>
                <w:szCs w:val="8"/>
                <w:color w:val="auto"/>
              </w:rPr>
            </w:pPr>
          </w:p>
        </w:tc>
      </w:tr>
      <w:tr>
        <w:trPr>
          <w:trHeight w:val="99"/>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9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260" w:type="dxa"/>
            <w:vAlign w:val="bottom"/>
          </w:tcPr>
          <w:p>
            <w:pPr>
              <w:spacing w:after="0"/>
              <w:rPr>
                <w:sz w:val="8"/>
                <w:szCs w:val="8"/>
                <w:color w:val="auto"/>
              </w:rPr>
            </w:pPr>
          </w:p>
        </w:tc>
        <w:tc>
          <w:tcPr>
            <w:tcW w:w="120" w:type="dxa"/>
            <w:vAlign w:val="bottom"/>
          </w:tcPr>
          <w:p>
            <w:pPr>
              <w:spacing w:after="0"/>
              <w:rPr>
                <w:sz w:val="8"/>
                <w:szCs w:val="8"/>
                <w:color w:val="auto"/>
              </w:rPr>
            </w:pPr>
          </w:p>
        </w:tc>
        <w:tc>
          <w:tcPr>
            <w:tcW w:w="860" w:type="dxa"/>
            <w:vAlign w:val="bottom"/>
            <w:gridSpan w:val="3"/>
          </w:tcPr>
          <w:p>
            <w:pPr>
              <w:jc w:val="center"/>
              <w:ind w:left="354"/>
              <w:spacing w:after="0" w:line="99" w:lineRule="exact"/>
              <w:rPr>
                <w:sz w:val="20"/>
                <w:szCs w:val="20"/>
                <w:color w:val="auto"/>
              </w:rPr>
            </w:pPr>
            <w:r>
              <w:rPr>
                <w:rFonts w:ascii="Arial" w:cs="Arial" w:eastAsia="Arial" w:hAnsi="Arial"/>
                <w:sz w:val="10"/>
                <w:szCs w:val="10"/>
                <w:b w:val="1"/>
                <w:bCs w:val="1"/>
                <w:color w:val="auto"/>
                <w:w w:val="85"/>
              </w:rPr>
              <w:t>Amortized</w:t>
            </w: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460" w:type="dxa"/>
            <w:vAlign w:val="bottom"/>
          </w:tcPr>
          <w:p>
            <w:pPr>
              <w:spacing w:after="0"/>
              <w:rPr>
                <w:sz w:val="8"/>
                <w:szCs w:val="8"/>
                <w:color w:val="auto"/>
              </w:rPr>
            </w:pPr>
          </w:p>
        </w:tc>
        <w:tc>
          <w:tcPr>
            <w:tcW w:w="460" w:type="dxa"/>
            <w:vAlign w:val="bottom"/>
            <w:gridSpan w:val="3"/>
          </w:tcPr>
          <w:p>
            <w:pPr>
              <w:jc w:val="center"/>
              <w:spacing w:after="0" w:line="99" w:lineRule="exact"/>
              <w:rPr>
                <w:sz w:val="20"/>
                <w:szCs w:val="20"/>
                <w:color w:val="auto"/>
              </w:rPr>
            </w:pPr>
            <w:r>
              <w:rPr>
                <w:rFonts w:ascii="Arial" w:cs="Arial" w:eastAsia="Arial" w:hAnsi="Arial"/>
                <w:sz w:val="10"/>
                <w:szCs w:val="10"/>
                <w:b w:val="1"/>
                <w:bCs w:val="1"/>
                <w:color w:val="auto"/>
                <w:w w:val="86"/>
              </w:rPr>
              <w:t>Unrealized</w:t>
            </w:r>
          </w:p>
        </w:tc>
        <w:tc>
          <w:tcPr>
            <w:tcW w:w="46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260" w:type="dxa"/>
            <w:vAlign w:val="bottom"/>
          </w:tcPr>
          <w:p>
            <w:pPr>
              <w:spacing w:after="0"/>
              <w:rPr>
                <w:sz w:val="8"/>
                <w:szCs w:val="8"/>
                <w:color w:val="auto"/>
              </w:rPr>
            </w:pPr>
          </w:p>
        </w:tc>
        <w:tc>
          <w:tcPr>
            <w:tcW w:w="100" w:type="dxa"/>
            <w:vAlign w:val="bottom"/>
          </w:tcPr>
          <w:p>
            <w:pPr>
              <w:spacing w:after="0"/>
              <w:rPr>
                <w:sz w:val="8"/>
                <w:szCs w:val="8"/>
                <w:color w:val="auto"/>
              </w:rPr>
            </w:pPr>
          </w:p>
        </w:tc>
        <w:tc>
          <w:tcPr>
            <w:tcW w:w="860" w:type="dxa"/>
            <w:vAlign w:val="bottom"/>
          </w:tcPr>
          <w:p>
            <w:pPr>
              <w:jc w:val="center"/>
              <w:ind w:right="252"/>
              <w:spacing w:after="0" w:line="99" w:lineRule="exact"/>
              <w:rPr>
                <w:sz w:val="20"/>
                <w:szCs w:val="20"/>
                <w:color w:val="auto"/>
              </w:rPr>
            </w:pPr>
            <w:r>
              <w:rPr>
                <w:rFonts w:ascii="Arial" w:cs="Arial" w:eastAsia="Arial" w:hAnsi="Arial"/>
                <w:sz w:val="10"/>
                <w:szCs w:val="10"/>
                <w:b w:val="1"/>
                <w:bCs w:val="1"/>
                <w:color w:val="auto"/>
                <w:w w:val="86"/>
              </w:rPr>
              <w:t>Unrealized</w:t>
            </w:r>
          </w:p>
        </w:tc>
        <w:tc>
          <w:tcPr>
            <w:tcW w:w="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980" w:type="dxa"/>
            <w:vAlign w:val="bottom"/>
          </w:tcPr>
          <w:p>
            <w:pPr>
              <w:spacing w:after="0"/>
              <w:rPr>
                <w:sz w:val="8"/>
                <w:szCs w:val="8"/>
                <w:color w:val="auto"/>
              </w:rPr>
            </w:pPr>
          </w:p>
        </w:tc>
      </w:tr>
      <w:tr>
        <w:trPr>
          <w:trHeight w:val="128"/>
        </w:trPr>
        <w:tc>
          <w:tcPr>
            <w:tcW w:w="4020" w:type="dxa"/>
            <w:vAlign w:val="bottom"/>
            <w:tcBorders>
              <w:bottom w:val="single" w:sz="8" w:color="auto"/>
            </w:tcBorders>
            <w:gridSpan w:val="2"/>
          </w:tcPr>
          <w:p>
            <w:pPr>
              <w:ind w:left="20"/>
              <w:spacing w:after="0"/>
              <w:rPr>
                <w:sz w:val="20"/>
                <w:szCs w:val="20"/>
                <w:color w:val="auto"/>
              </w:rPr>
            </w:pPr>
            <w:r>
              <w:rPr>
                <w:rFonts w:ascii="Arial" w:cs="Arial" w:eastAsia="Arial" w:hAnsi="Arial"/>
                <w:sz w:val="10"/>
                <w:szCs w:val="10"/>
                <w:b w:val="1"/>
                <w:bCs w:val="1"/>
                <w:color w:val="auto"/>
              </w:rPr>
              <w:t>Investment Securities</w:t>
            </w:r>
          </w:p>
        </w:tc>
        <w:tc>
          <w:tcPr>
            <w:tcW w:w="200" w:type="dxa"/>
            <w:vAlign w:val="bottom"/>
            <w:tcBorders>
              <w:bottom w:val="single" w:sz="8" w:color="auto"/>
            </w:tcBorders>
          </w:tcPr>
          <w:p>
            <w:pPr>
              <w:spacing w:after="0"/>
              <w:rPr>
                <w:sz w:val="11"/>
                <w:szCs w:val="11"/>
                <w:color w:val="auto"/>
              </w:rPr>
            </w:pPr>
          </w:p>
        </w:tc>
        <w:tc>
          <w:tcPr>
            <w:tcW w:w="9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720" w:type="dxa"/>
            <w:vAlign w:val="bottom"/>
            <w:tcBorders>
              <w:bottom w:val="single" w:sz="8" w:color="auto"/>
            </w:tcBorders>
            <w:gridSpan w:val="2"/>
          </w:tcPr>
          <w:p>
            <w:pPr>
              <w:jc w:val="center"/>
              <w:ind w:left="494"/>
              <w:spacing w:after="0"/>
              <w:rPr>
                <w:sz w:val="20"/>
                <w:szCs w:val="20"/>
                <w:color w:val="auto"/>
              </w:rPr>
            </w:pPr>
            <w:r>
              <w:rPr>
                <w:rFonts w:ascii="Arial" w:cs="Arial" w:eastAsia="Arial" w:hAnsi="Arial"/>
                <w:sz w:val="10"/>
                <w:szCs w:val="10"/>
                <w:b w:val="1"/>
                <w:bCs w:val="1"/>
                <w:color w:val="auto"/>
                <w:w w:val="80"/>
              </w:rPr>
              <w:t>Cost</w:t>
            </w:r>
          </w:p>
        </w:tc>
        <w:tc>
          <w:tcPr>
            <w:tcW w:w="14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gridSpan w:val="2"/>
          </w:tcPr>
          <w:p>
            <w:pPr>
              <w:jc w:val="center"/>
              <w:ind w:right="20"/>
              <w:spacing w:after="0"/>
              <w:rPr>
                <w:sz w:val="20"/>
                <w:szCs w:val="20"/>
                <w:color w:val="auto"/>
              </w:rPr>
            </w:pPr>
            <w:r>
              <w:rPr>
                <w:rFonts w:ascii="Arial" w:cs="Arial" w:eastAsia="Arial" w:hAnsi="Arial"/>
                <w:sz w:val="10"/>
                <w:szCs w:val="10"/>
                <w:b w:val="1"/>
                <w:bCs w:val="1"/>
                <w:color w:val="auto"/>
                <w:w w:val="89"/>
              </w:rPr>
              <w:t>Gain</w:t>
            </w:r>
          </w:p>
        </w:tc>
        <w:tc>
          <w:tcPr>
            <w:tcW w:w="460" w:type="dxa"/>
            <w:vAlign w:val="bottom"/>
            <w:tcBorders>
              <w:bottom w:val="single" w:sz="8" w:color="auto"/>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40" w:type="dxa"/>
            <w:vAlign w:val="bottom"/>
            <w:tcBorders>
              <w:bottom w:val="single" w:sz="8" w:color="CCEEFF"/>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jc w:val="center"/>
              <w:ind w:right="252"/>
              <w:spacing w:after="0"/>
              <w:rPr>
                <w:sz w:val="20"/>
                <w:szCs w:val="20"/>
                <w:color w:val="auto"/>
              </w:rPr>
            </w:pPr>
            <w:r>
              <w:rPr>
                <w:rFonts w:ascii="Arial" w:cs="Arial" w:eastAsia="Arial" w:hAnsi="Arial"/>
                <w:sz w:val="10"/>
                <w:szCs w:val="10"/>
                <w:b w:val="1"/>
                <w:bCs w:val="1"/>
                <w:color w:val="auto"/>
                <w:w w:val="85"/>
              </w:rPr>
              <w:t>Loss</w:t>
            </w:r>
          </w:p>
        </w:tc>
        <w:tc>
          <w:tcPr>
            <w:tcW w:w="4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980" w:type="dxa"/>
            <w:vAlign w:val="bottom"/>
            <w:tcBorders>
              <w:bottom w:val="single" w:sz="8" w:color="auto"/>
            </w:tcBorders>
          </w:tcPr>
          <w:p>
            <w:pPr>
              <w:jc w:val="right"/>
              <w:ind w:right="415"/>
              <w:spacing w:after="0"/>
              <w:rPr>
                <w:sz w:val="20"/>
                <w:szCs w:val="20"/>
                <w:color w:val="auto"/>
              </w:rPr>
            </w:pPr>
            <w:r>
              <w:rPr>
                <w:rFonts w:ascii="Arial" w:cs="Arial" w:eastAsia="Arial" w:hAnsi="Arial"/>
                <w:sz w:val="10"/>
                <w:szCs w:val="10"/>
                <w:b w:val="1"/>
                <w:bCs w:val="1"/>
                <w:color w:val="auto"/>
              </w:rPr>
              <w:t>Fair Value</w:t>
            </w:r>
          </w:p>
        </w:tc>
      </w:tr>
      <w:tr>
        <w:trPr>
          <w:trHeight w:val="173"/>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Agency MBS:</w:t>
            </w:r>
          </w:p>
        </w:tc>
        <w:tc>
          <w:tcPr>
            <w:tcW w:w="20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6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980" w:type="dxa"/>
            <w:vAlign w:val="bottom"/>
            <w:shd w:val="clear" w:color="auto" w:fill="CCEEFF"/>
          </w:tcPr>
          <w:p>
            <w:pPr>
              <w:spacing w:after="0"/>
              <w:rPr>
                <w:sz w:val="15"/>
                <w:szCs w:val="15"/>
                <w:color w:val="auto"/>
              </w:rPr>
            </w:pPr>
          </w:p>
        </w:tc>
      </w:tr>
      <w:tr>
        <w:trPr>
          <w:trHeight w:val="176"/>
        </w:trPr>
        <w:tc>
          <w:tcPr>
            <w:tcW w:w="4020" w:type="dxa"/>
            <w:vAlign w:val="bottom"/>
            <w:gridSpan w:val="2"/>
          </w:tcPr>
          <w:p>
            <w:pPr>
              <w:ind w:left="100"/>
              <w:spacing w:after="0"/>
              <w:rPr>
                <w:sz w:val="20"/>
                <w:szCs w:val="20"/>
                <w:color w:val="auto"/>
              </w:rPr>
            </w:pPr>
            <w:r>
              <w:rPr>
                <w:rFonts w:ascii="Arial" w:cs="Arial" w:eastAsia="Arial" w:hAnsi="Arial"/>
                <w:sz w:val="10"/>
                <w:szCs w:val="10"/>
                <w:color w:val="auto"/>
              </w:rPr>
              <w:t>Fixed rate</w:t>
            </w:r>
          </w:p>
        </w:tc>
        <w:tc>
          <w:tcPr>
            <w:tcW w:w="20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80" w:type="dxa"/>
            <w:vAlign w:val="bottom"/>
            <w:gridSpan w:val="3"/>
          </w:tcPr>
          <w:p>
            <w:pPr>
              <w:jc w:val="right"/>
              <w:ind w:right="494"/>
              <w:spacing w:after="0"/>
              <w:rPr>
                <w:sz w:val="20"/>
                <w:szCs w:val="20"/>
                <w:color w:val="auto"/>
              </w:rPr>
            </w:pPr>
            <w:r>
              <w:rPr>
                <w:rFonts w:ascii="Arial" w:cs="Arial" w:eastAsia="Arial" w:hAnsi="Arial"/>
                <w:sz w:val="10"/>
                <w:szCs w:val="10"/>
                <w:color w:val="auto"/>
              </w:rPr>
              <w:t>$</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tcPr>
          <w:p>
            <w:pPr>
              <w:jc w:val="right"/>
              <w:ind w:right="72"/>
              <w:spacing w:after="0"/>
              <w:rPr>
                <w:sz w:val="20"/>
                <w:szCs w:val="20"/>
                <w:color w:val="auto"/>
              </w:rPr>
            </w:pPr>
            <w:r>
              <w:rPr>
                <w:rFonts w:ascii="Arial" w:cs="Arial" w:eastAsia="Arial" w:hAnsi="Arial"/>
                <w:sz w:val="10"/>
                <w:szCs w:val="10"/>
                <w:color w:val="auto"/>
                <w:w w:val="84"/>
              </w:rPr>
              <w:t>44,641</w:t>
            </w:r>
          </w:p>
        </w:tc>
        <w:tc>
          <w:tcPr>
            <w:tcW w:w="120" w:type="dxa"/>
            <w:vAlign w:val="bottom"/>
          </w:tcPr>
          <w:p>
            <w:pPr>
              <w:spacing w:after="0"/>
              <w:rPr>
                <w:sz w:val="15"/>
                <w:szCs w:val="15"/>
                <w:color w:val="auto"/>
              </w:rPr>
            </w:pPr>
          </w:p>
        </w:tc>
        <w:tc>
          <w:tcPr>
            <w:tcW w:w="460" w:type="dxa"/>
            <w:vAlign w:val="bottom"/>
          </w:tcPr>
          <w:p>
            <w:pPr>
              <w:jc w:val="right"/>
              <w:ind w:right="357"/>
              <w:spacing w:after="0"/>
              <w:rPr>
                <w:sz w:val="20"/>
                <w:szCs w:val="20"/>
                <w:color w:val="auto"/>
              </w:rPr>
            </w:pPr>
            <w:r>
              <w:rPr>
                <w:rFonts w:ascii="Arial" w:cs="Arial" w:eastAsia="Arial" w:hAnsi="Arial"/>
                <w:sz w:val="10"/>
                <w:szCs w:val="10"/>
                <w:color w:val="auto"/>
                <w:w w:val="71"/>
              </w:rPr>
              <w:t>$</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60" w:type="dxa"/>
            <w:vAlign w:val="bottom"/>
          </w:tcPr>
          <w:p>
            <w:pPr>
              <w:jc w:val="right"/>
              <w:ind w:right="52"/>
              <w:spacing w:after="0"/>
              <w:rPr>
                <w:sz w:val="20"/>
                <w:szCs w:val="20"/>
                <w:color w:val="auto"/>
              </w:rPr>
            </w:pPr>
            <w:r>
              <w:rPr>
                <w:rFonts w:ascii="Arial" w:cs="Arial" w:eastAsia="Arial" w:hAnsi="Arial"/>
                <w:sz w:val="10"/>
                <w:szCs w:val="10"/>
                <w:color w:val="auto"/>
              </w:rPr>
              <w:t>980</w:t>
            </w:r>
          </w:p>
        </w:tc>
        <w:tc>
          <w:tcPr>
            <w:tcW w:w="80" w:type="dxa"/>
            <w:vAlign w:val="bottom"/>
          </w:tcPr>
          <w:p>
            <w:pPr>
              <w:spacing w:after="0"/>
              <w:rPr>
                <w:sz w:val="15"/>
                <w:szCs w:val="15"/>
                <w:color w:val="auto"/>
              </w:rPr>
            </w:pPr>
          </w:p>
        </w:tc>
        <w:tc>
          <w:tcPr>
            <w:tcW w:w="300" w:type="dxa"/>
            <w:vAlign w:val="bottom"/>
            <w:gridSpan w:val="2"/>
          </w:tcPr>
          <w:p>
            <w:pPr>
              <w:jc w:val="right"/>
              <w:ind w:right="137"/>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(10)</w:t>
            </w:r>
          </w:p>
        </w:tc>
        <w:tc>
          <w:tcPr>
            <w:tcW w:w="280" w:type="dxa"/>
            <w:vAlign w:val="bottom"/>
            <w:gridSpan w:val="3"/>
          </w:tcPr>
          <w:p>
            <w:pPr>
              <w:jc w:val="right"/>
              <w:ind w:right="12"/>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80" w:type="dxa"/>
            <w:vAlign w:val="bottom"/>
          </w:tcPr>
          <w:p>
            <w:pPr>
              <w:jc w:val="right"/>
              <w:ind w:right="75"/>
              <w:spacing w:after="0"/>
              <w:rPr>
                <w:sz w:val="20"/>
                <w:szCs w:val="20"/>
                <w:color w:val="auto"/>
              </w:rPr>
            </w:pPr>
            <w:r>
              <w:rPr>
                <w:rFonts w:ascii="Arial" w:cs="Arial" w:eastAsia="Arial" w:hAnsi="Arial"/>
                <w:sz w:val="10"/>
                <w:szCs w:val="10"/>
                <w:color w:val="auto"/>
              </w:rPr>
              <w:t>45,611</w:t>
            </w:r>
          </w:p>
        </w:tc>
      </w:tr>
      <w:tr>
        <w:trPr>
          <w:trHeight w:val="184"/>
        </w:trPr>
        <w:tc>
          <w:tcPr>
            <w:tcW w:w="402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Adjustable rate</w:t>
            </w:r>
          </w:p>
        </w:tc>
        <w:tc>
          <w:tcPr>
            <w:tcW w:w="2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401</w:t>
            </w:r>
          </w:p>
        </w:tc>
        <w:tc>
          <w:tcPr>
            <w:tcW w:w="120" w:type="dxa"/>
            <w:vAlign w:val="bottom"/>
            <w:shd w:val="clear" w:color="auto" w:fill="CCEEFF"/>
          </w:tcPr>
          <w:p>
            <w:pPr>
              <w:spacing w:after="0"/>
              <w:rPr>
                <w:sz w:val="16"/>
                <w:szCs w:val="16"/>
                <w:color w:val="auto"/>
              </w:rPr>
            </w:pPr>
          </w:p>
        </w:tc>
        <w:tc>
          <w:tcPr>
            <w:tcW w:w="4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4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14</w:t>
            </w: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980" w:type="dxa"/>
            <w:vAlign w:val="bottom"/>
            <w:shd w:val="clear" w:color="auto" w:fill="CCEEFF"/>
          </w:tcPr>
          <w:p>
            <w:pPr>
              <w:jc w:val="right"/>
              <w:ind w:right="75"/>
              <w:spacing w:after="0"/>
              <w:rPr>
                <w:sz w:val="20"/>
                <w:szCs w:val="20"/>
                <w:color w:val="auto"/>
              </w:rPr>
            </w:pPr>
            <w:r>
              <w:rPr>
                <w:rFonts w:ascii="Arial" w:cs="Arial" w:eastAsia="Arial" w:hAnsi="Arial"/>
                <w:sz w:val="10"/>
                <w:szCs w:val="10"/>
                <w:color w:val="auto"/>
              </w:rPr>
              <w:t>415</w:t>
            </w:r>
          </w:p>
        </w:tc>
      </w:tr>
      <w:tr>
        <w:trPr>
          <w:trHeight w:val="176"/>
        </w:trPr>
        <w:tc>
          <w:tcPr>
            <w:tcW w:w="4020" w:type="dxa"/>
            <w:vAlign w:val="bottom"/>
            <w:gridSpan w:val="2"/>
          </w:tcPr>
          <w:p>
            <w:pPr>
              <w:ind w:left="100"/>
              <w:spacing w:after="0"/>
              <w:rPr>
                <w:sz w:val="20"/>
                <w:szCs w:val="20"/>
                <w:color w:val="auto"/>
              </w:rPr>
            </w:pPr>
            <w:r>
              <w:rPr>
                <w:rFonts w:ascii="Arial" w:cs="Arial" w:eastAsia="Arial" w:hAnsi="Arial"/>
                <w:sz w:val="10"/>
                <w:szCs w:val="10"/>
                <w:color w:val="auto"/>
              </w:rPr>
              <w:t>CMO</w:t>
            </w:r>
          </w:p>
        </w:tc>
        <w:tc>
          <w:tcPr>
            <w:tcW w:w="20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tcPr>
          <w:p>
            <w:pPr>
              <w:jc w:val="right"/>
              <w:ind w:right="72"/>
              <w:spacing w:after="0"/>
              <w:rPr>
                <w:sz w:val="20"/>
                <w:szCs w:val="20"/>
                <w:color w:val="auto"/>
              </w:rPr>
            </w:pPr>
            <w:r>
              <w:rPr>
                <w:rFonts w:ascii="Arial" w:cs="Arial" w:eastAsia="Arial" w:hAnsi="Arial"/>
                <w:sz w:val="10"/>
                <w:szCs w:val="10"/>
                <w:color w:val="auto"/>
              </w:rPr>
              <w:t>840</w:t>
            </w: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60" w:type="dxa"/>
            <w:vAlign w:val="bottom"/>
          </w:tcPr>
          <w:p>
            <w:pPr>
              <w:jc w:val="right"/>
              <w:ind w:right="52"/>
              <w:spacing w:after="0"/>
              <w:rPr>
                <w:sz w:val="20"/>
                <w:szCs w:val="20"/>
                <w:color w:val="auto"/>
              </w:rPr>
            </w:pPr>
            <w:r>
              <w:rPr>
                <w:rFonts w:ascii="Arial" w:cs="Arial" w:eastAsia="Arial" w:hAnsi="Arial"/>
                <w:sz w:val="10"/>
                <w:szCs w:val="10"/>
                <w:color w:val="auto"/>
              </w:rPr>
              <w:t>25</w:t>
            </w:r>
          </w:p>
        </w:tc>
        <w:tc>
          <w:tcPr>
            <w:tcW w:w="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60" w:type="dxa"/>
            <w:vAlign w:val="bottom"/>
          </w:tcPr>
          <w:p>
            <w:pPr>
              <w:jc w:val="right"/>
              <w:ind w:right="12"/>
              <w:spacing w:after="0"/>
              <w:rPr>
                <w:sz w:val="20"/>
                <w:szCs w:val="20"/>
                <w:color w:val="auto"/>
              </w:rPr>
            </w:pPr>
            <w:r>
              <w:rPr>
                <w:rFonts w:ascii="Arial" w:cs="Arial" w:eastAsia="Arial" w:hAnsi="Arial"/>
                <w:sz w:val="10"/>
                <w:szCs w:val="10"/>
                <w:color w:val="auto"/>
              </w:rPr>
              <w:t>—</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80" w:type="dxa"/>
            <w:vAlign w:val="bottom"/>
          </w:tcPr>
          <w:p>
            <w:pPr>
              <w:jc w:val="right"/>
              <w:ind w:right="75"/>
              <w:spacing w:after="0"/>
              <w:rPr>
                <w:sz w:val="20"/>
                <w:szCs w:val="20"/>
                <w:color w:val="auto"/>
              </w:rPr>
            </w:pPr>
            <w:r>
              <w:rPr>
                <w:rFonts w:ascii="Arial" w:cs="Arial" w:eastAsia="Arial" w:hAnsi="Arial"/>
                <w:sz w:val="10"/>
                <w:szCs w:val="10"/>
                <w:color w:val="auto"/>
              </w:rPr>
              <w:t>865</w:t>
            </w:r>
          </w:p>
        </w:tc>
      </w:tr>
      <w:tr>
        <w:trPr>
          <w:trHeight w:val="180"/>
        </w:trPr>
        <w:tc>
          <w:tcPr>
            <w:tcW w:w="402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Interest-only and principal-only strips</w:t>
            </w:r>
          </w:p>
        </w:tc>
        <w:tc>
          <w:tcPr>
            <w:tcW w:w="20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tcBorders>
              <w:bottom w:val="single" w:sz="8" w:color="auto"/>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286</w:t>
            </w:r>
          </w:p>
        </w:tc>
        <w:tc>
          <w:tcPr>
            <w:tcW w:w="120" w:type="dxa"/>
            <w:vAlign w:val="bottom"/>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spacing w:after="0"/>
              <w:rPr>
                <w:sz w:val="15"/>
                <w:szCs w:val="15"/>
                <w:color w:val="auto"/>
              </w:rPr>
            </w:pPr>
          </w:p>
        </w:tc>
        <w:tc>
          <w:tcPr>
            <w:tcW w:w="40" w:type="dxa"/>
            <w:vAlign w:val="bottom"/>
            <w:tcBorders>
              <w:bottom w:val="single" w:sz="8" w:color="auto"/>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300" w:type="dxa"/>
            <w:vAlign w:val="bottom"/>
            <w:tcBorders>
              <w:bottom w:val="single" w:sz="8" w:color="auto"/>
            </w:tcBorders>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44</w:t>
            </w:r>
          </w:p>
        </w:tc>
        <w:tc>
          <w:tcPr>
            <w:tcW w:w="8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60" w:type="dxa"/>
            <w:vAlign w:val="bottom"/>
            <w:tcBorders>
              <w:bottom w:val="single" w:sz="8" w:color="auto"/>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w:t>
            </w:r>
          </w:p>
        </w:tc>
        <w:tc>
          <w:tcPr>
            <w:tcW w:w="40" w:type="dxa"/>
            <w:vAlign w:val="bottom"/>
            <w:tcBorders>
              <w:bottom w:val="single" w:sz="8" w:color="auto"/>
            </w:tcBorders>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16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shd w:val="clear" w:color="auto" w:fill="CCEEFF"/>
          </w:tcPr>
          <w:p>
            <w:pPr>
              <w:jc w:val="right"/>
              <w:ind w:right="75"/>
              <w:spacing w:after="0"/>
              <w:rPr>
                <w:sz w:val="20"/>
                <w:szCs w:val="20"/>
                <w:color w:val="auto"/>
              </w:rPr>
            </w:pPr>
            <w:r>
              <w:rPr>
                <w:rFonts w:ascii="Arial" w:cs="Arial" w:eastAsia="Arial" w:hAnsi="Arial"/>
                <w:sz w:val="10"/>
                <w:szCs w:val="10"/>
                <w:color w:val="auto"/>
              </w:rPr>
              <w:t>327</w:t>
            </w:r>
          </w:p>
        </w:tc>
      </w:tr>
      <w:tr>
        <w:trPr>
          <w:trHeight w:val="160"/>
        </w:trPr>
        <w:tc>
          <w:tcPr>
            <w:tcW w:w="4020" w:type="dxa"/>
            <w:vAlign w:val="bottom"/>
            <w:gridSpan w:val="2"/>
          </w:tcPr>
          <w:p>
            <w:pPr>
              <w:ind w:left="20"/>
              <w:spacing w:after="0"/>
              <w:rPr>
                <w:sz w:val="20"/>
                <w:szCs w:val="20"/>
                <w:color w:val="auto"/>
              </w:rPr>
            </w:pPr>
            <w:r>
              <w:rPr>
                <w:rFonts w:ascii="Arial" w:cs="Arial" w:eastAsia="Arial" w:hAnsi="Arial"/>
                <w:sz w:val="10"/>
                <w:szCs w:val="10"/>
                <w:color w:val="auto"/>
              </w:rPr>
              <w:t>Total agency MBS</w:t>
            </w:r>
          </w:p>
        </w:tc>
        <w:tc>
          <w:tcPr>
            <w:tcW w:w="20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00" w:type="dxa"/>
            <w:vAlign w:val="bottom"/>
          </w:tcPr>
          <w:p>
            <w:pPr>
              <w:jc w:val="right"/>
              <w:ind w:right="72"/>
              <w:spacing w:after="0"/>
              <w:rPr>
                <w:sz w:val="20"/>
                <w:szCs w:val="20"/>
                <w:color w:val="auto"/>
              </w:rPr>
            </w:pPr>
            <w:r>
              <w:rPr>
                <w:rFonts w:ascii="Arial" w:cs="Arial" w:eastAsia="Arial" w:hAnsi="Arial"/>
                <w:sz w:val="10"/>
                <w:szCs w:val="10"/>
                <w:color w:val="auto"/>
                <w:w w:val="84"/>
              </w:rPr>
              <w:t>46,168</w:t>
            </w:r>
          </w:p>
        </w:tc>
        <w:tc>
          <w:tcPr>
            <w:tcW w:w="1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60" w:type="dxa"/>
            <w:vAlign w:val="bottom"/>
          </w:tcPr>
          <w:p>
            <w:pPr>
              <w:jc w:val="right"/>
              <w:ind w:right="52"/>
              <w:spacing w:after="0"/>
              <w:rPr>
                <w:sz w:val="20"/>
                <w:szCs w:val="20"/>
                <w:color w:val="auto"/>
              </w:rPr>
            </w:pPr>
            <w:r>
              <w:rPr>
                <w:rFonts w:ascii="Arial" w:cs="Arial" w:eastAsia="Arial" w:hAnsi="Arial"/>
                <w:sz w:val="10"/>
                <w:szCs w:val="10"/>
                <w:color w:val="auto"/>
              </w:rPr>
              <w:t>1,063</w:t>
            </w: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(13)</w:t>
            </w: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80" w:type="dxa"/>
            <w:vAlign w:val="bottom"/>
          </w:tcPr>
          <w:p>
            <w:pPr>
              <w:jc w:val="right"/>
              <w:ind w:right="75"/>
              <w:spacing w:after="0"/>
              <w:rPr>
                <w:sz w:val="20"/>
                <w:szCs w:val="20"/>
                <w:color w:val="auto"/>
              </w:rPr>
            </w:pPr>
            <w:r>
              <w:rPr>
                <w:rFonts w:ascii="Arial" w:cs="Arial" w:eastAsia="Arial" w:hAnsi="Arial"/>
                <w:sz w:val="10"/>
                <w:szCs w:val="10"/>
                <w:color w:val="auto"/>
              </w:rPr>
              <w:t>47,218</w:t>
            </w:r>
          </w:p>
        </w:tc>
      </w:tr>
      <w:tr>
        <w:trPr>
          <w:trHeight w:val="184"/>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Non-agency MBS</w:t>
            </w:r>
          </w:p>
        </w:tc>
        <w:tc>
          <w:tcPr>
            <w:tcW w:w="2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100</w:t>
            </w:r>
          </w:p>
        </w:tc>
        <w:tc>
          <w:tcPr>
            <w:tcW w:w="120" w:type="dxa"/>
            <w:vAlign w:val="bottom"/>
            <w:shd w:val="clear" w:color="auto" w:fill="CCEEFF"/>
          </w:tcPr>
          <w:p>
            <w:pPr>
              <w:spacing w:after="0"/>
              <w:rPr>
                <w:sz w:val="16"/>
                <w:szCs w:val="16"/>
                <w:color w:val="auto"/>
              </w:rPr>
            </w:pPr>
          </w:p>
        </w:tc>
        <w:tc>
          <w:tcPr>
            <w:tcW w:w="4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4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2</w:t>
            </w: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980" w:type="dxa"/>
            <w:vAlign w:val="bottom"/>
            <w:shd w:val="clear" w:color="auto" w:fill="CCEEFF"/>
          </w:tcPr>
          <w:p>
            <w:pPr>
              <w:jc w:val="right"/>
              <w:ind w:right="75"/>
              <w:spacing w:after="0"/>
              <w:rPr>
                <w:sz w:val="20"/>
                <w:szCs w:val="20"/>
                <w:color w:val="auto"/>
              </w:rPr>
            </w:pPr>
            <w:r>
              <w:rPr>
                <w:rFonts w:ascii="Arial" w:cs="Arial" w:eastAsia="Arial" w:hAnsi="Arial"/>
                <w:sz w:val="10"/>
                <w:szCs w:val="10"/>
                <w:color w:val="auto"/>
              </w:rPr>
              <w:t>102</w:t>
            </w:r>
          </w:p>
        </w:tc>
      </w:tr>
      <w:tr>
        <w:trPr>
          <w:trHeight w:val="176"/>
        </w:trPr>
        <w:tc>
          <w:tcPr>
            <w:tcW w:w="402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CRT securities</w:t>
            </w:r>
          </w:p>
        </w:tc>
        <w:tc>
          <w:tcPr>
            <w:tcW w:w="200" w:type="dxa"/>
            <w:vAlign w:val="bottom"/>
            <w:tcBorders>
              <w:bottom w:val="single" w:sz="8" w:color="CCEEFF"/>
            </w:tcBorders>
          </w:tcPr>
          <w:p>
            <w:pPr>
              <w:spacing w:after="0"/>
              <w:rPr>
                <w:sz w:val="15"/>
                <w:szCs w:val="15"/>
                <w:color w:val="auto"/>
              </w:rPr>
            </w:pPr>
          </w:p>
        </w:tc>
        <w:tc>
          <w:tcPr>
            <w:tcW w:w="960" w:type="dxa"/>
            <w:vAlign w:val="bottom"/>
            <w:tcBorders>
              <w:bottom w:val="single" w:sz="8" w:color="CCEEFF"/>
            </w:tcBorders>
          </w:tcPr>
          <w:p>
            <w:pPr>
              <w:spacing w:after="0"/>
              <w:rPr>
                <w:sz w:val="15"/>
                <w:szCs w:val="15"/>
                <w:color w:val="auto"/>
              </w:rPr>
            </w:pPr>
          </w:p>
        </w:tc>
        <w:tc>
          <w:tcPr>
            <w:tcW w:w="120" w:type="dxa"/>
            <w:vAlign w:val="bottom"/>
            <w:tcBorders>
              <w:bottom w:val="single" w:sz="8" w:color="CCEEFF"/>
            </w:tcBorders>
          </w:tcPr>
          <w:p>
            <w:pPr>
              <w:spacing w:after="0"/>
              <w:rPr>
                <w:sz w:val="15"/>
                <w:szCs w:val="15"/>
                <w:color w:val="auto"/>
              </w:rPr>
            </w:pPr>
          </w:p>
        </w:tc>
        <w:tc>
          <w:tcPr>
            <w:tcW w:w="180" w:type="dxa"/>
            <w:vAlign w:val="bottom"/>
            <w:tcBorders>
              <w:bottom w:val="single" w:sz="8" w:color="CCEEFF"/>
            </w:tcBorders>
          </w:tcPr>
          <w:p>
            <w:pPr>
              <w:spacing w:after="0"/>
              <w:rPr>
                <w:sz w:val="15"/>
                <w:szCs w:val="15"/>
                <w:color w:val="auto"/>
              </w:rPr>
            </w:pPr>
          </w:p>
        </w:tc>
        <w:tc>
          <w:tcPr>
            <w:tcW w:w="260" w:type="dxa"/>
            <w:vAlign w:val="bottom"/>
            <w:tcBorders>
              <w:bottom w:val="single" w:sz="8" w:color="CCEEFF"/>
            </w:tcBorders>
          </w:tcPr>
          <w:p>
            <w:pPr>
              <w:spacing w:after="0"/>
              <w:rPr>
                <w:sz w:val="15"/>
                <w:szCs w:val="15"/>
                <w:color w:val="auto"/>
              </w:rPr>
            </w:pPr>
          </w:p>
        </w:tc>
        <w:tc>
          <w:tcPr>
            <w:tcW w:w="120" w:type="dxa"/>
            <w:vAlign w:val="bottom"/>
            <w:tcBorders>
              <w:bottom w:val="single" w:sz="8" w:color="CCEEFF"/>
            </w:tcBorders>
          </w:tcPr>
          <w:p>
            <w:pPr>
              <w:spacing w:after="0"/>
              <w:rPr>
                <w:sz w:val="15"/>
                <w:szCs w:val="15"/>
                <w:color w:val="auto"/>
              </w:rPr>
            </w:pPr>
          </w:p>
        </w:tc>
        <w:tc>
          <w:tcPr>
            <w:tcW w:w="600" w:type="dxa"/>
            <w:vAlign w:val="bottom"/>
            <w:tcBorders>
              <w:bottom w:val="single" w:sz="8" w:color="auto"/>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40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36</w:t>
            </w:r>
          </w:p>
        </w:tc>
        <w:tc>
          <w:tcPr>
            <w:tcW w:w="120" w:type="dxa"/>
            <w:vAlign w:val="bottom"/>
            <w:tcBorders>
              <w:bottom w:val="single" w:sz="8" w:color="CCEEFF"/>
            </w:tcBorders>
          </w:tcPr>
          <w:p>
            <w:pPr>
              <w:spacing w:after="0"/>
              <w:rPr>
                <w:sz w:val="15"/>
                <w:szCs w:val="15"/>
                <w:color w:val="auto"/>
              </w:rPr>
            </w:pPr>
          </w:p>
        </w:tc>
        <w:tc>
          <w:tcPr>
            <w:tcW w:w="460" w:type="dxa"/>
            <w:vAlign w:val="bottom"/>
            <w:tcBorders>
              <w:bottom w:val="single" w:sz="8" w:color="auto"/>
            </w:tcBorders>
          </w:tcPr>
          <w:p>
            <w:pPr>
              <w:spacing w:after="0"/>
              <w:rPr>
                <w:sz w:val="15"/>
                <w:szCs w:val="15"/>
                <w:color w:val="auto"/>
              </w:rPr>
            </w:pPr>
          </w:p>
        </w:tc>
        <w:tc>
          <w:tcPr>
            <w:tcW w:w="40" w:type="dxa"/>
            <w:vAlign w:val="bottom"/>
            <w:tcBorders>
              <w:bottom w:val="single" w:sz="8" w:color="auto"/>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w:t>
            </w:r>
          </w:p>
        </w:tc>
        <w:tc>
          <w:tcPr>
            <w:tcW w:w="80" w:type="dxa"/>
            <w:vAlign w:val="bottom"/>
            <w:tcBorders>
              <w:bottom w:val="single" w:sz="8" w:color="CCEEFF"/>
            </w:tcBorders>
          </w:tcPr>
          <w:p>
            <w:pPr>
              <w:spacing w:after="0"/>
              <w:rPr>
                <w:sz w:val="15"/>
                <w:szCs w:val="15"/>
                <w:color w:val="auto"/>
              </w:rPr>
            </w:pPr>
          </w:p>
        </w:tc>
        <w:tc>
          <w:tcPr>
            <w:tcW w:w="40" w:type="dxa"/>
            <w:vAlign w:val="bottom"/>
            <w:tcBorders>
              <w:bottom w:val="single" w:sz="8" w:color="CCEEFF"/>
            </w:tcBorders>
          </w:tcPr>
          <w:p>
            <w:pPr>
              <w:spacing w:after="0"/>
              <w:rPr>
                <w:sz w:val="15"/>
                <w:szCs w:val="15"/>
                <w:color w:val="auto"/>
              </w:rPr>
            </w:pPr>
          </w:p>
        </w:tc>
        <w:tc>
          <w:tcPr>
            <w:tcW w:w="26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86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w:t>
            </w:r>
          </w:p>
        </w:tc>
        <w:tc>
          <w:tcPr>
            <w:tcW w:w="40" w:type="dxa"/>
            <w:vAlign w:val="bottom"/>
            <w:tcBorders>
              <w:bottom w:val="single" w:sz="8" w:color="auto"/>
            </w:tcBorders>
          </w:tcPr>
          <w:p>
            <w:pPr>
              <w:spacing w:after="0"/>
              <w:rPr>
                <w:sz w:val="15"/>
                <w:szCs w:val="15"/>
                <w:color w:val="auto"/>
              </w:rPr>
            </w:pPr>
          </w:p>
        </w:tc>
        <w:tc>
          <w:tcPr>
            <w:tcW w:w="120" w:type="dxa"/>
            <w:vAlign w:val="bottom"/>
            <w:tcBorders>
              <w:bottom w:val="single" w:sz="8" w:color="CCEEFF"/>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jc w:val="right"/>
              <w:ind w:right="75"/>
              <w:spacing w:after="0"/>
              <w:rPr>
                <w:sz w:val="20"/>
                <w:szCs w:val="20"/>
                <w:color w:val="auto"/>
              </w:rPr>
            </w:pPr>
            <w:r>
              <w:rPr>
                <w:rFonts w:ascii="Arial" w:cs="Arial" w:eastAsia="Arial" w:hAnsi="Arial"/>
                <w:sz w:val="10"/>
                <w:szCs w:val="10"/>
                <w:color w:val="auto"/>
              </w:rPr>
              <w:t>36</w:t>
            </w:r>
          </w:p>
        </w:tc>
      </w:tr>
      <w:tr>
        <w:trPr>
          <w:trHeight w:val="162"/>
        </w:trPr>
        <w:tc>
          <w:tcPr>
            <w:tcW w:w="40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Total investment securities</w:t>
            </w:r>
          </w:p>
        </w:tc>
        <w:tc>
          <w:tcPr>
            <w:tcW w:w="200" w:type="dxa"/>
            <w:vAlign w:val="bottom"/>
            <w:tcBorders>
              <w:bottom w:val="single" w:sz="8" w:color="CCEEFF"/>
            </w:tcBorders>
            <w:shd w:val="clear" w:color="auto" w:fill="CCEEFF"/>
          </w:tcPr>
          <w:p>
            <w:pPr>
              <w:spacing w:after="0"/>
              <w:rPr>
                <w:sz w:val="14"/>
                <w:szCs w:val="14"/>
                <w:color w:val="auto"/>
              </w:rPr>
            </w:pPr>
          </w:p>
        </w:tc>
        <w:tc>
          <w:tcPr>
            <w:tcW w:w="96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180" w:type="dxa"/>
            <w:vAlign w:val="bottom"/>
            <w:tcBorders>
              <w:bottom w:val="single" w:sz="8" w:color="CCEEFF"/>
            </w:tcBorders>
            <w:shd w:val="clear" w:color="auto" w:fill="CCEEFF"/>
          </w:tcPr>
          <w:p>
            <w:pPr>
              <w:spacing w:after="0"/>
              <w:rPr>
                <w:sz w:val="14"/>
                <w:szCs w:val="14"/>
                <w:color w:val="auto"/>
              </w:rPr>
            </w:pPr>
          </w:p>
        </w:tc>
        <w:tc>
          <w:tcPr>
            <w:tcW w:w="380" w:type="dxa"/>
            <w:vAlign w:val="bottom"/>
            <w:tcBorders>
              <w:bottom w:val="single" w:sz="8" w:color="CCEEFF"/>
            </w:tcBorders>
            <w:gridSpan w:val="2"/>
            <w:shd w:val="clear" w:color="auto" w:fill="CCEEFF"/>
          </w:tcPr>
          <w:p>
            <w:pPr>
              <w:spacing w:after="0"/>
              <w:rPr>
                <w:sz w:val="14"/>
                <w:szCs w:val="14"/>
                <w:color w:val="auto"/>
              </w:rPr>
            </w:pPr>
          </w:p>
        </w:tc>
        <w:tc>
          <w:tcPr>
            <w:tcW w:w="600" w:type="dxa"/>
            <w:vAlign w:val="bottom"/>
            <w:tcBorders>
              <w:bottom w:val="single" w:sz="8" w:color="auto"/>
            </w:tcBorders>
            <w:shd w:val="clear" w:color="auto" w:fill="CCEEFF"/>
          </w:tcPr>
          <w:p>
            <w:pPr>
              <w:jc w:val="right"/>
              <w:ind w:right="494"/>
              <w:spacing w:after="0"/>
              <w:rPr>
                <w:sz w:val="20"/>
                <w:szCs w:val="20"/>
                <w:color w:val="auto"/>
              </w:rPr>
            </w:pPr>
            <w:r>
              <w:rPr>
                <w:rFonts w:ascii="Arial" w:cs="Arial" w:eastAsia="Arial" w:hAnsi="Arial"/>
                <w:sz w:val="10"/>
                <w:szCs w:val="10"/>
                <w:color w:val="auto"/>
                <w:w w:val="71"/>
              </w:rPr>
              <w:t>$</w:t>
            </w:r>
          </w:p>
        </w:tc>
        <w:tc>
          <w:tcPr>
            <w:tcW w:w="120" w:type="dxa"/>
            <w:vAlign w:val="bottom"/>
            <w:tcBorders>
              <w:bottom w:val="single" w:sz="8" w:color="auto"/>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spacing w:after="0"/>
              <w:rPr>
                <w:sz w:val="14"/>
                <w:szCs w:val="14"/>
                <w:color w:val="auto"/>
              </w:rPr>
            </w:pPr>
          </w:p>
        </w:tc>
        <w:tc>
          <w:tcPr>
            <w:tcW w:w="40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84"/>
              </w:rPr>
              <w:t>46,304</w:t>
            </w:r>
          </w:p>
        </w:tc>
        <w:tc>
          <w:tcPr>
            <w:tcW w:w="120" w:type="dxa"/>
            <w:vAlign w:val="bottom"/>
            <w:tcBorders>
              <w:bottom w:val="single" w:sz="8" w:color="CCEEFF"/>
            </w:tcBorders>
            <w:shd w:val="clear" w:color="auto" w:fill="CCEEFF"/>
          </w:tcPr>
          <w:p>
            <w:pPr>
              <w:spacing w:after="0"/>
              <w:rPr>
                <w:sz w:val="14"/>
                <w:szCs w:val="14"/>
                <w:color w:val="auto"/>
              </w:rPr>
            </w:pPr>
          </w:p>
        </w:tc>
        <w:tc>
          <w:tcPr>
            <w:tcW w:w="460" w:type="dxa"/>
            <w:vAlign w:val="bottom"/>
            <w:tcBorders>
              <w:bottom w:val="single" w:sz="8" w:color="auto"/>
            </w:tcBorders>
            <w:shd w:val="clear" w:color="auto" w:fill="CCEEFF"/>
          </w:tcPr>
          <w:p>
            <w:pPr>
              <w:jc w:val="right"/>
              <w:ind w:right="357"/>
              <w:spacing w:after="0"/>
              <w:rPr>
                <w:sz w:val="20"/>
                <w:szCs w:val="20"/>
                <w:color w:val="auto"/>
              </w:rPr>
            </w:pPr>
            <w:r>
              <w:rPr>
                <w:rFonts w:ascii="Arial" w:cs="Arial" w:eastAsia="Arial" w:hAnsi="Arial"/>
                <w:sz w:val="10"/>
                <w:szCs w:val="10"/>
                <w:color w:val="auto"/>
                <w:w w:val="71"/>
              </w:rPr>
              <w:t>$</w:t>
            </w:r>
          </w:p>
        </w:tc>
        <w:tc>
          <w:tcPr>
            <w:tcW w:w="40" w:type="dxa"/>
            <w:vAlign w:val="bottom"/>
            <w:tcBorders>
              <w:bottom w:val="single" w:sz="8" w:color="auto"/>
            </w:tcBorders>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spacing w:after="0"/>
              <w:rPr>
                <w:sz w:val="14"/>
                <w:szCs w:val="14"/>
                <w:color w:val="auto"/>
              </w:rPr>
            </w:pPr>
          </w:p>
        </w:tc>
        <w:tc>
          <w:tcPr>
            <w:tcW w:w="300" w:type="dxa"/>
            <w:vAlign w:val="bottom"/>
            <w:tcBorders>
              <w:bottom w:val="single" w:sz="8" w:color="auto"/>
            </w:tcBorders>
            <w:shd w:val="clear" w:color="auto" w:fill="CCEEFF"/>
          </w:tcPr>
          <w:p>
            <w:pPr>
              <w:spacing w:after="0"/>
              <w:rPr>
                <w:sz w:val="14"/>
                <w:szCs w:val="14"/>
                <w:color w:val="auto"/>
              </w:rPr>
            </w:pPr>
          </w:p>
        </w:tc>
        <w:tc>
          <w:tcPr>
            <w:tcW w:w="4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1,065</w:t>
            </w:r>
          </w:p>
        </w:tc>
        <w:tc>
          <w:tcPr>
            <w:tcW w:w="80" w:type="dxa"/>
            <w:vAlign w:val="bottom"/>
            <w:tcBorders>
              <w:bottom w:val="single" w:sz="8" w:color="CCEEFF"/>
            </w:tcBorders>
            <w:shd w:val="clear" w:color="auto" w:fill="CCEEFF"/>
          </w:tcPr>
          <w:p>
            <w:pPr>
              <w:spacing w:after="0"/>
              <w:rPr>
                <w:sz w:val="14"/>
                <w:szCs w:val="14"/>
                <w:color w:val="auto"/>
              </w:rPr>
            </w:pPr>
          </w:p>
        </w:tc>
        <w:tc>
          <w:tcPr>
            <w:tcW w:w="40" w:type="dxa"/>
            <w:vAlign w:val="bottom"/>
            <w:tcBorders>
              <w:bottom w:val="single" w:sz="8" w:color="CCEEFF"/>
            </w:tcBorders>
            <w:shd w:val="clear" w:color="auto" w:fill="CCEEFF"/>
          </w:tcPr>
          <w:p>
            <w:pPr>
              <w:spacing w:after="0"/>
              <w:rPr>
                <w:sz w:val="14"/>
                <w:szCs w:val="14"/>
                <w:color w:val="auto"/>
              </w:rPr>
            </w:pPr>
          </w:p>
        </w:tc>
        <w:tc>
          <w:tcPr>
            <w:tcW w:w="260" w:type="dxa"/>
            <w:vAlign w:val="bottom"/>
            <w:tcBorders>
              <w:bottom w:val="single" w:sz="8" w:color="auto"/>
            </w:tcBorders>
            <w:shd w:val="clear" w:color="auto" w:fill="CCEEFF"/>
          </w:tcPr>
          <w:p>
            <w:pPr>
              <w:jc w:val="right"/>
              <w:ind w:right="137"/>
              <w:spacing w:after="0"/>
              <w:rPr>
                <w:sz w:val="20"/>
                <w:szCs w:val="20"/>
                <w:color w:val="auto"/>
              </w:rPr>
            </w:pPr>
            <w:r>
              <w:rPr>
                <w:rFonts w:ascii="Arial" w:cs="Arial" w:eastAsia="Arial" w:hAnsi="Arial"/>
                <w:sz w:val="10"/>
                <w:szCs w:val="10"/>
                <w:color w:val="auto"/>
              </w:rPr>
              <w:t>$</w:t>
            </w:r>
          </w:p>
        </w:tc>
        <w:tc>
          <w:tcPr>
            <w:tcW w:w="100" w:type="dxa"/>
            <w:vAlign w:val="bottom"/>
            <w:tcBorders>
              <w:bottom w:val="single" w:sz="8" w:color="auto"/>
            </w:tcBorders>
            <w:shd w:val="clear" w:color="auto" w:fill="CCEEFF"/>
          </w:tcPr>
          <w:p>
            <w:pPr>
              <w:spacing w:after="0"/>
              <w:rPr>
                <w:sz w:val="14"/>
                <w:szCs w:val="14"/>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w:t>
            </w:r>
          </w:p>
        </w:tc>
        <w:tc>
          <w:tcPr>
            <w:tcW w:w="40" w:type="dxa"/>
            <w:vAlign w:val="bottom"/>
            <w:tcBorders>
              <w:bottom w:val="single" w:sz="8" w:color="auto"/>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00" w:type="dxa"/>
            <w:vAlign w:val="bottom"/>
            <w:tcBorders>
              <w:bottom w:val="single" w:sz="8" w:color="auto"/>
            </w:tcBorders>
            <w:shd w:val="clear" w:color="auto" w:fill="CCEEFF"/>
          </w:tcPr>
          <w:p>
            <w:pPr>
              <w:spacing w:after="0"/>
              <w:rPr>
                <w:sz w:val="14"/>
                <w:szCs w:val="14"/>
                <w:color w:val="auto"/>
              </w:rPr>
            </w:pPr>
          </w:p>
        </w:tc>
        <w:tc>
          <w:tcPr>
            <w:tcW w:w="160" w:type="dxa"/>
            <w:vAlign w:val="bottom"/>
            <w:tcBorders>
              <w:bottom w:val="single" w:sz="8" w:color="auto"/>
            </w:tcBorders>
            <w:shd w:val="clear" w:color="auto" w:fill="CCEEFF"/>
          </w:tcPr>
          <w:p>
            <w:pPr>
              <w:spacing w:after="0"/>
              <w:rPr>
                <w:sz w:val="14"/>
                <w:szCs w:val="14"/>
                <w:color w:val="auto"/>
              </w:rPr>
            </w:pPr>
          </w:p>
        </w:tc>
        <w:tc>
          <w:tcPr>
            <w:tcW w:w="980" w:type="dxa"/>
            <w:vAlign w:val="bottom"/>
            <w:tcBorders>
              <w:bottom w:val="single" w:sz="8" w:color="auto"/>
            </w:tcBorders>
            <w:shd w:val="clear" w:color="auto" w:fill="CCEEFF"/>
          </w:tcPr>
          <w:p>
            <w:pPr>
              <w:jc w:val="right"/>
              <w:ind w:right="75"/>
              <w:spacing w:after="0"/>
              <w:rPr>
                <w:sz w:val="20"/>
                <w:szCs w:val="20"/>
                <w:color w:val="auto"/>
              </w:rPr>
            </w:pPr>
            <w:r>
              <w:rPr>
                <w:rFonts w:ascii="Arial" w:cs="Arial" w:eastAsia="Arial" w:hAnsi="Arial"/>
                <w:sz w:val="10"/>
                <w:szCs w:val="10"/>
                <w:color w:val="auto"/>
              </w:rPr>
              <w:t>47,356</w:t>
            </w:r>
          </w:p>
        </w:tc>
      </w:tr>
      <w:tr>
        <w:trPr>
          <w:trHeight w:val="410"/>
        </w:trPr>
        <w:tc>
          <w:tcPr>
            <w:tcW w:w="39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gridSpan w:val="5"/>
          </w:tcPr>
          <w:p>
            <w:pPr>
              <w:jc w:val="center"/>
              <w:ind w:left="32"/>
              <w:spacing w:after="0"/>
              <w:rPr>
                <w:sz w:val="20"/>
                <w:szCs w:val="20"/>
                <w:color w:val="auto"/>
              </w:rPr>
            </w:pPr>
            <w:r>
              <w:rPr>
                <w:rFonts w:ascii="Arial" w:cs="Arial" w:eastAsia="Arial" w:hAnsi="Arial"/>
                <w:sz w:val="10"/>
                <w:szCs w:val="10"/>
                <w:b w:val="1"/>
                <w:bCs w:val="1"/>
                <w:color w:val="auto"/>
                <w:w w:val="86"/>
              </w:rPr>
              <w:t>December 31, 2015</w:t>
            </w:r>
          </w:p>
        </w:tc>
        <w:tc>
          <w:tcPr>
            <w:tcW w:w="8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r>
      <w:tr>
        <w:trPr>
          <w:trHeight w:val="96"/>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9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26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460" w:type="dxa"/>
            <w:vAlign w:val="bottom"/>
          </w:tcPr>
          <w:p>
            <w:pPr>
              <w:spacing w:after="0"/>
              <w:rPr>
                <w:sz w:val="8"/>
                <w:szCs w:val="8"/>
                <w:color w:val="auto"/>
              </w:rPr>
            </w:pPr>
          </w:p>
        </w:tc>
        <w:tc>
          <w:tcPr>
            <w:tcW w:w="40" w:type="dxa"/>
            <w:vAlign w:val="bottom"/>
          </w:tcPr>
          <w:p>
            <w:pPr>
              <w:spacing w:after="0"/>
              <w:rPr>
                <w:sz w:val="8"/>
                <w:szCs w:val="8"/>
                <w:color w:val="auto"/>
              </w:rPr>
            </w:pPr>
          </w:p>
        </w:tc>
        <w:tc>
          <w:tcPr>
            <w:tcW w:w="420" w:type="dxa"/>
            <w:vAlign w:val="bottom"/>
            <w:gridSpan w:val="2"/>
          </w:tcPr>
          <w:p>
            <w:pPr>
              <w:jc w:val="center"/>
              <w:ind w:right="20"/>
              <w:spacing w:after="0" w:line="96" w:lineRule="exact"/>
              <w:rPr>
                <w:sz w:val="20"/>
                <w:szCs w:val="20"/>
                <w:color w:val="auto"/>
              </w:rPr>
            </w:pPr>
            <w:r>
              <w:rPr>
                <w:rFonts w:ascii="Arial" w:cs="Arial" w:eastAsia="Arial" w:hAnsi="Arial"/>
                <w:sz w:val="10"/>
                <w:szCs w:val="10"/>
                <w:b w:val="1"/>
                <w:bCs w:val="1"/>
                <w:color w:val="auto"/>
                <w:w w:val="82"/>
              </w:rPr>
              <w:t>Gross</w:t>
            </w:r>
          </w:p>
        </w:tc>
        <w:tc>
          <w:tcPr>
            <w:tcW w:w="46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260" w:type="dxa"/>
            <w:vAlign w:val="bottom"/>
          </w:tcPr>
          <w:p>
            <w:pPr>
              <w:spacing w:after="0"/>
              <w:rPr>
                <w:sz w:val="8"/>
                <w:szCs w:val="8"/>
                <w:color w:val="auto"/>
              </w:rPr>
            </w:pPr>
          </w:p>
        </w:tc>
        <w:tc>
          <w:tcPr>
            <w:tcW w:w="100" w:type="dxa"/>
            <w:vAlign w:val="bottom"/>
          </w:tcPr>
          <w:p>
            <w:pPr>
              <w:spacing w:after="0"/>
              <w:rPr>
                <w:sz w:val="8"/>
                <w:szCs w:val="8"/>
                <w:color w:val="auto"/>
              </w:rPr>
            </w:pPr>
          </w:p>
        </w:tc>
        <w:tc>
          <w:tcPr>
            <w:tcW w:w="860" w:type="dxa"/>
            <w:vAlign w:val="bottom"/>
          </w:tcPr>
          <w:p>
            <w:pPr>
              <w:jc w:val="center"/>
              <w:ind w:right="252"/>
              <w:spacing w:after="0" w:line="96" w:lineRule="exact"/>
              <w:rPr>
                <w:sz w:val="20"/>
                <w:szCs w:val="20"/>
                <w:color w:val="auto"/>
              </w:rPr>
            </w:pPr>
            <w:r>
              <w:rPr>
                <w:rFonts w:ascii="Arial" w:cs="Arial" w:eastAsia="Arial" w:hAnsi="Arial"/>
                <w:sz w:val="10"/>
                <w:szCs w:val="10"/>
                <w:b w:val="1"/>
                <w:bCs w:val="1"/>
                <w:color w:val="auto"/>
                <w:w w:val="82"/>
              </w:rPr>
              <w:t>Gross</w:t>
            </w:r>
          </w:p>
        </w:tc>
        <w:tc>
          <w:tcPr>
            <w:tcW w:w="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980" w:type="dxa"/>
            <w:vAlign w:val="bottom"/>
          </w:tcPr>
          <w:p>
            <w:pPr>
              <w:spacing w:after="0"/>
              <w:rPr>
                <w:sz w:val="8"/>
                <w:szCs w:val="8"/>
                <w:color w:val="auto"/>
              </w:rPr>
            </w:pPr>
          </w:p>
        </w:tc>
      </w:tr>
      <w:tr>
        <w:trPr>
          <w:trHeight w:val="99"/>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9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260" w:type="dxa"/>
            <w:vAlign w:val="bottom"/>
          </w:tcPr>
          <w:p>
            <w:pPr>
              <w:spacing w:after="0"/>
              <w:rPr>
                <w:sz w:val="8"/>
                <w:szCs w:val="8"/>
                <w:color w:val="auto"/>
              </w:rPr>
            </w:pPr>
          </w:p>
        </w:tc>
        <w:tc>
          <w:tcPr>
            <w:tcW w:w="120" w:type="dxa"/>
            <w:vAlign w:val="bottom"/>
          </w:tcPr>
          <w:p>
            <w:pPr>
              <w:spacing w:after="0"/>
              <w:rPr>
                <w:sz w:val="8"/>
                <w:szCs w:val="8"/>
                <w:color w:val="auto"/>
              </w:rPr>
            </w:pPr>
          </w:p>
        </w:tc>
        <w:tc>
          <w:tcPr>
            <w:tcW w:w="860" w:type="dxa"/>
            <w:vAlign w:val="bottom"/>
            <w:gridSpan w:val="3"/>
          </w:tcPr>
          <w:p>
            <w:pPr>
              <w:jc w:val="center"/>
              <w:ind w:left="354"/>
              <w:spacing w:after="0" w:line="99" w:lineRule="exact"/>
              <w:rPr>
                <w:sz w:val="20"/>
                <w:szCs w:val="20"/>
                <w:color w:val="auto"/>
              </w:rPr>
            </w:pPr>
            <w:r>
              <w:rPr>
                <w:rFonts w:ascii="Arial" w:cs="Arial" w:eastAsia="Arial" w:hAnsi="Arial"/>
                <w:sz w:val="10"/>
                <w:szCs w:val="10"/>
                <w:b w:val="1"/>
                <w:bCs w:val="1"/>
                <w:color w:val="auto"/>
                <w:w w:val="85"/>
              </w:rPr>
              <w:t>Amortized</w:t>
            </w: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460" w:type="dxa"/>
            <w:vAlign w:val="bottom"/>
          </w:tcPr>
          <w:p>
            <w:pPr>
              <w:spacing w:after="0"/>
              <w:rPr>
                <w:sz w:val="8"/>
                <w:szCs w:val="8"/>
                <w:color w:val="auto"/>
              </w:rPr>
            </w:pPr>
          </w:p>
        </w:tc>
        <w:tc>
          <w:tcPr>
            <w:tcW w:w="460" w:type="dxa"/>
            <w:vAlign w:val="bottom"/>
            <w:gridSpan w:val="3"/>
          </w:tcPr>
          <w:p>
            <w:pPr>
              <w:jc w:val="center"/>
              <w:spacing w:after="0" w:line="99" w:lineRule="exact"/>
              <w:rPr>
                <w:sz w:val="20"/>
                <w:szCs w:val="20"/>
                <w:color w:val="auto"/>
              </w:rPr>
            </w:pPr>
            <w:r>
              <w:rPr>
                <w:rFonts w:ascii="Arial" w:cs="Arial" w:eastAsia="Arial" w:hAnsi="Arial"/>
                <w:sz w:val="10"/>
                <w:szCs w:val="10"/>
                <w:b w:val="1"/>
                <w:bCs w:val="1"/>
                <w:color w:val="auto"/>
                <w:w w:val="86"/>
              </w:rPr>
              <w:t>Unrealized</w:t>
            </w:r>
          </w:p>
        </w:tc>
        <w:tc>
          <w:tcPr>
            <w:tcW w:w="460" w:type="dxa"/>
            <w:vAlign w:val="bottom"/>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Pr>
          <w:p>
            <w:pPr>
              <w:spacing w:after="0"/>
              <w:rPr>
                <w:sz w:val="8"/>
                <w:szCs w:val="8"/>
                <w:color w:val="auto"/>
              </w:rPr>
            </w:pPr>
          </w:p>
        </w:tc>
        <w:tc>
          <w:tcPr>
            <w:tcW w:w="260" w:type="dxa"/>
            <w:vAlign w:val="bottom"/>
          </w:tcPr>
          <w:p>
            <w:pPr>
              <w:spacing w:after="0"/>
              <w:rPr>
                <w:sz w:val="8"/>
                <w:szCs w:val="8"/>
                <w:color w:val="auto"/>
              </w:rPr>
            </w:pPr>
          </w:p>
        </w:tc>
        <w:tc>
          <w:tcPr>
            <w:tcW w:w="100" w:type="dxa"/>
            <w:vAlign w:val="bottom"/>
          </w:tcPr>
          <w:p>
            <w:pPr>
              <w:spacing w:after="0"/>
              <w:rPr>
                <w:sz w:val="8"/>
                <w:szCs w:val="8"/>
                <w:color w:val="auto"/>
              </w:rPr>
            </w:pPr>
          </w:p>
        </w:tc>
        <w:tc>
          <w:tcPr>
            <w:tcW w:w="860" w:type="dxa"/>
            <w:vAlign w:val="bottom"/>
          </w:tcPr>
          <w:p>
            <w:pPr>
              <w:jc w:val="center"/>
              <w:ind w:right="252"/>
              <w:spacing w:after="0" w:line="99" w:lineRule="exact"/>
              <w:rPr>
                <w:sz w:val="20"/>
                <w:szCs w:val="20"/>
                <w:color w:val="auto"/>
              </w:rPr>
            </w:pPr>
            <w:r>
              <w:rPr>
                <w:rFonts w:ascii="Arial" w:cs="Arial" w:eastAsia="Arial" w:hAnsi="Arial"/>
                <w:sz w:val="10"/>
                <w:szCs w:val="10"/>
                <w:b w:val="1"/>
                <w:bCs w:val="1"/>
                <w:color w:val="auto"/>
                <w:w w:val="86"/>
              </w:rPr>
              <w:t>Unrealized</w:t>
            </w:r>
          </w:p>
        </w:tc>
        <w:tc>
          <w:tcPr>
            <w:tcW w:w="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980" w:type="dxa"/>
            <w:vAlign w:val="bottom"/>
          </w:tcPr>
          <w:p>
            <w:pPr>
              <w:spacing w:after="0"/>
              <w:rPr>
                <w:sz w:val="8"/>
                <w:szCs w:val="8"/>
                <w:color w:val="auto"/>
              </w:rPr>
            </w:pPr>
          </w:p>
        </w:tc>
      </w:tr>
      <w:tr>
        <w:trPr>
          <w:trHeight w:val="128"/>
        </w:trPr>
        <w:tc>
          <w:tcPr>
            <w:tcW w:w="4020" w:type="dxa"/>
            <w:vAlign w:val="bottom"/>
            <w:tcBorders>
              <w:bottom w:val="single" w:sz="8" w:color="auto"/>
            </w:tcBorders>
            <w:gridSpan w:val="2"/>
          </w:tcPr>
          <w:p>
            <w:pPr>
              <w:ind w:left="20"/>
              <w:spacing w:after="0"/>
              <w:rPr>
                <w:sz w:val="20"/>
                <w:szCs w:val="20"/>
                <w:color w:val="auto"/>
              </w:rPr>
            </w:pPr>
            <w:r>
              <w:rPr>
                <w:rFonts w:ascii="Arial" w:cs="Arial" w:eastAsia="Arial" w:hAnsi="Arial"/>
                <w:sz w:val="10"/>
                <w:szCs w:val="10"/>
                <w:b w:val="1"/>
                <w:bCs w:val="1"/>
                <w:color w:val="auto"/>
              </w:rPr>
              <w:t>Investments Securities</w:t>
            </w:r>
          </w:p>
        </w:tc>
        <w:tc>
          <w:tcPr>
            <w:tcW w:w="200" w:type="dxa"/>
            <w:vAlign w:val="bottom"/>
            <w:tcBorders>
              <w:bottom w:val="single" w:sz="8" w:color="auto"/>
            </w:tcBorders>
          </w:tcPr>
          <w:p>
            <w:pPr>
              <w:spacing w:after="0"/>
              <w:rPr>
                <w:sz w:val="11"/>
                <w:szCs w:val="11"/>
                <w:color w:val="auto"/>
              </w:rPr>
            </w:pPr>
          </w:p>
        </w:tc>
        <w:tc>
          <w:tcPr>
            <w:tcW w:w="9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720" w:type="dxa"/>
            <w:vAlign w:val="bottom"/>
            <w:tcBorders>
              <w:bottom w:val="single" w:sz="8" w:color="auto"/>
            </w:tcBorders>
            <w:gridSpan w:val="2"/>
          </w:tcPr>
          <w:p>
            <w:pPr>
              <w:jc w:val="center"/>
              <w:ind w:left="494"/>
              <w:spacing w:after="0"/>
              <w:rPr>
                <w:sz w:val="20"/>
                <w:szCs w:val="20"/>
                <w:color w:val="auto"/>
              </w:rPr>
            </w:pPr>
            <w:r>
              <w:rPr>
                <w:rFonts w:ascii="Arial" w:cs="Arial" w:eastAsia="Arial" w:hAnsi="Arial"/>
                <w:sz w:val="10"/>
                <w:szCs w:val="10"/>
                <w:b w:val="1"/>
                <w:bCs w:val="1"/>
                <w:color w:val="auto"/>
                <w:w w:val="80"/>
              </w:rPr>
              <w:t>Cost</w:t>
            </w:r>
          </w:p>
        </w:tc>
        <w:tc>
          <w:tcPr>
            <w:tcW w:w="14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gridSpan w:val="2"/>
          </w:tcPr>
          <w:p>
            <w:pPr>
              <w:jc w:val="center"/>
              <w:ind w:right="20"/>
              <w:spacing w:after="0"/>
              <w:rPr>
                <w:sz w:val="20"/>
                <w:szCs w:val="20"/>
                <w:color w:val="auto"/>
              </w:rPr>
            </w:pPr>
            <w:r>
              <w:rPr>
                <w:rFonts w:ascii="Arial" w:cs="Arial" w:eastAsia="Arial" w:hAnsi="Arial"/>
                <w:sz w:val="10"/>
                <w:szCs w:val="10"/>
                <w:b w:val="1"/>
                <w:bCs w:val="1"/>
                <w:color w:val="auto"/>
                <w:w w:val="89"/>
              </w:rPr>
              <w:t>Gain</w:t>
            </w:r>
          </w:p>
        </w:tc>
        <w:tc>
          <w:tcPr>
            <w:tcW w:w="460" w:type="dxa"/>
            <w:vAlign w:val="bottom"/>
            <w:tcBorders>
              <w:bottom w:val="single" w:sz="8" w:color="auto"/>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40" w:type="dxa"/>
            <w:vAlign w:val="bottom"/>
            <w:tcBorders>
              <w:bottom w:val="single" w:sz="8" w:color="CCEEFF"/>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jc w:val="center"/>
              <w:ind w:right="252"/>
              <w:spacing w:after="0"/>
              <w:rPr>
                <w:sz w:val="20"/>
                <w:szCs w:val="20"/>
                <w:color w:val="auto"/>
              </w:rPr>
            </w:pPr>
            <w:r>
              <w:rPr>
                <w:rFonts w:ascii="Arial" w:cs="Arial" w:eastAsia="Arial" w:hAnsi="Arial"/>
                <w:sz w:val="10"/>
                <w:szCs w:val="10"/>
                <w:b w:val="1"/>
                <w:bCs w:val="1"/>
                <w:color w:val="auto"/>
                <w:w w:val="85"/>
              </w:rPr>
              <w:t>Loss</w:t>
            </w:r>
          </w:p>
        </w:tc>
        <w:tc>
          <w:tcPr>
            <w:tcW w:w="4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980" w:type="dxa"/>
            <w:vAlign w:val="bottom"/>
            <w:tcBorders>
              <w:bottom w:val="single" w:sz="8" w:color="auto"/>
            </w:tcBorders>
          </w:tcPr>
          <w:p>
            <w:pPr>
              <w:jc w:val="right"/>
              <w:ind w:right="435"/>
              <w:spacing w:after="0"/>
              <w:rPr>
                <w:sz w:val="20"/>
                <w:szCs w:val="20"/>
                <w:color w:val="auto"/>
              </w:rPr>
            </w:pPr>
            <w:r>
              <w:rPr>
                <w:rFonts w:ascii="Arial" w:cs="Arial" w:eastAsia="Arial" w:hAnsi="Arial"/>
                <w:sz w:val="10"/>
                <w:szCs w:val="10"/>
                <w:b w:val="1"/>
                <w:bCs w:val="1"/>
                <w:color w:val="auto"/>
              </w:rPr>
              <w:t>Fair Value</w:t>
            </w:r>
          </w:p>
        </w:tc>
      </w:tr>
      <w:tr>
        <w:trPr>
          <w:trHeight w:val="173"/>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Agency MBS:</w:t>
            </w:r>
          </w:p>
        </w:tc>
        <w:tc>
          <w:tcPr>
            <w:tcW w:w="20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6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980" w:type="dxa"/>
            <w:vAlign w:val="bottom"/>
            <w:shd w:val="clear" w:color="auto" w:fill="CCEEFF"/>
          </w:tcPr>
          <w:p>
            <w:pPr>
              <w:spacing w:after="0"/>
              <w:rPr>
                <w:sz w:val="15"/>
                <w:szCs w:val="15"/>
                <w:color w:val="auto"/>
              </w:rPr>
            </w:pPr>
          </w:p>
        </w:tc>
      </w:tr>
      <w:tr>
        <w:trPr>
          <w:trHeight w:val="176"/>
        </w:trPr>
        <w:tc>
          <w:tcPr>
            <w:tcW w:w="4020" w:type="dxa"/>
            <w:vAlign w:val="bottom"/>
            <w:gridSpan w:val="2"/>
          </w:tcPr>
          <w:p>
            <w:pPr>
              <w:ind w:left="100"/>
              <w:spacing w:after="0"/>
              <w:rPr>
                <w:sz w:val="20"/>
                <w:szCs w:val="20"/>
                <w:color w:val="auto"/>
              </w:rPr>
            </w:pPr>
            <w:r>
              <w:rPr>
                <w:rFonts w:ascii="Arial" w:cs="Arial" w:eastAsia="Arial" w:hAnsi="Arial"/>
                <w:sz w:val="10"/>
                <w:szCs w:val="10"/>
                <w:color w:val="auto"/>
              </w:rPr>
              <w:t>Fixed rate</w:t>
            </w:r>
          </w:p>
        </w:tc>
        <w:tc>
          <w:tcPr>
            <w:tcW w:w="20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80" w:type="dxa"/>
            <w:vAlign w:val="bottom"/>
            <w:gridSpan w:val="3"/>
          </w:tcPr>
          <w:p>
            <w:pPr>
              <w:jc w:val="right"/>
              <w:ind w:right="494"/>
              <w:spacing w:after="0"/>
              <w:rPr>
                <w:sz w:val="20"/>
                <w:szCs w:val="20"/>
                <w:color w:val="auto"/>
              </w:rPr>
            </w:pPr>
            <w:r>
              <w:rPr>
                <w:rFonts w:ascii="Arial" w:cs="Arial" w:eastAsia="Arial" w:hAnsi="Arial"/>
                <w:sz w:val="10"/>
                <w:szCs w:val="10"/>
                <w:color w:val="auto"/>
              </w:rPr>
              <w:t>$</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tcPr>
          <w:p>
            <w:pPr>
              <w:jc w:val="right"/>
              <w:ind w:right="72"/>
              <w:spacing w:after="0"/>
              <w:rPr>
                <w:sz w:val="20"/>
                <w:szCs w:val="20"/>
                <w:color w:val="auto"/>
              </w:rPr>
            </w:pPr>
            <w:r>
              <w:rPr>
                <w:rFonts w:ascii="Arial" w:cs="Arial" w:eastAsia="Arial" w:hAnsi="Arial"/>
                <w:sz w:val="10"/>
                <w:szCs w:val="10"/>
                <w:color w:val="auto"/>
                <w:w w:val="84"/>
              </w:rPr>
              <w:t>50,576</w:t>
            </w:r>
          </w:p>
        </w:tc>
        <w:tc>
          <w:tcPr>
            <w:tcW w:w="120" w:type="dxa"/>
            <w:vAlign w:val="bottom"/>
          </w:tcPr>
          <w:p>
            <w:pPr>
              <w:spacing w:after="0"/>
              <w:rPr>
                <w:sz w:val="15"/>
                <w:szCs w:val="15"/>
                <w:color w:val="auto"/>
              </w:rPr>
            </w:pPr>
          </w:p>
        </w:tc>
        <w:tc>
          <w:tcPr>
            <w:tcW w:w="460" w:type="dxa"/>
            <w:vAlign w:val="bottom"/>
          </w:tcPr>
          <w:p>
            <w:pPr>
              <w:jc w:val="right"/>
              <w:ind w:right="357"/>
              <w:spacing w:after="0"/>
              <w:rPr>
                <w:sz w:val="20"/>
                <w:szCs w:val="20"/>
                <w:color w:val="auto"/>
              </w:rPr>
            </w:pPr>
            <w:r>
              <w:rPr>
                <w:rFonts w:ascii="Arial" w:cs="Arial" w:eastAsia="Arial" w:hAnsi="Arial"/>
                <w:sz w:val="10"/>
                <w:szCs w:val="10"/>
                <w:color w:val="auto"/>
                <w:w w:val="71"/>
              </w:rPr>
              <w:t>$</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60" w:type="dxa"/>
            <w:vAlign w:val="bottom"/>
          </w:tcPr>
          <w:p>
            <w:pPr>
              <w:jc w:val="right"/>
              <w:ind w:right="52"/>
              <w:spacing w:after="0"/>
              <w:rPr>
                <w:sz w:val="20"/>
                <w:szCs w:val="20"/>
                <w:color w:val="auto"/>
              </w:rPr>
            </w:pPr>
            <w:r>
              <w:rPr>
                <w:rFonts w:ascii="Arial" w:cs="Arial" w:eastAsia="Arial" w:hAnsi="Arial"/>
                <w:sz w:val="10"/>
                <w:szCs w:val="10"/>
                <w:color w:val="auto"/>
              </w:rPr>
              <w:t>339</w:t>
            </w:r>
          </w:p>
        </w:tc>
        <w:tc>
          <w:tcPr>
            <w:tcW w:w="80" w:type="dxa"/>
            <w:vAlign w:val="bottom"/>
          </w:tcPr>
          <w:p>
            <w:pPr>
              <w:spacing w:after="0"/>
              <w:rPr>
                <w:sz w:val="15"/>
                <w:szCs w:val="15"/>
                <w:color w:val="auto"/>
              </w:rPr>
            </w:pPr>
          </w:p>
        </w:tc>
        <w:tc>
          <w:tcPr>
            <w:tcW w:w="300" w:type="dxa"/>
            <w:vAlign w:val="bottom"/>
            <w:gridSpan w:val="2"/>
          </w:tcPr>
          <w:p>
            <w:pPr>
              <w:jc w:val="right"/>
              <w:ind w:right="137"/>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(393)</w:t>
            </w:r>
          </w:p>
        </w:tc>
        <w:tc>
          <w:tcPr>
            <w:tcW w:w="280" w:type="dxa"/>
            <w:vAlign w:val="bottom"/>
            <w:gridSpan w:val="3"/>
          </w:tcPr>
          <w:p>
            <w:pPr>
              <w:jc w:val="right"/>
              <w:ind w:right="12"/>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80" w:type="dxa"/>
            <w:vAlign w:val="bottom"/>
          </w:tcPr>
          <w:p>
            <w:pPr>
              <w:jc w:val="right"/>
              <w:ind w:right="75"/>
              <w:spacing w:after="0"/>
              <w:rPr>
                <w:sz w:val="20"/>
                <w:szCs w:val="20"/>
                <w:color w:val="auto"/>
              </w:rPr>
            </w:pPr>
            <w:r>
              <w:rPr>
                <w:rFonts w:ascii="Arial" w:cs="Arial" w:eastAsia="Arial" w:hAnsi="Arial"/>
                <w:sz w:val="10"/>
                <w:szCs w:val="10"/>
                <w:color w:val="auto"/>
              </w:rPr>
              <w:t>50,522</w:t>
            </w:r>
          </w:p>
        </w:tc>
      </w:tr>
      <w:tr>
        <w:trPr>
          <w:trHeight w:val="184"/>
        </w:trPr>
        <w:tc>
          <w:tcPr>
            <w:tcW w:w="402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Adjustable rate</w:t>
            </w:r>
          </w:p>
        </w:tc>
        <w:tc>
          <w:tcPr>
            <w:tcW w:w="2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484</w:t>
            </w:r>
          </w:p>
        </w:tc>
        <w:tc>
          <w:tcPr>
            <w:tcW w:w="120" w:type="dxa"/>
            <w:vAlign w:val="bottom"/>
            <w:shd w:val="clear" w:color="auto" w:fill="CCEEFF"/>
          </w:tcPr>
          <w:p>
            <w:pPr>
              <w:spacing w:after="0"/>
              <w:rPr>
                <w:sz w:val="16"/>
                <w:szCs w:val="16"/>
                <w:color w:val="auto"/>
              </w:rPr>
            </w:pPr>
          </w:p>
        </w:tc>
        <w:tc>
          <w:tcPr>
            <w:tcW w:w="4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4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11</w:t>
            </w: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980" w:type="dxa"/>
            <w:vAlign w:val="bottom"/>
            <w:shd w:val="clear" w:color="auto" w:fill="CCEEFF"/>
          </w:tcPr>
          <w:p>
            <w:pPr>
              <w:jc w:val="right"/>
              <w:ind w:right="75"/>
              <w:spacing w:after="0"/>
              <w:rPr>
                <w:sz w:val="20"/>
                <w:szCs w:val="20"/>
                <w:color w:val="auto"/>
              </w:rPr>
            </w:pPr>
            <w:r>
              <w:rPr>
                <w:rFonts w:ascii="Arial" w:cs="Arial" w:eastAsia="Arial" w:hAnsi="Arial"/>
                <w:sz w:val="10"/>
                <w:szCs w:val="10"/>
                <w:color w:val="auto"/>
              </w:rPr>
              <w:t>495</w:t>
            </w:r>
          </w:p>
        </w:tc>
      </w:tr>
      <w:tr>
        <w:trPr>
          <w:trHeight w:val="176"/>
        </w:trPr>
        <w:tc>
          <w:tcPr>
            <w:tcW w:w="4020" w:type="dxa"/>
            <w:vAlign w:val="bottom"/>
            <w:gridSpan w:val="2"/>
          </w:tcPr>
          <w:p>
            <w:pPr>
              <w:ind w:left="100"/>
              <w:spacing w:after="0"/>
              <w:rPr>
                <w:sz w:val="20"/>
                <w:szCs w:val="20"/>
                <w:color w:val="auto"/>
              </w:rPr>
            </w:pPr>
            <w:r>
              <w:rPr>
                <w:rFonts w:ascii="Arial" w:cs="Arial" w:eastAsia="Arial" w:hAnsi="Arial"/>
                <w:sz w:val="10"/>
                <w:szCs w:val="10"/>
                <w:color w:val="auto"/>
              </w:rPr>
              <w:t>CMO</w:t>
            </w:r>
          </w:p>
        </w:tc>
        <w:tc>
          <w:tcPr>
            <w:tcW w:w="20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tcPr>
          <w:p>
            <w:pPr>
              <w:jc w:val="right"/>
              <w:ind w:right="72"/>
              <w:spacing w:after="0"/>
              <w:rPr>
                <w:sz w:val="20"/>
                <w:szCs w:val="20"/>
                <w:color w:val="auto"/>
              </w:rPr>
            </w:pPr>
            <w:r>
              <w:rPr>
                <w:rFonts w:ascii="Arial" w:cs="Arial" w:eastAsia="Arial" w:hAnsi="Arial"/>
                <w:sz w:val="10"/>
                <w:szCs w:val="10"/>
                <w:color w:val="auto"/>
              </w:rPr>
              <w:t>973</w:t>
            </w: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60" w:type="dxa"/>
            <w:vAlign w:val="bottom"/>
          </w:tcPr>
          <w:p>
            <w:pPr>
              <w:jc w:val="right"/>
              <w:ind w:right="52"/>
              <w:spacing w:after="0"/>
              <w:rPr>
                <w:sz w:val="20"/>
                <w:szCs w:val="20"/>
                <w:color w:val="auto"/>
              </w:rPr>
            </w:pPr>
            <w:r>
              <w:rPr>
                <w:rFonts w:ascii="Arial" w:cs="Arial" w:eastAsia="Arial" w:hAnsi="Arial"/>
                <w:sz w:val="10"/>
                <w:szCs w:val="10"/>
                <w:color w:val="auto"/>
              </w:rPr>
              <w:t>18</w:t>
            </w:r>
          </w:p>
        </w:tc>
        <w:tc>
          <w:tcPr>
            <w:tcW w:w="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80" w:type="dxa"/>
            <w:vAlign w:val="bottom"/>
          </w:tcPr>
          <w:p>
            <w:pPr>
              <w:jc w:val="right"/>
              <w:ind w:right="75"/>
              <w:spacing w:after="0"/>
              <w:rPr>
                <w:sz w:val="20"/>
                <w:szCs w:val="20"/>
                <w:color w:val="auto"/>
              </w:rPr>
            </w:pPr>
            <w:r>
              <w:rPr>
                <w:rFonts w:ascii="Arial" w:cs="Arial" w:eastAsia="Arial" w:hAnsi="Arial"/>
                <w:sz w:val="10"/>
                <w:szCs w:val="10"/>
                <w:color w:val="auto"/>
              </w:rPr>
              <w:t>990</w:t>
            </w:r>
          </w:p>
        </w:tc>
      </w:tr>
      <w:tr>
        <w:trPr>
          <w:trHeight w:val="180"/>
        </w:trPr>
        <w:tc>
          <w:tcPr>
            <w:tcW w:w="402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Interest-only and principal-only strips</w:t>
            </w:r>
          </w:p>
        </w:tc>
        <w:tc>
          <w:tcPr>
            <w:tcW w:w="20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tcBorders>
              <w:bottom w:val="single" w:sz="8" w:color="auto"/>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317</w:t>
            </w:r>
          </w:p>
        </w:tc>
        <w:tc>
          <w:tcPr>
            <w:tcW w:w="120" w:type="dxa"/>
            <w:vAlign w:val="bottom"/>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spacing w:after="0"/>
              <w:rPr>
                <w:sz w:val="15"/>
                <w:szCs w:val="15"/>
                <w:color w:val="auto"/>
              </w:rPr>
            </w:pPr>
          </w:p>
        </w:tc>
        <w:tc>
          <w:tcPr>
            <w:tcW w:w="40" w:type="dxa"/>
            <w:vAlign w:val="bottom"/>
            <w:tcBorders>
              <w:bottom w:val="single" w:sz="8" w:color="auto"/>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300" w:type="dxa"/>
            <w:vAlign w:val="bottom"/>
            <w:tcBorders>
              <w:bottom w:val="single" w:sz="8" w:color="auto"/>
            </w:tcBorders>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39</w:t>
            </w:r>
          </w:p>
        </w:tc>
        <w:tc>
          <w:tcPr>
            <w:tcW w:w="8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60" w:type="dxa"/>
            <w:vAlign w:val="bottom"/>
            <w:tcBorders>
              <w:bottom w:val="single" w:sz="8" w:color="auto"/>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w:t>
            </w:r>
          </w:p>
        </w:tc>
        <w:tc>
          <w:tcPr>
            <w:tcW w:w="40" w:type="dxa"/>
            <w:vAlign w:val="bottom"/>
            <w:tcBorders>
              <w:bottom w:val="single" w:sz="8" w:color="auto"/>
            </w:tcBorders>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16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shd w:val="clear" w:color="auto" w:fill="CCEEFF"/>
          </w:tcPr>
          <w:p>
            <w:pPr>
              <w:jc w:val="right"/>
              <w:ind w:right="75"/>
              <w:spacing w:after="0"/>
              <w:rPr>
                <w:sz w:val="20"/>
                <w:szCs w:val="20"/>
                <w:color w:val="auto"/>
              </w:rPr>
            </w:pPr>
            <w:r>
              <w:rPr>
                <w:rFonts w:ascii="Arial" w:cs="Arial" w:eastAsia="Arial" w:hAnsi="Arial"/>
                <w:sz w:val="10"/>
                <w:szCs w:val="10"/>
                <w:color w:val="auto"/>
              </w:rPr>
              <w:t>353</w:t>
            </w:r>
          </w:p>
        </w:tc>
      </w:tr>
      <w:tr>
        <w:trPr>
          <w:trHeight w:val="160"/>
        </w:trPr>
        <w:tc>
          <w:tcPr>
            <w:tcW w:w="4020" w:type="dxa"/>
            <w:vAlign w:val="bottom"/>
            <w:gridSpan w:val="2"/>
          </w:tcPr>
          <w:p>
            <w:pPr>
              <w:ind w:left="20"/>
              <w:spacing w:after="0"/>
              <w:rPr>
                <w:sz w:val="20"/>
                <w:szCs w:val="20"/>
                <w:color w:val="auto"/>
              </w:rPr>
            </w:pPr>
            <w:r>
              <w:rPr>
                <w:rFonts w:ascii="Arial" w:cs="Arial" w:eastAsia="Arial" w:hAnsi="Arial"/>
                <w:sz w:val="10"/>
                <w:szCs w:val="10"/>
                <w:color w:val="auto"/>
              </w:rPr>
              <w:t>Total agency MBS</w:t>
            </w:r>
          </w:p>
        </w:tc>
        <w:tc>
          <w:tcPr>
            <w:tcW w:w="20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00" w:type="dxa"/>
            <w:vAlign w:val="bottom"/>
          </w:tcPr>
          <w:p>
            <w:pPr>
              <w:jc w:val="right"/>
              <w:ind w:right="72"/>
              <w:spacing w:after="0"/>
              <w:rPr>
                <w:sz w:val="20"/>
                <w:szCs w:val="20"/>
                <w:color w:val="auto"/>
              </w:rPr>
            </w:pPr>
            <w:r>
              <w:rPr>
                <w:rFonts w:ascii="Arial" w:cs="Arial" w:eastAsia="Arial" w:hAnsi="Arial"/>
                <w:sz w:val="10"/>
                <w:szCs w:val="10"/>
                <w:color w:val="auto"/>
                <w:w w:val="84"/>
              </w:rPr>
              <w:t>52,350</w:t>
            </w:r>
          </w:p>
        </w:tc>
        <w:tc>
          <w:tcPr>
            <w:tcW w:w="1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60" w:type="dxa"/>
            <w:vAlign w:val="bottom"/>
          </w:tcPr>
          <w:p>
            <w:pPr>
              <w:jc w:val="right"/>
              <w:ind w:right="52"/>
              <w:spacing w:after="0"/>
              <w:rPr>
                <w:sz w:val="20"/>
                <w:szCs w:val="20"/>
                <w:color w:val="auto"/>
              </w:rPr>
            </w:pPr>
            <w:r>
              <w:rPr>
                <w:rFonts w:ascii="Arial" w:cs="Arial" w:eastAsia="Arial" w:hAnsi="Arial"/>
                <w:sz w:val="10"/>
                <w:szCs w:val="10"/>
                <w:color w:val="auto"/>
              </w:rPr>
              <w:t>407</w:t>
            </w: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(397)</w:t>
            </w: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80" w:type="dxa"/>
            <w:vAlign w:val="bottom"/>
          </w:tcPr>
          <w:p>
            <w:pPr>
              <w:jc w:val="right"/>
              <w:ind w:right="75"/>
              <w:spacing w:after="0"/>
              <w:rPr>
                <w:sz w:val="20"/>
                <w:szCs w:val="20"/>
                <w:color w:val="auto"/>
              </w:rPr>
            </w:pPr>
            <w:r>
              <w:rPr>
                <w:rFonts w:ascii="Arial" w:cs="Arial" w:eastAsia="Arial" w:hAnsi="Arial"/>
                <w:sz w:val="10"/>
                <w:szCs w:val="10"/>
                <w:color w:val="auto"/>
              </w:rPr>
              <w:t>52,360</w:t>
            </w:r>
          </w:p>
        </w:tc>
      </w:tr>
      <w:tr>
        <w:trPr>
          <w:trHeight w:val="180"/>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Non-agency MBS</w:t>
            </w:r>
          </w:p>
        </w:tc>
        <w:tc>
          <w:tcPr>
            <w:tcW w:w="20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tcBorders>
              <w:bottom w:val="single" w:sz="8" w:color="auto"/>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114</w:t>
            </w:r>
          </w:p>
        </w:tc>
        <w:tc>
          <w:tcPr>
            <w:tcW w:w="120" w:type="dxa"/>
            <w:vAlign w:val="bottom"/>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spacing w:after="0"/>
              <w:rPr>
                <w:sz w:val="15"/>
                <w:szCs w:val="15"/>
                <w:color w:val="auto"/>
              </w:rPr>
            </w:pPr>
          </w:p>
        </w:tc>
        <w:tc>
          <w:tcPr>
            <w:tcW w:w="40" w:type="dxa"/>
            <w:vAlign w:val="bottom"/>
            <w:tcBorders>
              <w:bottom w:val="single" w:sz="8" w:color="auto"/>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300" w:type="dxa"/>
            <w:vAlign w:val="bottom"/>
            <w:tcBorders>
              <w:bottom w:val="single" w:sz="8" w:color="auto"/>
            </w:tcBorders>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60" w:type="dxa"/>
            <w:vAlign w:val="bottom"/>
            <w:tcBorders>
              <w:bottom w:val="single" w:sz="8" w:color="auto"/>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w:t>
            </w:r>
          </w:p>
        </w:tc>
        <w:tc>
          <w:tcPr>
            <w:tcW w:w="40" w:type="dxa"/>
            <w:vAlign w:val="bottom"/>
            <w:tcBorders>
              <w:bottom w:val="single" w:sz="8" w:color="auto"/>
            </w:tcBorders>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16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shd w:val="clear" w:color="auto" w:fill="CCEEFF"/>
          </w:tcPr>
          <w:p>
            <w:pPr>
              <w:jc w:val="right"/>
              <w:ind w:right="75"/>
              <w:spacing w:after="0"/>
              <w:rPr>
                <w:sz w:val="20"/>
                <w:szCs w:val="20"/>
                <w:color w:val="auto"/>
              </w:rPr>
            </w:pPr>
            <w:r>
              <w:rPr>
                <w:rFonts w:ascii="Arial" w:cs="Arial" w:eastAsia="Arial" w:hAnsi="Arial"/>
                <w:sz w:val="10"/>
                <w:szCs w:val="10"/>
                <w:color w:val="auto"/>
              </w:rPr>
              <w:t>113</w:t>
            </w:r>
          </w:p>
        </w:tc>
      </w:tr>
      <w:tr>
        <w:trPr>
          <w:trHeight w:val="162"/>
        </w:trPr>
        <w:tc>
          <w:tcPr>
            <w:tcW w:w="4020" w:type="dxa"/>
            <w:vAlign w:val="bottom"/>
            <w:gridSpan w:val="2"/>
          </w:tcPr>
          <w:p>
            <w:pPr>
              <w:ind w:left="20"/>
              <w:spacing w:after="0"/>
              <w:rPr>
                <w:sz w:val="20"/>
                <w:szCs w:val="20"/>
                <w:color w:val="auto"/>
              </w:rPr>
            </w:pPr>
            <w:r>
              <w:rPr>
                <w:rFonts w:ascii="Arial" w:cs="Arial" w:eastAsia="Arial" w:hAnsi="Arial"/>
                <w:sz w:val="10"/>
                <w:szCs w:val="10"/>
                <w:color w:val="auto"/>
              </w:rPr>
              <w:t>Total investment securities</w:t>
            </w:r>
          </w:p>
        </w:tc>
        <w:tc>
          <w:tcPr>
            <w:tcW w:w="20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3"/>
          </w:tcPr>
          <w:p>
            <w:pPr>
              <w:jc w:val="right"/>
              <w:ind w:right="494"/>
              <w:spacing w:after="0"/>
              <w:rPr>
                <w:sz w:val="20"/>
                <w:szCs w:val="20"/>
                <w:color w:val="auto"/>
              </w:rPr>
            </w:pPr>
            <w:r>
              <w:rPr>
                <w:rFonts w:ascii="Arial" w:cs="Arial" w:eastAsia="Arial" w:hAnsi="Arial"/>
                <w:sz w:val="10"/>
                <w:szCs w:val="10"/>
                <w:color w:val="auto"/>
              </w:rPr>
              <w:t>$</w:t>
            </w: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jc w:val="right"/>
              <w:ind w:right="72"/>
              <w:spacing w:after="0"/>
              <w:rPr>
                <w:sz w:val="20"/>
                <w:szCs w:val="20"/>
                <w:color w:val="auto"/>
              </w:rPr>
            </w:pPr>
            <w:r>
              <w:rPr>
                <w:rFonts w:ascii="Arial" w:cs="Arial" w:eastAsia="Arial" w:hAnsi="Arial"/>
                <w:sz w:val="10"/>
                <w:szCs w:val="10"/>
                <w:color w:val="auto"/>
                <w:w w:val="84"/>
              </w:rPr>
              <w:t>52,464</w:t>
            </w:r>
          </w:p>
        </w:tc>
        <w:tc>
          <w:tcPr>
            <w:tcW w:w="120" w:type="dxa"/>
            <w:vAlign w:val="bottom"/>
          </w:tcPr>
          <w:p>
            <w:pPr>
              <w:spacing w:after="0"/>
              <w:rPr>
                <w:sz w:val="14"/>
                <w:szCs w:val="14"/>
                <w:color w:val="auto"/>
              </w:rPr>
            </w:pPr>
          </w:p>
        </w:tc>
        <w:tc>
          <w:tcPr>
            <w:tcW w:w="460" w:type="dxa"/>
            <w:vAlign w:val="bottom"/>
          </w:tcPr>
          <w:p>
            <w:pPr>
              <w:jc w:val="right"/>
              <w:ind w:right="357"/>
              <w:spacing w:after="0"/>
              <w:rPr>
                <w:sz w:val="20"/>
                <w:szCs w:val="20"/>
                <w:color w:val="auto"/>
              </w:rPr>
            </w:pPr>
            <w:r>
              <w:rPr>
                <w:rFonts w:ascii="Arial" w:cs="Arial" w:eastAsia="Arial" w:hAnsi="Arial"/>
                <w:sz w:val="10"/>
                <w:szCs w:val="10"/>
                <w:color w:val="auto"/>
                <w:w w:val="71"/>
              </w:rPr>
              <w:t>$</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460" w:type="dxa"/>
            <w:vAlign w:val="bottom"/>
          </w:tcPr>
          <w:p>
            <w:pPr>
              <w:jc w:val="right"/>
              <w:ind w:right="52"/>
              <w:spacing w:after="0"/>
              <w:rPr>
                <w:sz w:val="20"/>
                <w:szCs w:val="20"/>
                <w:color w:val="auto"/>
              </w:rPr>
            </w:pPr>
            <w:r>
              <w:rPr>
                <w:rFonts w:ascii="Arial" w:cs="Arial" w:eastAsia="Arial" w:hAnsi="Arial"/>
                <w:sz w:val="10"/>
                <w:szCs w:val="10"/>
                <w:color w:val="auto"/>
              </w:rPr>
              <w:t>407</w:t>
            </w:r>
          </w:p>
        </w:tc>
        <w:tc>
          <w:tcPr>
            <w:tcW w:w="80" w:type="dxa"/>
            <w:vAlign w:val="bottom"/>
          </w:tcPr>
          <w:p>
            <w:pPr>
              <w:spacing w:after="0"/>
              <w:rPr>
                <w:sz w:val="14"/>
                <w:szCs w:val="14"/>
                <w:color w:val="auto"/>
              </w:rPr>
            </w:pPr>
          </w:p>
        </w:tc>
        <w:tc>
          <w:tcPr>
            <w:tcW w:w="300" w:type="dxa"/>
            <w:vAlign w:val="bottom"/>
            <w:gridSpan w:val="2"/>
          </w:tcPr>
          <w:p>
            <w:pPr>
              <w:jc w:val="right"/>
              <w:ind w:right="137"/>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4"/>
                <w:szCs w:val="14"/>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(398)</w:t>
            </w:r>
          </w:p>
        </w:tc>
        <w:tc>
          <w:tcPr>
            <w:tcW w:w="280" w:type="dxa"/>
            <w:vAlign w:val="bottom"/>
            <w:gridSpan w:val="3"/>
          </w:tcPr>
          <w:p>
            <w:pPr>
              <w:jc w:val="right"/>
              <w:ind w:right="12"/>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tcPr>
          <w:p>
            <w:pPr>
              <w:jc w:val="right"/>
              <w:ind w:right="75"/>
              <w:spacing w:after="0"/>
              <w:rPr>
                <w:sz w:val="20"/>
                <w:szCs w:val="20"/>
                <w:color w:val="auto"/>
              </w:rPr>
            </w:pPr>
            <w:r>
              <w:rPr>
                <w:rFonts w:ascii="Arial" w:cs="Arial" w:eastAsia="Arial" w:hAnsi="Arial"/>
                <w:sz w:val="10"/>
                <w:szCs w:val="10"/>
                <w:color w:val="auto"/>
              </w:rPr>
              <w:t>52,473</w:t>
            </w:r>
          </w:p>
        </w:tc>
      </w:tr>
      <w:tr>
        <w:trPr>
          <w:trHeight w:val="464"/>
        </w:trPr>
        <w:tc>
          <w:tcPr>
            <w:tcW w:w="39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00" w:type="dxa"/>
            <w:vAlign w:val="bottom"/>
            <w:tcBorders>
              <w:top w:val="single" w:sz="8" w:color="auto"/>
              <w:bottom w:val="single" w:sz="8" w:color="auto"/>
            </w:tcBorders>
          </w:tcPr>
          <w:p>
            <w:pPr>
              <w:spacing w:after="0"/>
              <w:rPr>
                <w:sz w:val="24"/>
                <w:szCs w:val="24"/>
                <w:color w:val="auto"/>
              </w:rPr>
            </w:pPr>
          </w:p>
        </w:tc>
        <w:tc>
          <w:tcPr>
            <w:tcW w:w="120" w:type="dxa"/>
            <w:vAlign w:val="bottom"/>
            <w:tcBorders>
              <w:top w:val="single" w:sz="8" w:color="auto"/>
              <w:bottom w:val="single" w:sz="8" w:color="auto"/>
            </w:tcBorders>
          </w:tcPr>
          <w:p>
            <w:pPr>
              <w:spacing w:after="0"/>
              <w:rPr>
                <w:sz w:val="24"/>
                <w:szCs w:val="24"/>
                <w:color w:val="auto"/>
              </w:rPr>
            </w:pPr>
          </w:p>
        </w:tc>
        <w:tc>
          <w:tcPr>
            <w:tcW w:w="140" w:type="dxa"/>
            <w:vAlign w:val="bottom"/>
            <w:tcBorders>
              <w:top w:val="single" w:sz="8" w:color="auto"/>
              <w:bottom w:val="single" w:sz="8" w:color="auto"/>
            </w:tcBorders>
          </w:tcPr>
          <w:p>
            <w:pPr>
              <w:spacing w:after="0"/>
              <w:rPr>
                <w:sz w:val="24"/>
                <w:szCs w:val="24"/>
                <w:color w:val="auto"/>
              </w:rPr>
            </w:pPr>
          </w:p>
        </w:tc>
        <w:tc>
          <w:tcPr>
            <w:tcW w:w="400" w:type="dxa"/>
            <w:vAlign w:val="bottom"/>
            <w:tcBorders>
              <w:top w:val="single" w:sz="8" w:color="auto"/>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920" w:type="dxa"/>
            <w:vAlign w:val="bottom"/>
            <w:tcBorders>
              <w:top w:val="single" w:sz="8" w:color="auto"/>
              <w:bottom w:val="single" w:sz="8" w:color="auto"/>
            </w:tcBorders>
            <w:gridSpan w:val="4"/>
          </w:tcPr>
          <w:p>
            <w:pPr>
              <w:jc w:val="right"/>
              <w:spacing w:after="0"/>
              <w:rPr>
                <w:sz w:val="20"/>
                <w:szCs w:val="20"/>
                <w:color w:val="auto"/>
              </w:rPr>
            </w:pPr>
            <w:r>
              <w:rPr>
                <w:rFonts w:ascii="Arial" w:cs="Arial" w:eastAsia="Arial" w:hAnsi="Arial"/>
                <w:sz w:val="10"/>
                <w:szCs w:val="10"/>
                <w:b w:val="1"/>
                <w:bCs w:val="1"/>
                <w:color w:val="auto"/>
                <w:w w:val="96"/>
              </w:rPr>
              <w:t>September 30, 2016</w:t>
            </w:r>
          </w:p>
        </w:tc>
        <w:tc>
          <w:tcPr>
            <w:tcW w:w="460" w:type="dxa"/>
            <w:vAlign w:val="bottom"/>
            <w:tcBorders>
              <w:top w:val="single" w:sz="8" w:color="auto"/>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60" w:type="dxa"/>
            <w:vAlign w:val="bottom"/>
            <w:tcBorders>
              <w:top w:val="single" w:sz="8" w:color="auto"/>
              <w:bottom w:val="single" w:sz="8" w:color="auto"/>
            </w:tcBorders>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860" w:type="dxa"/>
            <w:vAlign w:val="bottom"/>
            <w:tcBorders>
              <w:top w:val="single" w:sz="8" w:color="auto"/>
              <w:bottom w:val="single" w:sz="8" w:color="auto"/>
            </w:tcBorders>
          </w:tcPr>
          <w:p>
            <w:pPr>
              <w:spacing w:after="0"/>
              <w:rPr>
                <w:sz w:val="24"/>
                <w:szCs w:val="24"/>
                <w:color w:val="auto"/>
              </w:rPr>
            </w:pPr>
          </w:p>
        </w:tc>
        <w:tc>
          <w:tcPr>
            <w:tcW w:w="40" w:type="dxa"/>
            <w:vAlign w:val="bottom"/>
            <w:tcBorders>
              <w:top w:val="single" w:sz="8" w:color="auto"/>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0" w:type="dxa"/>
            <w:vAlign w:val="bottom"/>
            <w:tcBorders>
              <w:top w:val="single" w:sz="8" w:color="auto"/>
              <w:bottom w:val="single" w:sz="8" w:color="auto"/>
            </w:tcBorders>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160" w:type="dxa"/>
            <w:vAlign w:val="bottom"/>
            <w:tcBorders>
              <w:top w:val="single" w:sz="8" w:color="auto"/>
              <w:bottom w:val="single" w:sz="8" w:color="auto"/>
            </w:tcBorders>
          </w:tcPr>
          <w:p>
            <w:pPr>
              <w:spacing w:after="0"/>
              <w:rPr>
                <w:sz w:val="24"/>
                <w:szCs w:val="24"/>
                <w:color w:val="auto"/>
              </w:rPr>
            </w:pPr>
          </w:p>
        </w:tc>
        <w:tc>
          <w:tcPr>
            <w:tcW w:w="980" w:type="dxa"/>
            <w:vAlign w:val="bottom"/>
            <w:tcBorders>
              <w:top w:val="single" w:sz="8" w:color="auto"/>
              <w:bottom w:val="single" w:sz="8" w:color="auto"/>
            </w:tcBorders>
          </w:tcPr>
          <w:p>
            <w:pPr>
              <w:spacing w:after="0"/>
              <w:rPr>
                <w:sz w:val="24"/>
                <w:szCs w:val="24"/>
                <w:color w:val="auto"/>
              </w:rPr>
            </w:pPr>
          </w:p>
        </w:tc>
      </w:tr>
      <w:tr>
        <w:trPr>
          <w:trHeight w:val="169"/>
        </w:trPr>
        <w:tc>
          <w:tcPr>
            <w:tcW w:w="39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Investment Securities</w:t>
            </w:r>
          </w:p>
        </w:tc>
        <w:tc>
          <w:tcPr>
            <w:tcW w:w="12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tcPr>
          <w:p>
            <w:pPr>
              <w:jc w:val="right"/>
              <w:ind w:right="298"/>
              <w:spacing w:after="0"/>
              <w:rPr>
                <w:sz w:val="20"/>
                <w:szCs w:val="20"/>
                <w:color w:val="auto"/>
              </w:rPr>
            </w:pPr>
            <w:r>
              <w:rPr>
                <w:rFonts w:ascii="Arial" w:cs="Arial" w:eastAsia="Arial" w:hAnsi="Arial"/>
                <w:sz w:val="10"/>
                <w:szCs w:val="10"/>
                <w:b w:val="1"/>
                <w:bCs w:val="1"/>
                <w:color w:val="auto"/>
              </w:rPr>
              <w:t>Fannie Mae</w:t>
            </w:r>
          </w:p>
        </w:tc>
        <w:tc>
          <w:tcPr>
            <w:tcW w:w="12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gridSpan w:val="3"/>
          </w:tcPr>
          <w:p>
            <w:pPr>
              <w:jc w:val="right"/>
              <w:ind w:right="274"/>
              <w:spacing w:after="0"/>
              <w:rPr>
                <w:sz w:val="20"/>
                <w:szCs w:val="20"/>
                <w:color w:val="auto"/>
              </w:rPr>
            </w:pPr>
            <w:r>
              <w:rPr>
                <w:rFonts w:ascii="Arial" w:cs="Arial" w:eastAsia="Arial" w:hAnsi="Arial"/>
                <w:sz w:val="10"/>
                <w:szCs w:val="10"/>
                <w:b w:val="1"/>
                <w:bCs w:val="1"/>
                <w:color w:val="auto"/>
              </w:rPr>
              <w:t>Freddie Mac</w:t>
            </w:r>
          </w:p>
        </w:tc>
        <w:tc>
          <w:tcPr>
            <w:tcW w:w="12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gridSpan w:val="3"/>
          </w:tcPr>
          <w:p>
            <w:pPr>
              <w:jc w:val="right"/>
              <w:ind w:right="257"/>
              <w:spacing w:after="0"/>
              <w:rPr>
                <w:sz w:val="20"/>
                <w:szCs w:val="20"/>
                <w:color w:val="auto"/>
              </w:rPr>
            </w:pPr>
            <w:r>
              <w:rPr>
                <w:rFonts w:ascii="Arial" w:cs="Arial" w:eastAsia="Arial" w:hAnsi="Arial"/>
                <w:sz w:val="10"/>
                <w:szCs w:val="10"/>
                <w:b w:val="1"/>
                <w:bCs w:val="1"/>
                <w:color w:val="auto"/>
              </w:rPr>
              <w:t>Ginnie Mae</w:t>
            </w:r>
          </w:p>
        </w:tc>
        <w:tc>
          <w:tcPr>
            <w:tcW w:w="40" w:type="dxa"/>
            <w:vAlign w:val="bottom"/>
            <w:tcBorders>
              <w:bottom w:val="single" w:sz="8" w:color="auto"/>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gridSpan w:val="2"/>
          </w:tcPr>
          <w:p>
            <w:pPr>
              <w:spacing w:after="0"/>
              <w:rPr>
                <w:sz w:val="20"/>
                <w:szCs w:val="20"/>
                <w:color w:val="auto"/>
              </w:rPr>
            </w:pPr>
            <w:r>
              <w:rPr>
                <w:rFonts w:ascii="Arial" w:cs="Arial" w:eastAsia="Arial" w:hAnsi="Arial"/>
                <w:sz w:val="10"/>
                <w:szCs w:val="10"/>
                <w:b w:val="1"/>
                <w:bCs w:val="1"/>
                <w:color w:val="auto"/>
                <w:w w:val="88"/>
              </w:rPr>
              <w:t>Non-Agency</w:t>
            </w:r>
          </w:p>
        </w:tc>
        <w:tc>
          <w:tcPr>
            <w:tcW w:w="40" w:type="dxa"/>
            <w:vAlign w:val="bottom"/>
            <w:tcBorders>
              <w:bottom w:val="single" w:sz="8" w:color="auto"/>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86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b w:val="1"/>
                <w:bCs w:val="1"/>
                <w:color w:val="auto"/>
              </w:rPr>
              <w:t>CRT</w:t>
            </w:r>
          </w:p>
        </w:tc>
        <w:tc>
          <w:tcPr>
            <w:tcW w:w="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right"/>
              <w:ind w:right="415"/>
              <w:spacing w:after="0"/>
              <w:rPr>
                <w:sz w:val="20"/>
                <w:szCs w:val="20"/>
                <w:color w:val="auto"/>
              </w:rPr>
            </w:pPr>
            <w:r>
              <w:rPr>
                <w:rFonts w:ascii="Arial" w:cs="Arial" w:eastAsia="Arial" w:hAnsi="Arial"/>
                <w:sz w:val="10"/>
                <w:szCs w:val="10"/>
                <w:b w:val="1"/>
                <w:bCs w:val="1"/>
                <w:color w:val="auto"/>
              </w:rPr>
              <w:t>Total</w:t>
            </w:r>
          </w:p>
        </w:tc>
      </w:tr>
      <w:tr>
        <w:trPr>
          <w:trHeight w:val="173"/>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8"/>
                <w:szCs w:val="8"/>
                <w:color w:val="auto"/>
              </w:rPr>
              <w:t>Available-for-sale securities:</w:t>
            </w:r>
          </w:p>
        </w:tc>
        <w:tc>
          <w:tcPr>
            <w:tcW w:w="20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6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980" w:type="dxa"/>
            <w:vAlign w:val="bottom"/>
            <w:shd w:val="clear" w:color="auto" w:fill="CCEEFF"/>
          </w:tcPr>
          <w:p>
            <w:pPr>
              <w:spacing w:after="0"/>
              <w:rPr>
                <w:sz w:val="15"/>
                <w:szCs w:val="15"/>
                <w:color w:val="auto"/>
              </w:rPr>
            </w:pPr>
          </w:p>
        </w:tc>
      </w:tr>
      <w:tr>
        <w:trPr>
          <w:trHeight w:val="174"/>
        </w:trPr>
        <w:tc>
          <w:tcPr>
            <w:tcW w:w="4020" w:type="dxa"/>
            <w:vAlign w:val="bottom"/>
            <w:gridSpan w:val="2"/>
          </w:tcPr>
          <w:p>
            <w:pPr>
              <w:ind w:left="780"/>
              <w:spacing w:after="0"/>
              <w:rPr>
                <w:sz w:val="20"/>
                <w:szCs w:val="20"/>
                <w:color w:val="auto"/>
              </w:rPr>
            </w:pPr>
            <w:r>
              <w:rPr>
                <w:rFonts w:ascii="Arial" w:cs="Arial" w:eastAsia="Arial" w:hAnsi="Arial"/>
                <w:sz w:val="8"/>
                <w:szCs w:val="8"/>
                <w:color w:val="auto"/>
              </w:rPr>
              <w:t>Par value</w:t>
            </w:r>
          </w:p>
        </w:tc>
        <w:tc>
          <w:tcPr>
            <w:tcW w:w="200" w:type="dxa"/>
            <w:vAlign w:val="bottom"/>
          </w:tcPr>
          <w:p>
            <w:pPr>
              <w:jc w:val="right"/>
              <w:ind w:right="98"/>
              <w:spacing w:after="0"/>
              <w:rPr>
                <w:sz w:val="20"/>
                <w:szCs w:val="20"/>
                <w:color w:val="auto"/>
              </w:rPr>
            </w:pPr>
            <w:r>
              <w:rPr>
                <w:rFonts w:ascii="Arial" w:cs="Arial" w:eastAsia="Arial" w:hAnsi="Arial"/>
                <w:sz w:val="8"/>
                <w:szCs w:val="8"/>
                <w:color w:val="auto"/>
                <w:w w:val="88"/>
              </w:rPr>
              <w:t>$</w:t>
            </w: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33,919</w:t>
            </w:r>
          </w:p>
        </w:tc>
        <w:tc>
          <w:tcPr>
            <w:tcW w:w="120" w:type="dxa"/>
            <w:vAlign w:val="bottom"/>
          </w:tcPr>
          <w:p>
            <w:pPr>
              <w:spacing w:after="0"/>
              <w:rPr>
                <w:sz w:val="15"/>
                <w:szCs w:val="15"/>
                <w:color w:val="auto"/>
              </w:rPr>
            </w:pPr>
          </w:p>
        </w:tc>
        <w:tc>
          <w:tcPr>
            <w:tcW w:w="180" w:type="dxa"/>
            <w:vAlign w:val="bottom"/>
          </w:tcPr>
          <w:p>
            <w:pPr>
              <w:jc w:val="right"/>
              <w:ind w:right="78"/>
              <w:spacing w:after="0"/>
              <w:rPr>
                <w:sz w:val="20"/>
                <w:szCs w:val="20"/>
                <w:color w:val="auto"/>
              </w:rPr>
            </w:pPr>
            <w:r>
              <w:rPr>
                <w:rFonts w:ascii="Arial" w:cs="Arial" w:eastAsia="Arial" w:hAnsi="Arial"/>
                <w:sz w:val="8"/>
                <w:szCs w:val="8"/>
                <w:color w:val="auto"/>
                <w:w w:val="88"/>
              </w:rPr>
              <w:t>$</w:t>
            </w:r>
          </w:p>
        </w:tc>
        <w:tc>
          <w:tcPr>
            <w:tcW w:w="980" w:type="dxa"/>
            <w:vAlign w:val="bottom"/>
            <w:gridSpan w:val="3"/>
          </w:tcPr>
          <w:p>
            <w:pPr>
              <w:jc w:val="right"/>
              <w:ind w:right="74"/>
              <w:spacing w:after="0"/>
              <w:rPr>
                <w:sz w:val="20"/>
                <w:szCs w:val="20"/>
                <w:color w:val="auto"/>
              </w:rPr>
            </w:pPr>
            <w:r>
              <w:rPr>
                <w:rFonts w:ascii="Arial" w:cs="Arial" w:eastAsia="Arial" w:hAnsi="Arial"/>
                <w:sz w:val="8"/>
                <w:szCs w:val="8"/>
                <w:color w:val="auto"/>
              </w:rPr>
              <w:t>9,930</w:t>
            </w:r>
          </w:p>
        </w:tc>
        <w:tc>
          <w:tcPr>
            <w:tcW w:w="120" w:type="dxa"/>
            <w:vAlign w:val="bottom"/>
          </w:tcPr>
          <w:p>
            <w:pPr>
              <w:spacing w:after="0"/>
              <w:rPr>
                <w:sz w:val="15"/>
                <w:szCs w:val="15"/>
                <w:color w:val="auto"/>
              </w:rPr>
            </w:pPr>
          </w:p>
        </w:tc>
        <w:tc>
          <w:tcPr>
            <w:tcW w:w="140" w:type="dxa"/>
            <w:vAlign w:val="bottom"/>
          </w:tcPr>
          <w:p>
            <w:pPr>
              <w:jc w:val="right"/>
              <w:ind w:right="38"/>
              <w:spacing w:after="0"/>
              <w:rPr>
                <w:sz w:val="20"/>
                <w:szCs w:val="20"/>
                <w:color w:val="auto"/>
              </w:rPr>
            </w:pPr>
            <w:r>
              <w:rPr>
                <w:rFonts w:ascii="Arial" w:cs="Arial" w:eastAsia="Arial" w:hAnsi="Arial"/>
                <w:sz w:val="8"/>
                <w:szCs w:val="8"/>
                <w:color w:val="auto"/>
                <w:w w:val="88"/>
              </w:rPr>
              <w:t>$</w:t>
            </w:r>
          </w:p>
        </w:tc>
        <w:tc>
          <w:tcPr>
            <w:tcW w:w="4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jc w:val="right"/>
              <w:ind w:right="37"/>
              <w:spacing w:after="0"/>
              <w:rPr>
                <w:sz w:val="20"/>
                <w:szCs w:val="20"/>
                <w:color w:val="auto"/>
              </w:rPr>
            </w:pPr>
            <w:r>
              <w:rPr>
                <w:rFonts w:ascii="Arial" w:cs="Arial" w:eastAsia="Arial" w:hAnsi="Arial"/>
                <w:sz w:val="8"/>
                <w:szCs w:val="8"/>
                <w:color w:val="auto"/>
              </w:rPr>
              <w:t>48</w:t>
            </w:r>
          </w:p>
        </w:tc>
        <w:tc>
          <w:tcPr>
            <w:tcW w:w="460" w:type="dxa"/>
            <w:vAlign w:val="bottom"/>
            <w:gridSpan w:val="3"/>
          </w:tcPr>
          <w:p>
            <w:pPr>
              <w:jc w:val="right"/>
              <w:ind w:right="240"/>
              <w:spacing w:after="0"/>
              <w:rPr>
                <w:sz w:val="20"/>
                <w:szCs w:val="20"/>
                <w:color w:val="auto"/>
              </w:rPr>
            </w:pPr>
            <w:r>
              <w:rPr>
                <w:rFonts w:ascii="Arial" w:cs="Arial" w:eastAsia="Arial" w:hAnsi="Arial"/>
                <w:sz w:val="8"/>
                <w:szCs w:val="8"/>
                <w:color w:val="auto"/>
              </w:rPr>
              <w:t>$</w:t>
            </w:r>
          </w:p>
        </w:tc>
        <w:tc>
          <w:tcPr>
            <w:tcW w:w="4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00" w:type="dxa"/>
            <w:vAlign w:val="bottom"/>
            <w:gridSpan w:val="2"/>
          </w:tcPr>
          <w:p>
            <w:pPr>
              <w:jc w:val="right"/>
              <w:ind w:right="77"/>
              <w:spacing w:after="0"/>
              <w:rPr>
                <w:sz w:val="20"/>
                <w:szCs w:val="20"/>
                <w:color w:val="auto"/>
              </w:rPr>
            </w:pPr>
            <w:r>
              <w:rPr>
                <w:rFonts w:ascii="Arial" w:cs="Arial" w:eastAsia="Arial" w:hAnsi="Arial"/>
                <w:sz w:val="8"/>
                <w:szCs w:val="8"/>
                <w:color w:val="auto"/>
              </w:rPr>
              <w:t>99</w:t>
            </w:r>
          </w:p>
        </w:tc>
        <w:tc>
          <w:tcPr>
            <w:tcW w:w="100" w:type="dxa"/>
            <w:vAlign w:val="bottom"/>
          </w:tcPr>
          <w:p>
            <w:pPr>
              <w:spacing w:after="0"/>
              <w:rPr>
                <w:sz w:val="15"/>
                <w:szCs w:val="15"/>
                <w:color w:val="auto"/>
              </w:rPr>
            </w:pPr>
          </w:p>
        </w:tc>
        <w:tc>
          <w:tcPr>
            <w:tcW w:w="860" w:type="dxa"/>
            <w:vAlign w:val="bottom"/>
          </w:tcPr>
          <w:p>
            <w:pPr>
              <w:jc w:val="right"/>
              <w:ind w:right="752"/>
              <w:spacing w:after="0"/>
              <w:rPr>
                <w:sz w:val="20"/>
                <w:szCs w:val="20"/>
                <w:color w:val="auto"/>
              </w:rPr>
            </w:pPr>
            <w:r>
              <w:rPr>
                <w:rFonts w:ascii="Arial" w:cs="Arial" w:eastAsia="Arial" w:hAnsi="Arial"/>
                <w:sz w:val="8"/>
                <w:szCs w:val="8"/>
                <w:color w:val="auto"/>
                <w:w w:val="88"/>
              </w:rPr>
              <w:t>$</w:t>
            </w:r>
          </w:p>
        </w:tc>
        <w:tc>
          <w:tcPr>
            <w:tcW w:w="40" w:type="dxa"/>
            <w:vAlign w:val="bottom"/>
          </w:tcPr>
          <w:p>
            <w:pPr>
              <w:spacing w:after="0"/>
              <w:rPr>
                <w:sz w:val="15"/>
                <w:szCs w:val="15"/>
                <w:color w:val="auto"/>
              </w:rPr>
            </w:pPr>
          </w:p>
        </w:tc>
        <w:tc>
          <w:tcPr>
            <w:tcW w:w="340" w:type="dxa"/>
            <w:vAlign w:val="bottom"/>
            <w:gridSpan w:val="3"/>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tcPr>
          <w:p>
            <w:pPr>
              <w:jc w:val="right"/>
              <w:ind w:right="58"/>
              <w:spacing w:after="0"/>
              <w:rPr>
                <w:sz w:val="20"/>
                <w:szCs w:val="20"/>
                <w:color w:val="auto"/>
              </w:rPr>
            </w:pPr>
            <w:r>
              <w:rPr>
                <w:rFonts w:ascii="Arial" w:cs="Arial" w:eastAsia="Arial" w:hAnsi="Arial"/>
                <w:sz w:val="8"/>
                <w:szCs w:val="8"/>
                <w:color w:val="auto"/>
                <w:w w:val="88"/>
              </w:rPr>
              <w:t>$</w:t>
            </w:r>
          </w:p>
        </w:tc>
        <w:tc>
          <w:tcPr>
            <w:tcW w:w="980" w:type="dxa"/>
            <w:vAlign w:val="bottom"/>
          </w:tcPr>
          <w:p>
            <w:pPr>
              <w:jc w:val="right"/>
              <w:ind w:right="75"/>
              <w:spacing w:after="0"/>
              <w:rPr>
                <w:sz w:val="20"/>
                <w:szCs w:val="20"/>
                <w:color w:val="auto"/>
              </w:rPr>
            </w:pPr>
            <w:r>
              <w:rPr>
                <w:rFonts w:ascii="Arial" w:cs="Arial" w:eastAsia="Arial" w:hAnsi="Arial"/>
                <w:sz w:val="8"/>
                <w:szCs w:val="8"/>
                <w:color w:val="auto"/>
              </w:rPr>
              <w:t>43,996</w:t>
            </w:r>
          </w:p>
        </w:tc>
      </w:tr>
      <w:tr>
        <w:trPr>
          <w:trHeight w:val="186"/>
        </w:trPr>
        <w:tc>
          <w:tcPr>
            <w:tcW w:w="4020" w:type="dxa"/>
            <w:vAlign w:val="bottom"/>
            <w:gridSpan w:val="2"/>
            <w:shd w:val="clear" w:color="auto" w:fill="CCEEFF"/>
          </w:tcPr>
          <w:p>
            <w:pPr>
              <w:ind w:left="780"/>
              <w:spacing w:after="0"/>
              <w:rPr>
                <w:sz w:val="20"/>
                <w:szCs w:val="20"/>
                <w:color w:val="auto"/>
              </w:rPr>
            </w:pPr>
            <w:r>
              <w:rPr>
                <w:rFonts w:ascii="Arial" w:cs="Arial" w:eastAsia="Arial" w:hAnsi="Arial"/>
                <w:sz w:val="8"/>
                <w:szCs w:val="8"/>
                <w:color w:val="auto"/>
              </w:rPr>
              <w:t>Unamortized discount</w:t>
            </w:r>
          </w:p>
        </w:tc>
        <w:tc>
          <w:tcPr>
            <w:tcW w:w="200" w:type="dxa"/>
            <w:vAlign w:val="bottom"/>
            <w:shd w:val="clear" w:color="auto" w:fill="CCEEFF"/>
          </w:tcPr>
          <w:p>
            <w:pPr>
              <w:spacing w:after="0"/>
              <w:rPr>
                <w:sz w:val="16"/>
                <w:szCs w:val="16"/>
                <w:color w:val="auto"/>
              </w:rPr>
            </w:pPr>
          </w:p>
        </w:tc>
        <w:tc>
          <w:tcPr>
            <w:tcW w:w="96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(27)</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980" w:type="dxa"/>
            <w:vAlign w:val="bottom"/>
            <w:gridSpan w:val="3"/>
            <w:shd w:val="clear" w:color="auto" w:fill="CCEEFF"/>
          </w:tcPr>
          <w:p>
            <w:pPr>
              <w:jc w:val="right"/>
              <w:ind w:right="34"/>
              <w:spacing w:after="0"/>
              <w:rPr>
                <w:sz w:val="20"/>
                <w:szCs w:val="20"/>
                <w:color w:val="auto"/>
              </w:rPr>
            </w:pPr>
            <w:r>
              <w:rPr>
                <w:rFonts w:ascii="Arial" w:cs="Arial" w:eastAsia="Arial" w:hAnsi="Arial"/>
                <w:sz w:val="8"/>
                <w:szCs w:val="8"/>
                <w:color w:val="auto"/>
              </w:rPr>
              <w:t>(3)</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60" w:type="dxa"/>
            <w:vAlign w:val="bottom"/>
            <w:shd w:val="clear" w:color="auto" w:fill="CCEEFF"/>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4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8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340" w:type="dxa"/>
            <w:vAlign w:val="bottom"/>
            <w:gridSpan w:val="3"/>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shd w:val="clear" w:color="auto" w:fill="CCEEFF"/>
          </w:tcPr>
          <w:p>
            <w:pPr>
              <w:spacing w:after="0"/>
              <w:rPr>
                <w:sz w:val="16"/>
                <w:szCs w:val="16"/>
                <w:color w:val="auto"/>
              </w:rPr>
            </w:pPr>
          </w:p>
        </w:tc>
        <w:tc>
          <w:tcPr>
            <w:tcW w:w="980" w:type="dxa"/>
            <w:vAlign w:val="bottom"/>
            <w:shd w:val="clear" w:color="auto" w:fill="CCEEFF"/>
          </w:tcPr>
          <w:p>
            <w:pPr>
              <w:jc w:val="right"/>
              <w:ind w:right="35"/>
              <w:spacing w:after="0"/>
              <w:rPr>
                <w:sz w:val="20"/>
                <w:szCs w:val="20"/>
                <w:color w:val="auto"/>
              </w:rPr>
            </w:pPr>
            <w:r>
              <w:rPr>
                <w:rFonts w:ascii="Arial" w:cs="Arial" w:eastAsia="Arial" w:hAnsi="Arial"/>
                <w:sz w:val="8"/>
                <w:szCs w:val="8"/>
                <w:color w:val="auto"/>
              </w:rPr>
              <w:t>(30)</w:t>
            </w:r>
          </w:p>
        </w:tc>
      </w:tr>
      <w:tr>
        <w:trPr>
          <w:trHeight w:val="174"/>
        </w:trPr>
        <w:tc>
          <w:tcPr>
            <w:tcW w:w="4020" w:type="dxa"/>
            <w:vAlign w:val="bottom"/>
            <w:tcBorders>
              <w:bottom w:val="single" w:sz="8" w:color="CCEEFF"/>
            </w:tcBorders>
            <w:gridSpan w:val="2"/>
          </w:tcPr>
          <w:p>
            <w:pPr>
              <w:ind w:left="780"/>
              <w:spacing w:after="0"/>
              <w:rPr>
                <w:sz w:val="20"/>
                <w:szCs w:val="20"/>
                <w:color w:val="auto"/>
              </w:rPr>
            </w:pPr>
            <w:r>
              <w:rPr>
                <w:rFonts w:ascii="Arial" w:cs="Arial" w:eastAsia="Arial" w:hAnsi="Arial"/>
                <w:sz w:val="8"/>
                <w:szCs w:val="8"/>
                <w:color w:val="auto"/>
              </w:rPr>
              <w:t>Unamortized premium</w:t>
            </w:r>
          </w:p>
        </w:tc>
        <w:tc>
          <w:tcPr>
            <w:tcW w:w="200" w:type="dxa"/>
            <w:vAlign w:val="bottom"/>
            <w:tcBorders>
              <w:bottom w:val="single" w:sz="8" w:color="auto"/>
            </w:tcBorders>
          </w:tcPr>
          <w:p>
            <w:pPr>
              <w:spacing w:after="0"/>
              <w:rPr>
                <w:sz w:val="15"/>
                <w:szCs w:val="15"/>
                <w:color w:val="auto"/>
              </w:rPr>
            </w:pPr>
          </w:p>
        </w:tc>
        <w:tc>
          <w:tcPr>
            <w:tcW w:w="96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1,494</w:t>
            </w:r>
          </w:p>
        </w:tc>
        <w:tc>
          <w:tcPr>
            <w:tcW w:w="12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gridSpan w:val="3"/>
          </w:tcPr>
          <w:p>
            <w:pPr>
              <w:jc w:val="right"/>
              <w:ind w:right="74"/>
              <w:spacing w:after="0"/>
              <w:rPr>
                <w:sz w:val="20"/>
                <w:szCs w:val="20"/>
                <w:color w:val="auto"/>
              </w:rPr>
            </w:pPr>
            <w:r>
              <w:rPr>
                <w:rFonts w:ascii="Arial" w:cs="Arial" w:eastAsia="Arial" w:hAnsi="Arial"/>
                <w:sz w:val="8"/>
                <w:szCs w:val="8"/>
                <w:color w:val="auto"/>
              </w:rPr>
              <w:t>520</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400" w:type="dxa"/>
            <w:vAlign w:val="bottom"/>
            <w:tcBorders>
              <w:bottom w:val="single" w:sz="8" w:color="auto"/>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ind w:right="37"/>
              <w:spacing w:after="0"/>
              <w:rPr>
                <w:sz w:val="20"/>
                <w:szCs w:val="20"/>
                <w:color w:val="auto"/>
              </w:rPr>
            </w:pPr>
            <w:r>
              <w:rPr>
                <w:rFonts w:ascii="Arial" w:cs="Arial" w:eastAsia="Arial" w:hAnsi="Arial"/>
                <w:sz w:val="8"/>
                <w:szCs w:val="8"/>
                <w:color w:val="auto"/>
              </w:rPr>
              <w:t>1</w:t>
            </w:r>
          </w:p>
        </w:tc>
        <w:tc>
          <w:tcPr>
            <w:tcW w:w="40" w:type="dxa"/>
            <w:vAlign w:val="bottom"/>
            <w:tcBorders>
              <w:bottom w:val="single" w:sz="8" w:color="auto"/>
            </w:tcBorders>
          </w:tcPr>
          <w:p>
            <w:pPr>
              <w:spacing w:after="0"/>
              <w:rPr>
                <w:sz w:val="15"/>
                <w:szCs w:val="15"/>
                <w:color w:val="auto"/>
              </w:rPr>
            </w:pPr>
          </w:p>
        </w:tc>
        <w:tc>
          <w:tcPr>
            <w:tcW w:w="120" w:type="dxa"/>
            <w:vAlign w:val="bottom"/>
            <w:tcBorders>
              <w:bottom w:val="single" w:sz="8" w:color="CCEEFF"/>
            </w:tcBorders>
          </w:tcPr>
          <w:p>
            <w:pPr>
              <w:spacing w:after="0"/>
              <w:rPr>
                <w:sz w:val="15"/>
                <w:szCs w:val="15"/>
                <w:color w:val="auto"/>
              </w:rPr>
            </w:pPr>
          </w:p>
        </w:tc>
        <w:tc>
          <w:tcPr>
            <w:tcW w:w="30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gridSpan w:val="2"/>
          </w:tcPr>
          <w:p>
            <w:pPr>
              <w:jc w:val="right"/>
              <w:ind w:right="77"/>
              <w:spacing w:after="0"/>
              <w:rPr>
                <w:sz w:val="20"/>
                <w:szCs w:val="20"/>
                <w:color w:val="auto"/>
              </w:rPr>
            </w:pPr>
            <w:r>
              <w:rPr>
                <w:rFonts w:ascii="Arial" w:cs="Arial" w:eastAsia="Arial" w:hAnsi="Arial"/>
                <w:sz w:val="8"/>
                <w:szCs w:val="8"/>
                <w:color w:val="auto"/>
              </w:rPr>
              <w:t>1</w:t>
            </w:r>
          </w:p>
        </w:tc>
        <w:tc>
          <w:tcPr>
            <w:tcW w:w="100" w:type="dxa"/>
            <w:vAlign w:val="bottom"/>
            <w:tcBorders>
              <w:bottom w:val="single" w:sz="8" w:color="CCEEFF"/>
            </w:tcBorders>
          </w:tcPr>
          <w:p>
            <w:pPr>
              <w:spacing w:after="0"/>
              <w:rPr>
                <w:sz w:val="15"/>
                <w:szCs w:val="15"/>
                <w:color w:val="auto"/>
              </w:rPr>
            </w:pPr>
          </w:p>
        </w:tc>
        <w:tc>
          <w:tcPr>
            <w:tcW w:w="860" w:type="dxa"/>
            <w:vAlign w:val="bottom"/>
            <w:tcBorders>
              <w:bottom w:val="single" w:sz="8" w:color="auto"/>
            </w:tcBorders>
          </w:tcPr>
          <w:p>
            <w:pPr>
              <w:spacing w:after="0"/>
              <w:rPr>
                <w:sz w:val="15"/>
                <w:szCs w:val="15"/>
                <w:color w:val="auto"/>
              </w:rPr>
            </w:pPr>
          </w:p>
        </w:tc>
        <w:tc>
          <w:tcPr>
            <w:tcW w:w="40" w:type="dxa"/>
            <w:vAlign w:val="bottom"/>
            <w:tcBorders>
              <w:bottom w:val="single" w:sz="8" w:color="auto"/>
            </w:tcBorders>
          </w:tcPr>
          <w:p>
            <w:pPr>
              <w:spacing w:after="0"/>
              <w:rPr>
                <w:sz w:val="15"/>
                <w:szCs w:val="15"/>
                <w:color w:val="auto"/>
              </w:rPr>
            </w:pPr>
          </w:p>
        </w:tc>
        <w:tc>
          <w:tcPr>
            <w:tcW w:w="240" w:type="dxa"/>
            <w:vAlign w:val="bottom"/>
            <w:tcBorders>
              <w:bottom w:val="single" w:sz="8" w:color="auto"/>
            </w:tcBorders>
            <w:gridSpan w:val="2"/>
          </w:tcPr>
          <w:p>
            <w:pPr>
              <w:jc w:val="right"/>
              <w:ind w:right="72"/>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jc w:val="right"/>
              <w:ind w:right="75"/>
              <w:spacing w:after="0"/>
              <w:rPr>
                <w:sz w:val="20"/>
                <w:szCs w:val="20"/>
                <w:color w:val="auto"/>
              </w:rPr>
            </w:pPr>
            <w:r>
              <w:rPr>
                <w:rFonts w:ascii="Arial" w:cs="Arial" w:eastAsia="Arial" w:hAnsi="Arial"/>
                <w:sz w:val="8"/>
                <w:szCs w:val="8"/>
                <w:color w:val="auto"/>
              </w:rPr>
              <w:t>2,016</w:t>
            </w:r>
          </w:p>
        </w:tc>
      </w:tr>
      <w:tr>
        <w:trPr>
          <w:trHeight w:val="166"/>
        </w:trPr>
        <w:tc>
          <w:tcPr>
            <w:tcW w:w="4020" w:type="dxa"/>
            <w:vAlign w:val="bottom"/>
            <w:gridSpan w:val="2"/>
            <w:shd w:val="clear" w:color="auto" w:fill="CCEEFF"/>
          </w:tcPr>
          <w:p>
            <w:pPr>
              <w:ind w:left="780"/>
              <w:spacing w:after="0"/>
              <w:rPr>
                <w:sz w:val="20"/>
                <w:szCs w:val="20"/>
                <w:color w:val="auto"/>
              </w:rPr>
            </w:pPr>
            <w:r>
              <w:rPr>
                <w:rFonts w:ascii="Arial" w:cs="Arial" w:eastAsia="Arial" w:hAnsi="Arial"/>
                <w:sz w:val="8"/>
                <w:szCs w:val="8"/>
                <w:color w:val="auto"/>
              </w:rPr>
              <w:t>Amortized cost</w:t>
            </w:r>
          </w:p>
        </w:tc>
        <w:tc>
          <w:tcPr>
            <w:tcW w:w="200" w:type="dxa"/>
            <w:vAlign w:val="bottom"/>
            <w:shd w:val="clear" w:color="auto" w:fill="CCEEFF"/>
          </w:tcPr>
          <w:p>
            <w:pPr>
              <w:spacing w:after="0"/>
              <w:rPr>
                <w:sz w:val="14"/>
                <w:szCs w:val="14"/>
                <w:color w:val="auto"/>
              </w:rPr>
            </w:pPr>
          </w:p>
        </w:tc>
        <w:tc>
          <w:tcPr>
            <w:tcW w:w="96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35,386</w:t>
            </w:r>
          </w:p>
        </w:tc>
        <w:tc>
          <w:tcPr>
            <w:tcW w:w="12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980" w:type="dxa"/>
            <w:vAlign w:val="bottom"/>
            <w:gridSpan w:val="3"/>
            <w:shd w:val="clear" w:color="auto" w:fill="CCEEFF"/>
          </w:tcPr>
          <w:p>
            <w:pPr>
              <w:jc w:val="right"/>
              <w:ind w:right="74"/>
              <w:spacing w:after="0"/>
              <w:rPr>
                <w:sz w:val="20"/>
                <w:szCs w:val="20"/>
                <w:color w:val="auto"/>
              </w:rPr>
            </w:pPr>
            <w:r>
              <w:rPr>
                <w:rFonts w:ascii="Arial" w:cs="Arial" w:eastAsia="Arial" w:hAnsi="Arial"/>
                <w:sz w:val="8"/>
                <w:szCs w:val="8"/>
                <w:color w:val="auto"/>
              </w:rPr>
              <w:t>10,447</w:t>
            </w: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60" w:type="dxa"/>
            <w:vAlign w:val="bottom"/>
            <w:shd w:val="clear" w:color="auto" w:fill="CCEEFF"/>
          </w:tcPr>
          <w:p>
            <w:pPr>
              <w:jc w:val="right"/>
              <w:ind w:right="37"/>
              <w:spacing w:after="0"/>
              <w:rPr>
                <w:sz w:val="20"/>
                <w:szCs w:val="20"/>
                <w:color w:val="auto"/>
              </w:rPr>
            </w:pPr>
            <w:r>
              <w:rPr>
                <w:rFonts w:ascii="Arial" w:cs="Arial" w:eastAsia="Arial" w:hAnsi="Arial"/>
                <w:sz w:val="8"/>
                <w:szCs w:val="8"/>
                <w:color w:val="auto"/>
              </w:rPr>
              <w:t>49</w:t>
            </w:r>
          </w:p>
        </w:tc>
        <w:tc>
          <w:tcPr>
            <w:tcW w:w="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00" w:type="dxa"/>
            <w:vAlign w:val="bottom"/>
            <w:gridSpan w:val="2"/>
            <w:shd w:val="clear" w:color="auto" w:fill="CCEEFF"/>
          </w:tcPr>
          <w:p>
            <w:pPr>
              <w:jc w:val="right"/>
              <w:ind w:right="77"/>
              <w:spacing w:after="0"/>
              <w:rPr>
                <w:sz w:val="20"/>
                <w:szCs w:val="20"/>
                <w:color w:val="auto"/>
              </w:rPr>
            </w:pPr>
            <w:r>
              <w:rPr>
                <w:rFonts w:ascii="Arial" w:cs="Arial" w:eastAsia="Arial" w:hAnsi="Arial"/>
                <w:sz w:val="8"/>
                <w:szCs w:val="8"/>
                <w:color w:val="auto"/>
              </w:rPr>
              <w:t>100</w:t>
            </w:r>
          </w:p>
        </w:tc>
        <w:tc>
          <w:tcPr>
            <w:tcW w:w="100" w:type="dxa"/>
            <w:vAlign w:val="bottom"/>
            <w:shd w:val="clear" w:color="auto" w:fill="CCEEFF"/>
          </w:tcPr>
          <w:p>
            <w:pPr>
              <w:spacing w:after="0"/>
              <w:rPr>
                <w:sz w:val="14"/>
                <w:szCs w:val="14"/>
                <w:color w:val="auto"/>
              </w:rPr>
            </w:pPr>
          </w:p>
        </w:tc>
        <w:tc>
          <w:tcPr>
            <w:tcW w:w="86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340" w:type="dxa"/>
            <w:vAlign w:val="bottom"/>
            <w:gridSpan w:val="3"/>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shd w:val="clear" w:color="auto" w:fill="CCEEFF"/>
          </w:tcPr>
          <w:p>
            <w:pPr>
              <w:spacing w:after="0"/>
              <w:rPr>
                <w:sz w:val="14"/>
                <w:szCs w:val="14"/>
                <w:color w:val="auto"/>
              </w:rPr>
            </w:pPr>
          </w:p>
        </w:tc>
        <w:tc>
          <w:tcPr>
            <w:tcW w:w="980" w:type="dxa"/>
            <w:vAlign w:val="bottom"/>
            <w:shd w:val="clear" w:color="auto" w:fill="CCEEFF"/>
          </w:tcPr>
          <w:p>
            <w:pPr>
              <w:jc w:val="right"/>
              <w:ind w:right="75"/>
              <w:spacing w:after="0"/>
              <w:rPr>
                <w:sz w:val="20"/>
                <w:szCs w:val="20"/>
                <w:color w:val="auto"/>
              </w:rPr>
            </w:pPr>
            <w:r>
              <w:rPr>
                <w:rFonts w:ascii="Arial" w:cs="Arial" w:eastAsia="Arial" w:hAnsi="Arial"/>
                <w:sz w:val="8"/>
                <w:szCs w:val="8"/>
                <w:color w:val="auto"/>
              </w:rPr>
              <w:t>45,982</w:t>
            </w:r>
          </w:p>
        </w:tc>
      </w:tr>
      <w:tr>
        <w:trPr>
          <w:trHeight w:val="174"/>
        </w:trPr>
        <w:tc>
          <w:tcPr>
            <w:tcW w:w="4020" w:type="dxa"/>
            <w:vAlign w:val="bottom"/>
            <w:gridSpan w:val="2"/>
          </w:tcPr>
          <w:p>
            <w:pPr>
              <w:ind w:left="780"/>
              <w:spacing w:after="0"/>
              <w:rPr>
                <w:sz w:val="20"/>
                <w:szCs w:val="20"/>
                <w:color w:val="auto"/>
              </w:rPr>
            </w:pPr>
            <w:r>
              <w:rPr>
                <w:rFonts w:ascii="Arial" w:cs="Arial" w:eastAsia="Arial" w:hAnsi="Arial"/>
                <w:sz w:val="8"/>
                <w:szCs w:val="8"/>
                <w:color w:val="auto"/>
              </w:rPr>
              <w:t>Gross unrealized gains</w:t>
            </w:r>
          </w:p>
        </w:tc>
        <w:tc>
          <w:tcPr>
            <w:tcW w:w="200" w:type="dxa"/>
            <w:vAlign w:val="bottom"/>
          </w:tcPr>
          <w:p>
            <w:pPr>
              <w:spacing w:after="0"/>
              <w:rPr>
                <w:sz w:val="15"/>
                <w:szCs w:val="15"/>
                <w:color w:val="auto"/>
              </w:rPr>
            </w:pP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817</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80" w:type="dxa"/>
            <w:vAlign w:val="bottom"/>
            <w:gridSpan w:val="3"/>
          </w:tcPr>
          <w:p>
            <w:pPr>
              <w:jc w:val="right"/>
              <w:ind w:right="74"/>
              <w:spacing w:after="0"/>
              <w:rPr>
                <w:sz w:val="20"/>
                <w:szCs w:val="20"/>
                <w:color w:val="auto"/>
              </w:rPr>
            </w:pPr>
            <w:r>
              <w:rPr>
                <w:rFonts w:ascii="Arial" w:cs="Arial" w:eastAsia="Arial" w:hAnsi="Arial"/>
                <w:sz w:val="8"/>
                <w:szCs w:val="8"/>
                <w:color w:val="auto"/>
              </w:rPr>
              <w:t>201</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jc w:val="right"/>
              <w:ind w:right="37"/>
              <w:spacing w:after="0"/>
              <w:rPr>
                <w:sz w:val="20"/>
                <w:szCs w:val="20"/>
                <w:color w:val="auto"/>
              </w:rPr>
            </w:pPr>
            <w:r>
              <w:rPr>
                <w:rFonts w:ascii="Arial" w:cs="Arial" w:eastAsia="Arial" w:hAnsi="Arial"/>
                <w:sz w:val="8"/>
                <w:szCs w:val="8"/>
                <w:color w:val="auto"/>
              </w:rPr>
              <w:t>1</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00" w:type="dxa"/>
            <w:vAlign w:val="bottom"/>
            <w:gridSpan w:val="2"/>
          </w:tcPr>
          <w:p>
            <w:pPr>
              <w:jc w:val="right"/>
              <w:ind w:right="77"/>
              <w:spacing w:after="0"/>
              <w:rPr>
                <w:sz w:val="20"/>
                <w:szCs w:val="20"/>
                <w:color w:val="auto"/>
              </w:rPr>
            </w:pPr>
            <w:r>
              <w:rPr>
                <w:rFonts w:ascii="Arial" w:cs="Arial" w:eastAsia="Arial" w:hAnsi="Arial"/>
                <w:sz w:val="8"/>
                <w:szCs w:val="8"/>
                <w:color w:val="auto"/>
              </w:rPr>
              <w:t>2</w:t>
            </w:r>
          </w:p>
        </w:tc>
        <w:tc>
          <w:tcPr>
            <w:tcW w:w="10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340" w:type="dxa"/>
            <w:vAlign w:val="bottom"/>
            <w:gridSpan w:val="3"/>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tcPr>
          <w:p>
            <w:pPr>
              <w:spacing w:after="0"/>
              <w:rPr>
                <w:sz w:val="15"/>
                <w:szCs w:val="15"/>
                <w:color w:val="auto"/>
              </w:rPr>
            </w:pPr>
          </w:p>
        </w:tc>
        <w:tc>
          <w:tcPr>
            <w:tcW w:w="980" w:type="dxa"/>
            <w:vAlign w:val="bottom"/>
          </w:tcPr>
          <w:p>
            <w:pPr>
              <w:jc w:val="right"/>
              <w:ind w:right="75"/>
              <w:spacing w:after="0"/>
              <w:rPr>
                <w:sz w:val="20"/>
                <w:szCs w:val="20"/>
                <w:color w:val="auto"/>
              </w:rPr>
            </w:pPr>
            <w:r>
              <w:rPr>
                <w:rFonts w:ascii="Arial" w:cs="Arial" w:eastAsia="Arial" w:hAnsi="Arial"/>
                <w:sz w:val="8"/>
                <w:szCs w:val="8"/>
                <w:color w:val="auto"/>
              </w:rPr>
              <w:t>1,021</w:t>
            </w:r>
          </w:p>
        </w:tc>
      </w:tr>
      <w:tr>
        <w:trPr>
          <w:trHeight w:val="180"/>
        </w:trPr>
        <w:tc>
          <w:tcPr>
            <w:tcW w:w="4020" w:type="dxa"/>
            <w:vAlign w:val="bottom"/>
            <w:gridSpan w:val="2"/>
            <w:shd w:val="clear" w:color="auto" w:fill="CCEEFF"/>
          </w:tcPr>
          <w:p>
            <w:pPr>
              <w:ind w:left="780"/>
              <w:spacing w:after="0"/>
              <w:rPr>
                <w:sz w:val="20"/>
                <w:szCs w:val="20"/>
                <w:color w:val="auto"/>
              </w:rPr>
            </w:pPr>
            <w:r>
              <w:rPr>
                <w:rFonts w:ascii="Arial" w:cs="Arial" w:eastAsia="Arial" w:hAnsi="Arial"/>
                <w:sz w:val="8"/>
                <w:szCs w:val="8"/>
                <w:color w:val="auto"/>
              </w:rPr>
              <w:t>Gross unrealized losses</w:t>
            </w:r>
          </w:p>
        </w:tc>
        <w:tc>
          <w:tcPr>
            <w:tcW w:w="200" w:type="dxa"/>
            <w:vAlign w:val="bottom"/>
            <w:tcBorders>
              <w:bottom w:val="single" w:sz="8" w:color="auto"/>
            </w:tcBorders>
            <w:shd w:val="clear" w:color="auto" w:fill="CCEEFF"/>
          </w:tcPr>
          <w:p>
            <w:pPr>
              <w:spacing w:after="0"/>
              <w:rPr>
                <w:sz w:val="15"/>
                <w:szCs w:val="15"/>
                <w:color w:val="auto"/>
              </w:rPr>
            </w:pPr>
          </w:p>
        </w:tc>
        <w:tc>
          <w:tcPr>
            <w:tcW w:w="960" w:type="dxa"/>
            <w:vAlign w:val="bottom"/>
            <w:tcBorders>
              <w:bottom w:val="single" w:sz="8" w:color="auto"/>
            </w:tcBorders>
            <w:shd w:val="clear" w:color="auto" w:fill="CCEEFF"/>
          </w:tcPr>
          <w:p>
            <w:pPr>
              <w:jc w:val="right"/>
              <w:ind w:right="38"/>
              <w:spacing w:after="0"/>
              <w:rPr>
                <w:sz w:val="20"/>
                <w:szCs w:val="20"/>
                <w:color w:val="auto"/>
              </w:rPr>
            </w:pPr>
            <w:r>
              <w:rPr>
                <w:rFonts w:ascii="Arial" w:cs="Arial" w:eastAsia="Arial" w:hAnsi="Arial"/>
                <w:sz w:val="8"/>
                <w:szCs w:val="8"/>
                <w:color w:val="auto"/>
              </w:rPr>
              <w:t>(6)</w:t>
            </w:r>
          </w:p>
        </w:tc>
        <w:tc>
          <w:tcPr>
            <w:tcW w:w="120" w:type="dxa"/>
            <w:vAlign w:val="bottom"/>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gridSpan w:val="3"/>
            <w:shd w:val="clear" w:color="auto" w:fill="CCEEFF"/>
          </w:tcPr>
          <w:p>
            <w:pPr>
              <w:jc w:val="right"/>
              <w:ind w:right="34"/>
              <w:spacing w:after="0"/>
              <w:rPr>
                <w:sz w:val="20"/>
                <w:szCs w:val="20"/>
                <w:color w:val="auto"/>
              </w:rPr>
            </w:pPr>
            <w:r>
              <w:rPr>
                <w:rFonts w:ascii="Arial" w:cs="Arial" w:eastAsia="Arial" w:hAnsi="Arial"/>
                <w:sz w:val="8"/>
                <w:szCs w:val="8"/>
                <w:color w:val="auto"/>
              </w:rPr>
              <w:t>(4)</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tcBorders>
              <w:bottom w:val="single" w:sz="8" w:color="auto"/>
            </w:tcBorders>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300" w:type="dxa"/>
            <w:vAlign w:val="bottom"/>
            <w:tcBorders>
              <w:bottom w:val="single" w:sz="8" w:color="auto"/>
            </w:tcBorders>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spacing w:after="0"/>
              <w:rPr>
                <w:sz w:val="15"/>
                <w:szCs w:val="15"/>
                <w:color w:val="auto"/>
              </w:rPr>
            </w:pPr>
          </w:p>
        </w:tc>
        <w:tc>
          <w:tcPr>
            <w:tcW w:w="40" w:type="dxa"/>
            <w:vAlign w:val="bottom"/>
            <w:tcBorders>
              <w:bottom w:val="single" w:sz="8" w:color="auto"/>
            </w:tcBorders>
            <w:shd w:val="clear" w:color="auto" w:fill="CCEEFF"/>
          </w:tcPr>
          <w:p>
            <w:pPr>
              <w:spacing w:after="0"/>
              <w:rPr>
                <w:sz w:val="15"/>
                <w:szCs w:val="15"/>
                <w:color w:val="auto"/>
              </w:rPr>
            </w:pPr>
          </w:p>
        </w:tc>
        <w:tc>
          <w:tcPr>
            <w:tcW w:w="260" w:type="dxa"/>
            <w:vAlign w:val="bottom"/>
            <w:tcBorders>
              <w:bottom w:val="single" w:sz="8" w:color="auto"/>
            </w:tcBorders>
            <w:shd w:val="clear" w:color="auto" w:fill="CCEEFF"/>
          </w:tcPr>
          <w:p>
            <w:pPr>
              <w:jc w:val="right"/>
              <w:ind w:right="77"/>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5"/>
                <w:szCs w:val="15"/>
                <w:color w:val="auto"/>
              </w:rPr>
            </w:pPr>
          </w:p>
        </w:tc>
        <w:tc>
          <w:tcPr>
            <w:tcW w:w="860" w:type="dxa"/>
            <w:vAlign w:val="bottom"/>
            <w:tcBorders>
              <w:bottom w:val="single" w:sz="8" w:color="auto"/>
            </w:tcBorders>
            <w:shd w:val="clear" w:color="auto" w:fill="CCEEFF"/>
          </w:tcPr>
          <w:p>
            <w:pPr>
              <w:spacing w:after="0"/>
              <w:rPr>
                <w:sz w:val="15"/>
                <w:szCs w:val="15"/>
                <w:color w:val="auto"/>
              </w:rPr>
            </w:pPr>
          </w:p>
        </w:tc>
        <w:tc>
          <w:tcPr>
            <w:tcW w:w="40" w:type="dxa"/>
            <w:vAlign w:val="bottom"/>
            <w:tcBorders>
              <w:bottom w:val="single" w:sz="8" w:color="auto"/>
            </w:tcBorders>
            <w:shd w:val="clear" w:color="auto" w:fill="CCEEFF"/>
          </w:tcPr>
          <w:p>
            <w:pPr>
              <w:spacing w:after="0"/>
              <w:rPr>
                <w:sz w:val="15"/>
                <w:szCs w:val="15"/>
                <w:color w:val="auto"/>
              </w:rPr>
            </w:pPr>
          </w:p>
        </w:tc>
        <w:tc>
          <w:tcPr>
            <w:tcW w:w="240" w:type="dxa"/>
            <w:vAlign w:val="bottom"/>
            <w:tcBorders>
              <w:bottom w:val="single" w:sz="8" w:color="auto"/>
            </w:tcBorders>
            <w:gridSpan w:val="2"/>
            <w:shd w:val="clear" w:color="auto" w:fill="CCEEFF"/>
          </w:tcPr>
          <w:p>
            <w:pPr>
              <w:jc w:val="right"/>
              <w:ind w:right="72"/>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5"/>
                <w:szCs w:val="15"/>
                <w:color w:val="auto"/>
              </w:rPr>
            </w:pPr>
          </w:p>
        </w:tc>
        <w:tc>
          <w:tcPr>
            <w:tcW w:w="16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shd w:val="clear" w:color="auto" w:fill="CCEEFF"/>
          </w:tcPr>
          <w:p>
            <w:pPr>
              <w:jc w:val="right"/>
              <w:ind w:right="35"/>
              <w:spacing w:after="0"/>
              <w:rPr>
                <w:sz w:val="20"/>
                <w:szCs w:val="20"/>
                <w:color w:val="auto"/>
              </w:rPr>
            </w:pPr>
            <w:r>
              <w:rPr>
                <w:rFonts w:ascii="Arial" w:cs="Arial" w:eastAsia="Arial" w:hAnsi="Arial"/>
                <w:sz w:val="8"/>
                <w:szCs w:val="8"/>
                <w:color w:val="auto"/>
              </w:rPr>
              <w:t>(10)</w:t>
            </w:r>
          </w:p>
        </w:tc>
      </w:tr>
      <w:tr>
        <w:trPr>
          <w:trHeight w:val="160"/>
        </w:trPr>
        <w:tc>
          <w:tcPr>
            <w:tcW w:w="4020" w:type="dxa"/>
            <w:vAlign w:val="bottom"/>
            <w:gridSpan w:val="2"/>
          </w:tcPr>
          <w:p>
            <w:pPr>
              <w:ind w:left="20"/>
              <w:spacing w:after="0"/>
              <w:rPr>
                <w:sz w:val="20"/>
                <w:szCs w:val="20"/>
                <w:color w:val="auto"/>
              </w:rPr>
            </w:pPr>
            <w:r>
              <w:rPr>
                <w:rFonts w:ascii="Arial" w:cs="Arial" w:eastAsia="Arial" w:hAnsi="Arial"/>
                <w:sz w:val="8"/>
                <w:szCs w:val="8"/>
                <w:color w:val="auto"/>
              </w:rPr>
              <w:t>Total available-for-sale securities, at fair value</w:t>
            </w:r>
          </w:p>
        </w:tc>
        <w:tc>
          <w:tcPr>
            <w:tcW w:w="200" w:type="dxa"/>
            <w:vAlign w:val="bottom"/>
          </w:tcPr>
          <w:p>
            <w:pPr>
              <w:spacing w:after="0"/>
              <w:rPr>
                <w:sz w:val="13"/>
                <w:szCs w:val="13"/>
                <w:color w:val="auto"/>
              </w:rPr>
            </w:pP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36,197</w:t>
            </w: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980" w:type="dxa"/>
            <w:vAlign w:val="bottom"/>
            <w:gridSpan w:val="3"/>
          </w:tcPr>
          <w:p>
            <w:pPr>
              <w:jc w:val="right"/>
              <w:ind w:right="74"/>
              <w:spacing w:after="0"/>
              <w:rPr>
                <w:sz w:val="20"/>
                <w:szCs w:val="20"/>
                <w:color w:val="auto"/>
              </w:rPr>
            </w:pPr>
            <w:r>
              <w:rPr>
                <w:rFonts w:ascii="Arial" w:cs="Arial" w:eastAsia="Arial" w:hAnsi="Arial"/>
                <w:sz w:val="8"/>
                <w:szCs w:val="8"/>
                <w:color w:val="auto"/>
              </w:rPr>
              <w:t>10,644</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60" w:type="dxa"/>
            <w:vAlign w:val="bottom"/>
          </w:tcPr>
          <w:p>
            <w:pPr>
              <w:jc w:val="right"/>
              <w:ind w:right="37"/>
              <w:spacing w:after="0"/>
              <w:rPr>
                <w:sz w:val="20"/>
                <w:szCs w:val="20"/>
                <w:color w:val="auto"/>
              </w:rPr>
            </w:pPr>
            <w:r>
              <w:rPr>
                <w:rFonts w:ascii="Arial" w:cs="Arial" w:eastAsia="Arial" w:hAnsi="Arial"/>
                <w:sz w:val="8"/>
                <w:szCs w:val="8"/>
                <w:color w:val="auto"/>
              </w:rPr>
              <w:t>50</w:t>
            </w: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00" w:type="dxa"/>
            <w:vAlign w:val="bottom"/>
            <w:gridSpan w:val="2"/>
          </w:tcPr>
          <w:p>
            <w:pPr>
              <w:jc w:val="right"/>
              <w:ind w:right="77"/>
              <w:spacing w:after="0"/>
              <w:rPr>
                <w:sz w:val="20"/>
                <w:szCs w:val="20"/>
                <w:color w:val="auto"/>
              </w:rPr>
            </w:pPr>
            <w:r>
              <w:rPr>
                <w:rFonts w:ascii="Arial" w:cs="Arial" w:eastAsia="Arial" w:hAnsi="Arial"/>
                <w:sz w:val="8"/>
                <w:szCs w:val="8"/>
                <w:color w:val="auto"/>
              </w:rPr>
              <w:t>102</w:t>
            </w:r>
          </w:p>
        </w:tc>
        <w:tc>
          <w:tcPr>
            <w:tcW w:w="10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340" w:type="dxa"/>
            <w:vAlign w:val="bottom"/>
            <w:gridSpan w:val="3"/>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tcPr>
          <w:p>
            <w:pPr>
              <w:spacing w:after="0"/>
              <w:rPr>
                <w:sz w:val="13"/>
                <w:szCs w:val="13"/>
                <w:color w:val="auto"/>
              </w:rPr>
            </w:pPr>
          </w:p>
        </w:tc>
        <w:tc>
          <w:tcPr>
            <w:tcW w:w="980" w:type="dxa"/>
            <w:vAlign w:val="bottom"/>
          </w:tcPr>
          <w:p>
            <w:pPr>
              <w:jc w:val="right"/>
              <w:ind w:right="75"/>
              <w:spacing w:after="0"/>
              <w:rPr>
                <w:sz w:val="20"/>
                <w:szCs w:val="20"/>
                <w:color w:val="auto"/>
              </w:rPr>
            </w:pPr>
            <w:r>
              <w:rPr>
                <w:rFonts w:ascii="Arial" w:cs="Arial" w:eastAsia="Arial" w:hAnsi="Arial"/>
                <w:sz w:val="8"/>
                <w:szCs w:val="8"/>
                <w:color w:val="auto"/>
              </w:rPr>
              <w:t>46,993</w:t>
            </w:r>
          </w:p>
        </w:tc>
      </w:tr>
      <w:tr>
        <w:trPr>
          <w:trHeight w:val="175"/>
        </w:trPr>
        <w:tc>
          <w:tcPr>
            <w:tcW w:w="4020" w:type="dxa"/>
            <w:vAlign w:val="bottom"/>
            <w:tcBorders>
              <w:top w:val="single" w:sz="8" w:color="CCEEFF"/>
            </w:tcBorders>
            <w:gridSpan w:val="2"/>
            <w:shd w:val="clear" w:color="auto" w:fill="CCEEFF"/>
          </w:tcPr>
          <w:p>
            <w:pPr>
              <w:ind w:left="20"/>
              <w:spacing w:after="0"/>
              <w:rPr>
                <w:sz w:val="20"/>
                <w:szCs w:val="20"/>
                <w:color w:val="auto"/>
              </w:rPr>
            </w:pPr>
            <w:r>
              <w:rPr>
                <w:rFonts w:ascii="Arial" w:cs="Arial" w:eastAsia="Arial" w:hAnsi="Arial"/>
                <w:sz w:val="8"/>
                <w:szCs w:val="8"/>
                <w:color w:val="auto"/>
              </w:rPr>
              <w:t xml:space="preserve">Securities remeasured at fair value through earnings: </w:t>
            </w:r>
            <w:r>
              <w:rPr>
                <w:rFonts w:ascii="Arial" w:cs="Arial" w:eastAsia="Arial" w:hAnsi="Arial"/>
                <w:sz w:val="5"/>
                <w:szCs w:val="5"/>
                <w:color w:val="auto"/>
              </w:rPr>
              <w:t>1</w:t>
            </w:r>
          </w:p>
        </w:tc>
        <w:tc>
          <w:tcPr>
            <w:tcW w:w="20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80" w:type="dxa"/>
            <w:vAlign w:val="bottom"/>
            <w:tcBorders>
              <w:top w:val="single" w:sz="8" w:color="auto"/>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6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4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460" w:type="dxa"/>
            <w:vAlign w:val="bottom"/>
            <w:tcBorders>
              <w:top w:val="single" w:sz="8" w:color="auto"/>
            </w:tcBorders>
            <w:shd w:val="clear" w:color="auto" w:fill="CCEEFF"/>
          </w:tcPr>
          <w:p>
            <w:pPr>
              <w:spacing w:after="0"/>
              <w:rPr>
                <w:sz w:val="15"/>
                <w:szCs w:val="15"/>
                <w:color w:val="auto"/>
              </w:rPr>
            </w:pPr>
          </w:p>
        </w:tc>
        <w:tc>
          <w:tcPr>
            <w:tcW w:w="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300" w:type="dxa"/>
            <w:vAlign w:val="bottom"/>
            <w:tcBorders>
              <w:top w:val="single" w:sz="8" w:color="auto"/>
            </w:tcBorders>
            <w:shd w:val="clear" w:color="auto" w:fill="CCEEFF"/>
          </w:tcPr>
          <w:p>
            <w:pPr>
              <w:spacing w:after="0"/>
              <w:rPr>
                <w:sz w:val="15"/>
                <w:szCs w:val="15"/>
                <w:color w:val="auto"/>
              </w:rPr>
            </w:pPr>
          </w:p>
        </w:tc>
        <w:tc>
          <w:tcPr>
            <w:tcW w:w="460" w:type="dxa"/>
            <w:vAlign w:val="bottom"/>
            <w:tcBorders>
              <w:top w:val="single" w:sz="8" w:color="auto"/>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40" w:type="dxa"/>
            <w:vAlign w:val="bottom"/>
            <w:tcBorders>
              <w:top w:val="single" w:sz="8" w:color="auto"/>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860" w:type="dxa"/>
            <w:vAlign w:val="bottom"/>
            <w:tcBorders>
              <w:top w:val="single" w:sz="8" w:color="auto"/>
            </w:tcBorders>
            <w:shd w:val="clear" w:color="auto" w:fill="CCEEFF"/>
          </w:tcPr>
          <w:p>
            <w:pPr>
              <w:spacing w:after="0"/>
              <w:rPr>
                <w:sz w:val="15"/>
                <w:szCs w:val="15"/>
                <w:color w:val="auto"/>
              </w:rPr>
            </w:pPr>
          </w:p>
        </w:tc>
        <w:tc>
          <w:tcPr>
            <w:tcW w:w="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60" w:type="dxa"/>
            <w:vAlign w:val="bottom"/>
            <w:tcBorders>
              <w:top w:val="single" w:sz="8" w:color="auto"/>
            </w:tcBorders>
            <w:shd w:val="clear" w:color="auto" w:fill="CCEEFF"/>
          </w:tcPr>
          <w:p>
            <w:pPr>
              <w:spacing w:after="0"/>
              <w:rPr>
                <w:sz w:val="15"/>
                <w:szCs w:val="15"/>
                <w:color w:val="auto"/>
              </w:rPr>
            </w:pPr>
          </w:p>
        </w:tc>
        <w:tc>
          <w:tcPr>
            <w:tcW w:w="980" w:type="dxa"/>
            <w:vAlign w:val="bottom"/>
            <w:tcBorders>
              <w:top w:val="single" w:sz="8" w:color="auto"/>
            </w:tcBorders>
            <w:shd w:val="clear" w:color="auto" w:fill="CCEEFF"/>
          </w:tcPr>
          <w:p>
            <w:pPr>
              <w:spacing w:after="0"/>
              <w:rPr>
                <w:sz w:val="15"/>
                <w:szCs w:val="15"/>
                <w:color w:val="auto"/>
              </w:rPr>
            </w:pPr>
          </w:p>
        </w:tc>
      </w:tr>
      <w:tr>
        <w:trPr>
          <w:trHeight w:val="174"/>
        </w:trPr>
        <w:tc>
          <w:tcPr>
            <w:tcW w:w="4020" w:type="dxa"/>
            <w:vAlign w:val="bottom"/>
            <w:gridSpan w:val="2"/>
          </w:tcPr>
          <w:p>
            <w:pPr>
              <w:ind w:left="120"/>
              <w:spacing w:after="0"/>
              <w:rPr>
                <w:sz w:val="20"/>
                <w:szCs w:val="20"/>
                <w:color w:val="auto"/>
              </w:rPr>
            </w:pPr>
            <w:r>
              <w:rPr>
                <w:rFonts w:ascii="Arial" w:cs="Arial" w:eastAsia="Arial" w:hAnsi="Arial"/>
                <w:sz w:val="8"/>
                <w:szCs w:val="8"/>
                <w:color w:val="auto"/>
              </w:rPr>
              <w:t xml:space="preserve">Par value </w:t>
            </w:r>
            <w:r>
              <w:rPr>
                <w:rFonts w:ascii="Arial" w:cs="Arial" w:eastAsia="Arial" w:hAnsi="Arial"/>
                <w:sz w:val="5"/>
                <w:szCs w:val="5"/>
                <w:color w:val="auto"/>
              </w:rPr>
              <w:t>2</w:t>
            </w:r>
          </w:p>
        </w:tc>
        <w:tc>
          <w:tcPr>
            <w:tcW w:w="200" w:type="dxa"/>
            <w:vAlign w:val="bottom"/>
          </w:tcPr>
          <w:p>
            <w:pPr>
              <w:spacing w:after="0"/>
              <w:rPr>
                <w:sz w:val="15"/>
                <w:szCs w:val="15"/>
                <w:color w:val="auto"/>
              </w:rPr>
            </w:pP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181</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20" w:type="dxa"/>
            <w:vAlign w:val="bottom"/>
            <w:gridSpan w:val="2"/>
          </w:tcPr>
          <w:p>
            <w:pPr>
              <w:jc w:val="right"/>
              <w:ind w:right="240"/>
              <w:spacing w:after="0"/>
              <w:rPr>
                <w:sz w:val="20"/>
                <w:szCs w:val="20"/>
                <w:color w:val="auto"/>
              </w:rPr>
            </w:pPr>
            <w:r>
              <w:rPr>
                <w:rFonts w:ascii="Arial" w:cs="Arial" w:eastAsia="Arial" w:hAnsi="Arial"/>
                <w:sz w:val="8"/>
                <w:szCs w:val="8"/>
                <w:color w:val="auto"/>
              </w:rPr>
              <w:t>—</w:t>
            </w:r>
          </w:p>
        </w:tc>
        <w:tc>
          <w:tcPr>
            <w:tcW w:w="14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360" w:type="dxa"/>
            <w:vAlign w:val="bottom"/>
            <w:gridSpan w:val="2"/>
          </w:tcPr>
          <w:p>
            <w:pPr>
              <w:jc w:val="right"/>
              <w:ind w:right="220"/>
              <w:spacing w:after="0"/>
              <w:rPr>
                <w:sz w:val="20"/>
                <w:szCs w:val="20"/>
                <w:color w:val="auto"/>
              </w:rPr>
            </w:pPr>
            <w:r>
              <w:rPr>
                <w:rFonts w:ascii="Arial" w:cs="Arial" w:eastAsia="Arial" w:hAnsi="Arial"/>
                <w:sz w:val="8"/>
                <w:szCs w:val="8"/>
                <w:color w:val="auto"/>
              </w:rPr>
              <w:t>—</w:t>
            </w:r>
          </w:p>
        </w:tc>
        <w:tc>
          <w:tcPr>
            <w:tcW w:w="860" w:type="dxa"/>
            <w:vAlign w:val="bottom"/>
          </w:tcPr>
          <w:p>
            <w:pPr>
              <w:spacing w:after="0"/>
              <w:rPr>
                <w:sz w:val="15"/>
                <w:szCs w:val="15"/>
                <w:color w:val="auto"/>
              </w:rPr>
            </w:pPr>
          </w:p>
        </w:tc>
        <w:tc>
          <w:tcPr>
            <w:tcW w:w="280" w:type="dxa"/>
            <w:vAlign w:val="bottom"/>
            <w:gridSpan w:val="3"/>
          </w:tcPr>
          <w:p>
            <w:pPr>
              <w:jc w:val="right"/>
              <w:ind w:right="72"/>
              <w:spacing w:after="0"/>
              <w:rPr>
                <w:sz w:val="20"/>
                <w:szCs w:val="20"/>
                <w:color w:val="auto"/>
              </w:rPr>
            </w:pPr>
            <w:r>
              <w:rPr>
                <w:rFonts w:ascii="Arial" w:cs="Arial" w:eastAsia="Arial" w:hAnsi="Arial"/>
                <w:sz w:val="8"/>
                <w:szCs w:val="8"/>
                <w:color w:val="auto"/>
              </w:rPr>
              <w:t>35</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80" w:type="dxa"/>
            <w:vAlign w:val="bottom"/>
          </w:tcPr>
          <w:p>
            <w:pPr>
              <w:jc w:val="right"/>
              <w:ind w:right="75"/>
              <w:spacing w:after="0"/>
              <w:rPr>
                <w:sz w:val="20"/>
                <w:szCs w:val="20"/>
                <w:color w:val="auto"/>
              </w:rPr>
            </w:pPr>
            <w:r>
              <w:rPr>
                <w:rFonts w:ascii="Arial" w:cs="Arial" w:eastAsia="Arial" w:hAnsi="Arial"/>
                <w:sz w:val="8"/>
                <w:szCs w:val="8"/>
                <w:color w:val="auto"/>
              </w:rPr>
              <w:t>216</w:t>
            </w:r>
          </w:p>
        </w:tc>
      </w:tr>
      <w:tr>
        <w:trPr>
          <w:trHeight w:val="186"/>
        </w:trPr>
        <w:tc>
          <w:tcPr>
            <w:tcW w:w="4020" w:type="dxa"/>
            <w:vAlign w:val="bottom"/>
            <w:gridSpan w:val="2"/>
            <w:shd w:val="clear" w:color="auto" w:fill="CCEEFF"/>
          </w:tcPr>
          <w:p>
            <w:pPr>
              <w:ind w:left="780"/>
              <w:spacing w:after="0"/>
              <w:rPr>
                <w:sz w:val="20"/>
                <w:szCs w:val="20"/>
                <w:color w:val="auto"/>
              </w:rPr>
            </w:pPr>
            <w:r>
              <w:rPr>
                <w:rFonts w:ascii="Arial" w:cs="Arial" w:eastAsia="Arial" w:hAnsi="Arial"/>
                <w:sz w:val="8"/>
                <w:szCs w:val="8"/>
                <w:color w:val="auto"/>
              </w:rPr>
              <w:t>Unamortized discount</w:t>
            </w:r>
          </w:p>
        </w:tc>
        <w:tc>
          <w:tcPr>
            <w:tcW w:w="200" w:type="dxa"/>
            <w:vAlign w:val="bottom"/>
            <w:shd w:val="clear" w:color="auto" w:fill="CCEEFF"/>
          </w:tcPr>
          <w:p>
            <w:pPr>
              <w:spacing w:after="0"/>
              <w:rPr>
                <w:sz w:val="16"/>
                <w:szCs w:val="16"/>
                <w:color w:val="auto"/>
              </w:rPr>
            </w:pPr>
          </w:p>
        </w:tc>
        <w:tc>
          <w:tcPr>
            <w:tcW w:w="96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(37)</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720" w:type="dxa"/>
            <w:vAlign w:val="bottom"/>
            <w:gridSpan w:val="2"/>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14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60" w:type="dxa"/>
            <w:vAlign w:val="bottom"/>
            <w:shd w:val="clear" w:color="auto" w:fill="CCEEFF"/>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4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8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340" w:type="dxa"/>
            <w:vAlign w:val="bottom"/>
            <w:gridSpan w:val="3"/>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shd w:val="clear" w:color="auto" w:fill="CCEEFF"/>
          </w:tcPr>
          <w:p>
            <w:pPr>
              <w:spacing w:after="0"/>
              <w:rPr>
                <w:sz w:val="16"/>
                <w:szCs w:val="16"/>
                <w:color w:val="auto"/>
              </w:rPr>
            </w:pPr>
          </w:p>
        </w:tc>
        <w:tc>
          <w:tcPr>
            <w:tcW w:w="980" w:type="dxa"/>
            <w:vAlign w:val="bottom"/>
            <w:shd w:val="clear" w:color="auto" w:fill="CCEEFF"/>
          </w:tcPr>
          <w:p>
            <w:pPr>
              <w:jc w:val="right"/>
              <w:ind w:right="35"/>
              <w:spacing w:after="0"/>
              <w:rPr>
                <w:sz w:val="20"/>
                <w:szCs w:val="20"/>
                <w:color w:val="auto"/>
              </w:rPr>
            </w:pPr>
            <w:r>
              <w:rPr>
                <w:rFonts w:ascii="Arial" w:cs="Arial" w:eastAsia="Arial" w:hAnsi="Arial"/>
                <w:sz w:val="8"/>
                <w:szCs w:val="8"/>
                <w:color w:val="auto"/>
              </w:rPr>
              <w:t>(37)</w:t>
            </w:r>
          </w:p>
        </w:tc>
      </w:tr>
      <w:tr>
        <w:trPr>
          <w:trHeight w:val="174"/>
        </w:trPr>
        <w:tc>
          <w:tcPr>
            <w:tcW w:w="4020" w:type="dxa"/>
            <w:vAlign w:val="bottom"/>
            <w:tcBorders>
              <w:bottom w:val="single" w:sz="8" w:color="CCEEFF"/>
            </w:tcBorders>
            <w:gridSpan w:val="2"/>
          </w:tcPr>
          <w:p>
            <w:pPr>
              <w:ind w:left="780"/>
              <w:spacing w:after="0"/>
              <w:rPr>
                <w:sz w:val="20"/>
                <w:szCs w:val="20"/>
                <w:color w:val="auto"/>
              </w:rPr>
            </w:pPr>
            <w:r>
              <w:rPr>
                <w:rFonts w:ascii="Arial" w:cs="Arial" w:eastAsia="Arial" w:hAnsi="Arial"/>
                <w:sz w:val="8"/>
                <w:szCs w:val="8"/>
                <w:color w:val="auto"/>
              </w:rPr>
              <w:t>Unamortized premium</w:t>
            </w:r>
          </w:p>
        </w:tc>
        <w:tc>
          <w:tcPr>
            <w:tcW w:w="200" w:type="dxa"/>
            <w:vAlign w:val="bottom"/>
            <w:tcBorders>
              <w:bottom w:val="single" w:sz="8" w:color="auto"/>
            </w:tcBorders>
          </w:tcPr>
          <w:p>
            <w:pPr>
              <w:spacing w:after="0"/>
              <w:rPr>
                <w:sz w:val="15"/>
                <w:szCs w:val="15"/>
                <w:color w:val="auto"/>
              </w:rPr>
            </w:pPr>
          </w:p>
        </w:tc>
        <w:tc>
          <w:tcPr>
            <w:tcW w:w="96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126</w:t>
            </w:r>
          </w:p>
        </w:tc>
        <w:tc>
          <w:tcPr>
            <w:tcW w:w="12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gridSpan w:val="3"/>
          </w:tcPr>
          <w:p>
            <w:pPr>
              <w:jc w:val="right"/>
              <w:ind w:right="74"/>
              <w:spacing w:after="0"/>
              <w:rPr>
                <w:sz w:val="20"/>
                <w:szCs w:val="20"/>
                <w:color w:val="auto"/>
              </w:rPr>
            </w:pPr>
            <w:r>
              <w:rPr>
                <w:rFonts w:ascii="Arial" w:cs="Arial" w:eastAsia="Arial" w:hAnsi="Arial"/>
                <w:sz w:val="8"/>
                <w:szCs w:val="8"/>
                <w:color w:val="auto"/>
              </w:rPr>
              <w:t>16</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400" w:type="dxa"/>
            <w:vAlign w:val="bottom"/>
            <w:tcBorders>
              <w:bottom w:val="single" w:sz="8" w:color="auto"/>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tcBorders>
              <w:bottom w:val="single" w:sz="8" w:color="auto"/>
            </w:tcBorders>
          </w:tcPr>
          <w:p>
            <w:pPr>
              <w:spacing w:after="0"/>
              <w:rPr>
                <w:sz w:val="15"/>
                <w:szCs w:val="15"/>
                <w:color w:val="auto"/>
              </w:rPr>
            </w:pPr>
          </w:p>
        </w:tc>
        <w:tc>
          <w:tcPr>
            <w:tcW w:w="120" w:type="dxa"/>
            <w:vAlign w:val="bottom"/>
            <w:tcBorders>
              <w:bottom w:val="single" w:sz="8" w:color="CCEEFF"/>
            </w:tcBorders>
          </w:tcPr>
          <w:p>
            <w:pPr>
              <w:spacing w:after="0"/>
              <w:rPr>
                <w:sz w:val="15"/>
                <w:szCs w:val="15"/>
                <w:color w:val="auto"/>
              </w:rPr>
            </w:pPr>
          </w:p>
        </w:tc>
        <w:tc>
          <w:tcPr>
            <w:tcW w:w="30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40" w:type="dxa"/>
            <w:vAlign w:val="bottom"/>
            <w:tcBorders>
              <w:bottom w:val="single" w:sz="8" w:color="auto"/>
            </w:tcBorders>
          </w:tcPr>
          <w:p>
            <w:pPr>
              <w:spacing w:after="0"/>
              <w:rPr>
                <w:sz w:val="15"/>
                <w:szCs w:val="15"/>
                <w:color w:val="auto"/>
              </w:rPr>
            </w:pPr>
          </w:p>
        </w:tc>
        <w:tc>
          <w:tcPr>
            <w:tcW w:w="260" w:type="dxa"/>
            <w:vAlign w:val="bottom"/>
            <w:tcBorders>
              <w:bottom w:val="single" w:sz="8" w:color="auto"/>
            </w:tcBorders>
          </w:tcPr>
          <w:p>
            <w:pPr>
              <w:jc w:val="right"/>
              <w:ind w:right="77"/>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15"/>
                <w:szCs w:val="15"/>
                <w:color w:val="auto"/>
              </w:rPr>
            </w:pPr>
          </w:p>
        </w:tc>
        <w:tc>
          <w:tcPr>
            <w:tcW w:w="860" w:type="dxa"/>
            <w:vAlign w:val="bottom"/>
            <w:tcBorders>
              <w:bottom w:val="single" w:sz="8" w:color="auto"/>
            </w:tcBorders>
          </w:tcPr>
          <w:p>
            <w:pPr>
              <w:spacing w:after="0"/>
              <w:rPr>
                <w:sz w:val="15"/>
                <w:szCs w:val="15"/>
                <w:color w:val="auto"/>
              </w:rPr>
            </w:pPr>
          </w:p>
        </w:tc>
        <w:tc>
          <w:tcPr>
            <w:tcW w:w="280" w:type="dxa"/>
            <w:vAlign w:val="bottom"/>
            <w:tcBorders>
              <w:bottom w:val="single" w:sz="8" w:color="auto"/>
            </w:tcBorders>
            <w:gridSpan w:val="3"/>
          </w:tcPr>
          <w:p>
            <w:pPr>
              <w:jc w:val="right"/>
              <w:ind w:right="72"/>
              <w:spacing w:after="0"/>
              <w:rPr>
                <w:sz w:val="20"/>
                <w:szCs w:val="20"/>
                <w:color w:val="auto"/>
              </w:rPr>
            </w:pPr>
            <w:r>
              <w:rPr>
                <w:rFonts w:ascii="Arial" w:cs="Arial" w:eastAsia="Arial" w:hAnsi="Arial"/>
                <w:sz w:val="8"/>
                <w:szCs w:val="8"/>
                <w:color w:val="auto"/>
              </w:rPr>
              <w:t>1</w:t>
            </w:r>
          </w:p>
        </w:tc>
        <w:tc>
          <w:tcPr>
            <w:tcW w:w="10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jc w:val="right"/>
              <w:ind w:right="75"/>
              <w:spacing w:after="0"/>
              <w:rPr>
                <w:sz w:val="20"/>
                <w:szCs w:val="20"/>
                <w:color w:val="auto"/>
              </w:rPr>
            </w:pPr>
            <w:r>
              <w:rPr>
                <w:rFonts w:ascii="Arial" w:cs="Arial" w:eastAsia="Arial" w:hAnsi="Arial"/>
                <w:sz w:val="8"/>
                <w:szCs w:val="8"/>
                <w:color w:val="auto"/>
              </w:rPr>
              <w:t>143</w:t>
            </w:r>
          </w:p>
        </w:tc>
      </w:tr>
      <w:tr>
        <w:trPr>
          <w:trHeight w:val="166"/>
        </w:trPr>
        <w:tc>
          <w:tcPr>
            <w:tcW w:w="402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Amortized cost</w:t>
            </w:r>
          </w:p>
        </w:tc>
        <w:tc>
          <w:tcPr>
            <w:tcW w:w="200" w:type="dxa"/>
            <w:vAlign w:val="bottom"/>
            <w:shd w:val="clear" w:color="auto" w:fill="CCEEFF"/>
          </w:tcPr>
          <w:p>
            <w:pPr>
              <w:spacing w:after="0"/>
              <w:rPr>
                <w:sz w:val="14"/>
                <w:szCs w:val="14"/>
                <w:color w:val="auto"/>
              </w:rPr>
            </w:pPr>
          </w:p>
        </w:tc>
        <w:tc>
          <w:tcPr>
            <w:tcW w:w="96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270</w:t>
            </w:r>
          </w:p>
        </w:tc>
        <w:tc>
          <w:tcPr>
            <w:tcW w:w="12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980" w:type="dxa"/>
            <w:vAlign w:val="bottom"/>
            <w:gridSpan w:val="3"/>
            <w:shd w:val="clear" w:color="auto" w:fill="CCEEFF"/>
          </w:tcPr>
          <w:p>
            <w:pPr>
              <w:jc w:val="right"/>
              <w:ind w:right="74"/>
              <w:spacing w:after="0"/>
              <w:rPr>
                <w:sz w:val="20"/>
                <w:szCs w:val="20"/>
                <w:color w:val="auto"/>
              </w:rPr>
            </w:pPr>
            <w:r>
              <w:rPr>
                <w:rFonts w:ascii="Arial" w:cs="Arial" w:eastAsia="Arial" w:hAnsi="Arial"/>
                <w:sz w:val="8"/>
                <w:szCs w:val="8"/>
                <w:color w:val="auto"/>
              </w:rPr>
              <w:t>16</w:t>
            </w: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60" w:type="dxa"/>
            <w:vAlign w:val="bottom"/>
            <w:shd w:val="clear" w:color="auto" w:fill="CCEEFF"/>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360" w:type="dxa"/>
            <w:vAlign w:val="bottom"/>
            <w:gridSpan w:val="2"/>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860" w:type="dxa"/>
            <w:vAlign w:val="bottom"/>
            <w:shd w:val="clear" w:color="auto" w:fill="CCEEFF"/>
          </w:tcPr>
          <w:p>
            <w:pPr>
              <w:spacing w:after="0"/>
              <w:rPr>
                <w:sz w:val="14"/>
                <w:szCs w:val="14"/>
                <w:color w:val="auto"/>
              </w:rPr>
            </w:pPr>
          </w:p>
        </w:tc>
        <w:tc>
          <w:tcPr>
            <w:tcW w:w="280" w:type="dxa"/>
            <w:vAlign w:val="bottom"/>
            <w:gridSpan w:val="3"/>
            <w:shd w:val="clear" w:color="auto" w:fill="CCEEFF"/>
          </w:tcPr>
          <w:p>
            <w:pPr>
              <w:jc w:val="right"/>
              <w:ind w:right="72"/>
              <w:spacing w:after="0"/>
              <w:rPr>
                <w:sz w:val="20"/>
                <w:szCs w:val="20"/>
                <w:color w:val="auto"/>
              </w:rPr>
            </w:pPr>
            <w:r>
              <w:rPr>
                <w:rFonts w:ascii="Arial" w:cs="Arial" w:eastAsia="Arial" w:hAnsi="Arial"/>
                <w:sz w:val="8"/>
                <w:szCs w:val="8"/>
                <w:color w:val="auto"/>
              </w:rPr>
              <w:t>36</w:t>
            </w:r>
          </w:p>
        </w:tc>
        <w:tc>
          <w:tcPr>
            <w:tcW w:w="1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80" w:type="dxa"/>
            <w:vAlign w:val="bottom"/>
            <w:shd w:val="clear" w:color="auto" w:fill="CCEEFF"/>
          </w:tcPr>
          <w:p>
            <w:pPr>
              <w:jc w:val="right"/>
              <w:ind w:right="75"/>
              <w:spacing w:after="0"/>
              <w:rPr>
                <w:sz w:val="20"/>
                <w:szCs w:val="20"/>
                <w:color w:val="auto"/>
              </w:rPr>
            </w:pPr>
            <w:r>
              <w:rPr>
                <w:rFonts w:ascii="Arial" w:cs="Arial" w:eastAsia="Arial" w:hAnsi="Arial"/>
                <w:sz w:val="8"/>
                <w:szCs w:val="8"/>
                <w:color w:val="auto"/>
              </w:rPr>
              <w:t>322</w:t>
            </w:r>
          </w:p>
        </w:tc>
      </w:tr>
      <w:tr>
        <w:trPr>
          <w:trHeight w:val="174"/>
        </w:trPr>
        <w:tc>
          <w:tcPr>
            <w:tcW w:w="4020" w:type="dxa"/>
            <w:vAlign w:val="bottom"/>
            <w:gridSpan w:val="2"/>
          </w:tcPr>
          <w:p>
            <w:pPr>
              <w:ind w:left="780"/>
              <w:spacing w:after="0"/>
              <w:rPr>
                <w:sz w:val="20"/>
                <w:szCs w:val="20"/>
                <w:color w:val="auto"/>
              </w:rPr>
            </w:pPr>
            <w:r>
              <w:rPr>
                <w:rFonts w:ascii="Arial" w:cs="Arial" w:eastAsia="Arial" w:hAnsi="Arial"/>
                <w:sz w:val="8"/>
                <w:szCs w:val="8"/>
                <w:color w:val="auto"/>
              </w:rPr>
              <w:t>Gross unrealized gains</w:t>
            </w:r>
          </w:p>
        </w:tc>
        <w:tc>
          <w:tcPr>
            <w:tcW w:w="200" w:type="dxa"/>
            <w:vAlign w:val="bottom"/>
          </w:tcPr>
          <w:p>
            <w:pPr>
              <w:spacing w:after="0"/>
              <w:rPr>
                <w:sz w:val="15"/>
                <w:szCs w:val="15"/>
                <w:color w:val="auto"/>
              </w:rPr>
            </w:pP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41</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80" w:type="dxa"/>
            <w:vAlign w:val="bottom"/>
            <w:gridSpan w:val="3"/>
          </w:tcPr>
          <w:p>
            <w:pPr>
              <w:jc w:val="right"/>
              <w:ind w:right="74"/>
              <w:spacing w:after="0"/>
              <w:rPr>
                <w:sz w:val="20"/>
                <w:szCs w:val="20"/>
                <w:color w:val="auto"/>
              </w:rPr>
            </w:pPr>
            <w:r>
              <w:rPr>
                <w:rFonts w:ascii="Arial" w:cs="Arial" w:eastAsia="Arial" w:hAnsi="Arial"/>
                <w:sz w:val="8"/>
                <w:szCs w:val="8"/>
                <w:color w:val="auto"/>
              </w:rPr>
              <w:t>3</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360" w:type="dxa"/>
            <w:vAlign w:val="bottom"/>
            <w:gridSpan w:val="2"/>
          </w:tcPr>
          <w:p>
            <w:pPr>
              <w:jc w:val="right"/>
              <w:ind w:right="220"/>
              <w:spacing w:after="0"/>
              <w:rPr>
                <w:sz w:val="20"/>
                <w:szCs w:val="20"/>
                <w:color w:val="auto"/>
              </w:rPr>
            </w:pPr>
            <w:r>
              <w:rPr>
                <w:rFonts w:ascii="Arial" w:cs="Arial" w:eastAsia="Arial" w:hAnsi="Arial"/>
                <w:sz w:val="8"/>
                <w:szCs w:val="8"/>
                <w:color w:val="auto"/>
              </w:rPr>
              <w:t>—</w:t>
            </w:r>
          </w:p>
        </w:tc>
        <w:tc>
          <w:tcPr>
            <w:tcW w:w="8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340" w:type="dxa"/>
            <w:vAlign w:val="bottom"/>
            <w:gridSpan w:val="3"/>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tcPr>
          <w:p>
            <w:pPr>
              <w:spacing w:after="0"/>
              <w:rPr>
                <w:sz w:val="15"/>
                <w:szCs w:val="15"/>
                <w:color w:val="auto"/>
              </w:rPr>
            </w:pPr>
          </w:p>
        </w:tc>
        <w:tc>
          <w:tcPr>
            <w:tcW w:w="980" w:type="dxa"/>
            <w:vAlign w:val="bottom"/>
          </w:tcPr>
          <w:p>
            <w:pPr>
              <w:jc w:val="right"/>
              <w:ind w:right="75"/>
              <w:spacing w:after="0"/>
              <w:rPr>
                <w:sz w:val="20"/>
                <w:szCs w:val="20"/>
                <w:color w:val="auto"/>
              </w:rPr>
            </w:pPr>
            <w:r>
              <w:rPr>
                <w:rFonts w:ascii="Arial" w:cs="Arial" w:eastAsia="Arial" w:hAnsi="Arial"/>
                <w:sz w:val="8"/>
                <w:szCs w:val="8"/>
                <w:color w:val="auto"/>
              </w:rPr>
              <w:t>44</w:t>
            </w:r>
          </w:p>
        </w:tc>
      </w:tr>
      <w:tr>
        <w:trPr>
          <w:trHeight w:val="180"/>
        </w:trPr>
        <w:tc>
          <w:tcPr>
            <w:tcW w:w="4020" w:type="dxa"/>
            <w:vAlign w:val="bottom"/>
            <w:gridSpan w:val="2"/>
            <w:shd w:val="clear" w:color="auto" w:fill="CCEEFF"/>
          </w:tcPr>
          <w:p>
            <w:pPr>
              <w:ind w:left="780"/>
              <w:spacing w:after="0"/>
              <w:rPr>
                <w:sz w:val="20"/>
                <w:szCs w:val="20"/>
                <w:color w:val="auto"/>
              </w:rPr>
            </w:pPr>
            <w:r>
              <w:rPr>
                <w:rFonts w:ascii="Arial" w:cs="Arial" w:eastAsia="Arial" w:hAnsi="Arial"/>
                <w:sz w:val="8"/>
                <w:szCs w:val="8"/>
                <w:color w:val="auto"/>
              </w:rPr>
              <w:t>Gross unrealized losses</w:t>
            </w:r>
          </w:p>
        </w:tc>
        <w:tc>
          <w:tcPr>
            <w:tcW w:w="200" w:type="dxa"/>
            <w:vAlign w:val="bottom"/>
            <w:tcBorders>
              <w:bottom w:val="single" w:sz="8" w:color="auto"/>
            </w:tcBorders>
            <w:shd w:val="clear" w:color="auto" w:fill="CCEEFF"/>
          </w:tcPr>
          <w:p>
            <w:pPr>
              <w:spacing w:after="0"/>
              <w:rPr>
                <w:sz w:val="15"/>
                <w:szCs w:val="15"/>
                <w:color w:val="auto"/>
              </w:rPr>
            </w:pPr>
          </w:p>
        </w:tc>
        <w:tc>
          <w:tcPr>
            <w:tcW w:w="960" w:type="dxa"/>
            <w:vAlign w:val="bottom"/>
            <w:tcBorders>
              <w:bottom w:val="single" w:sz="8" w:color="auto"/>
            </w:tcBorders>
            <w:shd w:val="clear" w:color="auto" w:fill="CCEEFF"/>
          </w:tcPr>
          <w:p>
            <w:pPr>
              <w:jc w:val="right"/>
              <w:ind w:right="38"/>
              <w:spacing w:after="0"/>
              <w:rPr>
                <w:sz w:val="20"/>
                <w:szCs w:val="20"/>
                <w:color w:val="auto"/>
              </w:rPr>
            </w:pPr>
            <w:r>
              <w:rPr>
                <w:rFonts w:ascii="Arial" w:cs="Arial" w:eastAsia="Arial" w:hAnsi="Arial"/>
                <w:sz w:val="8"/>
                <w:szCs w:val="8"/>
                <w:color w:val="auto"/>
              </w:rPr>
              <w:t>(2)</w:t>
            </w:r>
          </w:p>
        </w:tc>
        <w:tc>
          <w:tcPr>
            <w:tcW w:w="120" w:type="dxa"/>
            <w:vAlign w:val="bottom"/>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gridSpan w:val="3"/>
            <w:shd w:val="clear" w:color="auto" w:fill="CCEEFF"/>
          </w:tcPr>
          <w:p>
            <w:pPr>
              <w:jc w:val="right"/>
              <w:ind w:right="34"/>
              <w:spacing w:after="0"/>
              <w:rPr>
                <w:sz w:val="20"/>
                <w:szCs w:val="20"/>
                <w:color w:val="auto"/>
              </w:rPr>
            </w:pPr>
            <w:r>
              <w:rPr>
                <w:rFonts w:ascii="Arial" w:cs="Arial" w:eastAsia="Arial" w:hAnsi="Arial"/>
                <w:sz w:val="8"/>
                <w:szCs w:val="8"/>
                <w:color w:val="auto"/>
              </w:rPr>
              <w:t>(1)</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tcBorders>
              <w:bottom w:val="single" w:sz="8" w:color="auto"/>
            </w:tcBorders>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300" w:type="dxa"/>
            <w:vAlign w:val="bottom"/>
            <w:tcBorders>
              <w:bottom w:val="single" w:sz="8" w:color="auto"/>
            </w:tcBorders>
            <w:shd w:val="clear" w:color="auto" w:fill="CCEEFF"/>
          </w:tcPr>
          <w:p>
            <w:pPr>
              <w:spacing w:after="0"/>
              <w:rPr>
                <w:sz w:val="15"/>
                <w:szCs w:val="15"/>
                <w:color w:val="auto"/>
              </w:rPr>
            </w:pPr>
          </w:p>
        </w:tc>
        <w:tc>
          <w:tcPr>
            <w:tcW w:w="460" w:type="dxa"/>
            <w:vAlign w:val="bottom"/>
            <w:tcBorders>
              <w:bottom w:val="single" w:sz="8" w:color="auto"/>
            </w:tcBorders>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spacing w:after="0"/>
              <w:rPr>
                <w:sz w:val="15"/>
                <w:szCs w:val="15"/>
                <w:color w:val="auto"/>
              </w:rPr>
            </w:pPr>
          </w:p>
        </w:tc>
        <w:tc>
          <w:tcPr>
            <w:tcW w:w="40" w:type="dxa"/>
            <w:vAlign w:val="bottom"/>
            <w:tcBorders>
              <w:bottom w:val="single" w:sz="8" w:color="auto"/>
            </w:tcBorders>
            <w:shd w:val="clear" w:color="auto" w:fill="CCEEFF"/>
          </w:tcPr>
          <w:p>
            <w:pPr>
              <w:spacing w:after="0"/>
              <w:rPr>
                <w:sz w:val="15"/>
                <w:szCs w:val="15"/>
                <w:color w:val="auto"/>
              </w:rPr>
            </w:pPr>
          </w:p>
        </w:tc>
        <w:tc>
          <w:tcPr>
            <w:tcW w:w="260" w:type="dxa"/>
            <w:vAlign w:val="bottom"/>
            <w:tcBorders>
              <w:bottom w:val="single" w:sz="8" w:color="auto"/>
            </w:tcBorders>
            <w:shd w:val="clear" w:color="auto" w:fill="CCEEFF"/>
          </w:tcPr>
          <w:p>
            <w:pPr>
              <w:jc w:val="right"/>
              <w:ind w:right="77"/>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5"/>
                <w:szCs w:val="15"/>
                <w:color w:val="auto"/>
              </w:rPr>
            </w:pPr>
          </w:p>
        </w:tc>
        <w:tc>
          <w:tcPr>
            <w:tcW w:w="860" w:type="dxa"/>
            <w:vAlign w:val="bottom"/>
            <w:tcBorders>
              <w:bottom w:val="single" w:sz="8" w:color="auto"/>
            </w:tcBorders>
            <w:shd w:val="clear" w:color="auto" w:fill="CCEEFF"/>
          </w:tcPr>
          <w:p>
            <w:pPr>
              <w:spacing w:after="0"/>
              <w:rPr>
                <w:sz w:val="15"/>
                <w:szCs w:val="15"/>
                <w:color w:val="auto"/>
              </w:rPr>
            </w:pPr>
          </w:p>
        </w:tc>
        <w:tc>
          <w:tcPr>
            <w:tcW w:w="40" w:type="dxa"/>
            <w:vAlign w:val="bottom"/>
            <w:tcBorders>
              <w:bottom w:val="single" w:sz="8" w:color="auto"/>
            </w:tcBorders>
            <w:shd w:val="clear" w:color="auto" w:fill="CCEEFF"/>
          </w:tcPr>
          <w:p>
            <w:pPr>
              <w:spacing w:after="0"/>
              <w:rPr>
                <w:sz w:val="15"/>
                <w:szCs w:val="15"/>
                <w:color w:val="auto"/>
              </w:rPr>
            </w:pPr>
          </w:p>
        </w:tc>
        <w:tc>
          <w:tcPr>
            <w:tcW w:w="240" w:type="dxa"/>
            <w:vAlign w:val="bottom"/>
            <w:tcBorders>
              <w:bottom w:val="single" w:sz="8" w:color="auto"/>
            </w:tcBorders>
            <w:gridSpan w:val="2"/>
            <w:shd w:val="clear" w:color="auto" w:fill="CCEEFF"/>
          </w:tcPr>
          <w:p>
            <w:pPr>
              <w:jc w:val="right"/>
              <w:ind w:right="72"/>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5"/>
                <w:szCs w:val="15"/>
                <w:color w:val="auto"/>
              </w:rPr>
            </w:pPr>
          </w:p>
        </w:tc>
        <w:tc>
          <w:tcPr>
            <w:tcW w:w="16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shd w:val="clear" w:color="auto" w:fill="CCEEFF"/>
          </w:tcPr>
          <w:p>
            <w:pPr>
              <w:jc w:val="right"/>
              <w:ind w:right="35"/>
              <w:spacing w:after="0"/>
              <w:rPr>
                <w:sz w:val="20"/>
                <w:szCs w:val="20"/>
                <w:color w:val="auto"/>
              </w:rPr>
            </w:pPr>
            <w:r>
              <w:rPr>
                <w:rFonts w:ascii="Arial" w:cs="Arial" w:eastAsia="Arial" w:hAnsi="Arial"/>
                <w:sz w:val="8"/>
                <w:szCs w:val="8"/>
                <w:color w:val="auto"/>
              </w:rPr>
              <w:t>(3)</w:t>
            </w:r>
          </w:p>
        </w:tc>
      </w:tr>
      <w:tr>
        <w:trPr>
          <w:trHeight w:val="160"/>
        </w:trPr>
        <w:tc>
          <w:tcPr>
            <w:tcW w:w="4020" w:type="dxa"/>
            <w:vAlign w:val="bottom"/>
            <w:tcBorders>
              <w:bottom w:val="single" w:sz="8" w:color="CCEEFF"/>
            </w:tcBorders>
            <w:gridSpan w:val="2"/>
          </w:tcPr>
          <w:p>
            <w:pPr>
              <w:ind w:left="20"/>
              <w:spacing w:after="0"/>
              <w:rPr>
                <w:sz w:val="20"/>
                <w:szCs w:val="20"/>
                <w:color w:val="auto"/>
              </w:rPr>
            </w:pPr>
            <w:r>
              <w:rPr>
                <w:rFonts w:ascii="Arial" w:cs="Arial" w:eastAsia="Arial" w:hAnsi="Arial"/>
                <w:sz w:val="8"/>
                <w:szCs w:val="8"/>
                <w:color w:val="auto"/>
              </w:rPr>
              <w:t>Total securities remeasured at fair value through earnings</w:t>
            </w:r>
          </w:p>
        </w:tc>
        <w:tc>
          <w:tcPr>
            <w:tcW w:w="200" w:type="dxa"/>
            <w:vAlign w:val="bottom"/>
            <w:tcBorders>
              <w:bottom w:val="single" w:sz="8" w:color="auto"/>
            </w:tcBorders>
          </w:tcPr>
          <w:p>
            <w:pPr>
              <w:spacing w:after="0"/>
              <w:rPr>
                <w:sz w:val="13"/>
                <w:szCs w:val="13"/>
                <w:color w:val="auto"/>
              </w:rPr>
            </w:pPr>
          </w:p>
        </w:tc>
        <w:tc>
          <w:tcPr>
            <w:tcW w:w="96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309</w:t>
            </w:r>
          </w:p>
        </w:tc>
        <w:tc>
          <w:tcPr>
            <w:tcW w:w="120" w:type="dxa"/>
            <w:vAlign w:val="bottom"/>
            <w:tcBorders>
              <w:bottom w:val="single" w:sz="8" w:color="CCEEFF"/>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980" w:type="dxa"/>
            <w:vAlign w:val="bottom"/>
            <w:tcBorders>
              <w:bottom w:val="single" w:sz="8" w:color="auto"/>
            </w:tcBorders>
            <w:gridSpan w:val="3"/>
          </w:tcPr>
          <w:p>
            <w:pPr>
              <w:jc w:val="right"/>
              <w:ind w:right="74"/>
              <w:spacing w:after="0"/>
              <w:rPr>
                <w:sz w:val="20"/>
                <w:szCs w:val="20"/>
                <w:color w:val="auto"/>
              </w:rPr>
            </w:pPr>
            <w:r>
              <w:rPr>
                <w:rFonts w:ascii="Arial" w:cs="Arial" w:eastAsia="Arial" w:hAnsi="Arial"/>
                <w:sz w:val="8"/>
                <w:szCs w:val="8"/>
                <w:color w:val="auto"/>
              </w:rPr>
              <w:t>18</w:t>
            </w:r>
          </w:p>
        </w:tc>
        <w:tc>
          <w:tcPr>
            <w:tcW w:w="120" w:type="dxa"/>
            <w:vAlign w:val="bottom"/>
            <w:tcBorders>
              <w:bottom w:val="single" w:sz="8" w:color="CCEEFF"/>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460" w:type="dxa"/>
            <w:vAlign w:val="bottom"/>
            <w:tcBorders>
              <w:bottom w:val="single" w:sz="8" w:color="auto"/>
            </w:tcBorders>
          </w:tcPr>
          <w:p>
            <w:pPr>
              <w:jc w:val="right"/>
              <w:ind w:right="37"/>
              <w:spacing w:after="0"/>
              <w:rPr>
                <w:sz w:val="20"/>
                <w:szCs w:val="20"/>
                <w:color w:val="auto"/>
              </w:rPr>
            </w:pPr>
            <w:r>
              <w:rPr>
                <w:rFonts w:ascii="Arial" w:cs="Arial" w:eastAsia="Arial" w:hAnsi="Arial"/>
                <w:sz w:val="8"/>
                <w:szCs w:val="8"/>
                <w:color w:val="auto"/>
              </w:rPr>
              <w:t>—</w:t>
            </w:r>
          </w:p>
        </w:tc>
        <w:tc>
          <w:tcPr>
            <w:tcW w:w="40" w:type="dxa"/>
            <w:vAlign w:val="bottom"/>
            <w:tcBorders>
              <w:bottom w:val="single" w:sz="8" w:color="auto"/>
            </w:tcBorders>
          </w:tcPr>
          <w:p>
            <w:pPr>
              <w:spacing w:after="0"/>
              <w:rPr>
                <w:sz w:val="13"/>
                <w:szCs w:val="13"/>
                <w:color w:val="auto"/>
              </w:rPr>
            </w:pPr>
          </w:p>
        </w:tc>
        <w:tc>
          <w:tcPr>
            <w:tcW w:w="120" w:type="dxa"/>
            <w:vAlign w:val="bottom"/>
            <w:tcBorders>
              <w:bottom w:val="single" w:sz="8" w:color="CCEEFF"/>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jc w:val="right"/>
              <w:ind w:right="77"/>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13"/>
                <w:szCs w:val="13"/>
                <w:color w:val="auto"/>
              </w:rPr>
            </w:pPr>
          </w:p>
        </w:tc>
        <w:tc>
          <w:tcPr>
            <w:tcW w:w="8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3"/>
          </w:tcPr>
          <w:p>
            <w:pPr>
              <w:jc w:val="right"/>
              <w:ind w:right="72"/>
              <w:spacing w:after="0"/>
              <w:rPr>
                <w:sz w:val="20"/>
                <w:szCs w:val="20"/>
                <w:color w:val="auto"/>
              </w:rPr>
            </w:pPr>
            <w:r>
              <w:rPr>
                <w:rFonts w:ascii="Arial" w:cs="Arial" w:eastAsia="Arial" w:hAnsi="Arial"/>
                <w:sz w:val="8"/>
                <w:szCs w:val="8"/>
                <w:color w:val="auto"/>
              </w:rPr>
              <w:t>36</w:t>
            </w:r>
          </w:p>
        </w:tc>
        <w:tc>
          <w:tcPr>
            <w:tcW w:w="10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980" w:type="dxa"/>
            <w:vAlign w:val="bottom"/>
            <w:tcBorders>
              <w:bottom w:val="single" w:sz="8" w:color="auto"/>
            </w:tcBorders>
          </w:tcPr>
          <w:p>
            <w:pPr>
              <w:jc w:val="right"/>
              <w:ind w:right="75"/>
              <w:spacing w:after="0"/>
              <w:rPr>
                <w:sz w:val="20"/>
                <w:szCs w:val="20"/>
                <w:color w:val="auto"/>
              </w:rPr>
            </w:pPr>
            <w:r>
              <w:rPr>
                <w:rFonts w:ascii="Arial" w:cs="Arial" w:eastAsia="Arial" w:hAnsi="Arial"/>
                <w:sz w:val="8"/>
                <w:szCs w:val="8"/>
                <w:color w:val="auto"/>
              </w:rPr>
              <w:t>363</w:t>
            </w:r>
          </w:p>
        </w:tc>
      </w:tr>
      <w:tr>
        <w:trPr>
          <w:trHeight w:val="164"/>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8"/>
                <w:szCs w:val="8"/>
                <w:color w:val="auto"/>
              </w:rPr>
              <w:t>Total securities, at fair value</w:t>
            </w:r>
          </w:p>
        </w:tc>
        <w:tc>
          <w:tcPr>
            <w:tcW w:w="200" w:type="dxa"/>
            <w:vAlign w:val="bottom"/>
            <w:shd w:val="clear" w:color="auto" w:fill="CCEEFF"/>
          </w:tcPr>
          <w:p>
            <w:pPr>
              <w:jc w:val="right"/>
              <w:ind w:right="98"/>
              <w:spacing w:after="0"/>
              <w:rPr>
                <w:sz w:val="20"/>
                <w:szCs w:val="20"/>
                <w:color w:val="auto"/>
              </w:rPr>
            </w:pPr>
            <w:r>
              <w:rPr>
                <w:rFonts w:ascii="Arial" w:cs="Arial" w:eastAsia="Arial" w:hAnsi="Arial"/>
                <w:sz w:val="8"/>
                <w:szCs w:val="8"/>
                <w:color w:val="auto"/>
                <w:w w:val="88"/>
              </w:rPr>
              <w:t>$</w:t>
            </w:r>
          </w:p>
        </w:tc>
        <w:tc>
          <w:tcPr>
            <w:tcW w:w="96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36,506</w:t>
            </w:r>
          </w:p>
        </w:tc>
        <w:tc>
          <w:tcPr>
            <w:tcW w:w="120" w:type="dxa"/>
            <w:vAlign w:val="bottom"/>
            <w:shd w:val="clear" w:color="auto" w:fill="CCEEFF"/>
          </w:tcPr>
          <w:p>
            <w:pPr>
              <w:spacing w:after="0"/>
              <w:rPr>
                <w:sz w:val="14"/>
                <w:szCs w:val="14"/>
                <w:color w:val="auto"/>
              </w:rPr>
            </w:pPr>
          </w:p>
        </w:tc>
        <w:tc>
          <w:tcPr>
            <w:tcW w:w="18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w w:val="88"/>
              </w:rPr>
              <w:t>$</w:t>
            </w:r>
          </w:p>
        </w:tc>
        <w:tc>
          <w:tcPr>
            <w:tcW w:w="980" w:type="dxa"/>
            <w:vAlign w:val="bottom"/>
            <w:gridSpan w:val="3"/>
            <w:shd w:val="clear" w:color="auto" w:fill="CCEEFF"/>
          </w:tcPr>
          <w:p>
            <w:pPr>
              <w:jc w:val="right"/>
              <w:ind w:right="74"/>
              <w:spacing w:after="0"/>
              <w:rPr>
                <w:sz w:val="20"/>
                <w:szCs w:val="20"/>
                <w:color w:val="auto"/>
              </w:rPr>
            </w:pPr>
            <w:r>
              <w:rPr>
                <w:rFonts w:ascii="Arial" w:cs="Arial" w:eastAsia="Arial" w:hAnsi="Arial"/>
                <w:sz w:val="8"/>
                <w:szCs w:val="8"/>
                <w:color w:val="auto"/>
              </w:rPr>
              <w:t>10,662</w:t>
            </w: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w w:val="88"/>
              </w:rPr>
              <w:t>$</w:t>
            </w:r>
          </w:p>
        </w:tc>
        <w:tc>
          <w:tcPr>
            <w:tcW w:w="4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60" w:type="dxa"/>
            <w:vAlign w:val="bottom"/>
            <w:shd w:val="clear" w:color="auto" w:fill="CCEEFF"/>
          </w:tcPr>
          <w:p>
            <w:pPr>
              <w:jc w:val="right"/>
              <w:ind w:right="37"/>
              <w:spacing w:after="0"/>
              <w:rPr>
                <w:sz w:val="20"/>
                <w:szCs w:val="20"/>
                <w:color w:val="auto"/>
              </w:rPr>
            </w:pPr>
            <w:r>
              <w:rPr>
                <w:rFonts w:ascii="Arial" w:cs="Arial" w:eastAsia="Arial" w:hAnsi="Arial"/>
                <w:sz w:val="8"/>
                <w:szCs w:val="8"/>
                <w:color w:val="auto"/>
              </w:rPr>
              <w:t>50</w:t>
            </w:r>
          </w:p>
        </w:tc>
        <w:tc>
          <w:tcPr>
            <w:tcW w:w="460" w:type="dxa"/>
            <w:vAlign w:val="bottom"/>
            <w:gridSpan w:val="3"/>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4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00" w:type="dxa"/>
            <w:vAlign w:val="bottom"/>
            <w:gridSpan w:val="2"/>
            <w:shd w:val="clear" w:color="auto" w:fill="CCEEFF"/>
          </w:tcPr>
          <w:p>
            <w:pPr>
              <w:jc w:val="right"/>
              <w:ind w:right="77"/>
              <w:spacing w:after="0"/>
              <w:rPr>
                <w:sz w:val="20"/>
                <w:szCs w:val="20"/>
                <w:color w:val="auto"/>
              </w:rPr>
            </w:pPr>
            <w:r>
              <w:rPr>
                <w:rFonts w:ascii="Arial" w:cs="Arial" w:eastAsia="Arial" w:hAnsi="Arial"/>
                <w:sz w:val="8"/>
                <w:szCs w:val="8"/>
                <w:color w:val="auto"/>
              </w:rPr>
              <w:t>102</w:t>
            </w:r>
          </w:p>
        </w:tc>
        <w:tc>
          <w:tcPr>
            <w:tcW w:w="100" w:type="dxa"/>
            <w:vAlign w:val="bottom"/>
            <w:shd w:val="clear" w:color="auto" w:fill="CCEEFF"/>
          </w:tcPr>
          <w:p>
            <w:pPr>
              <w:spacing w:after="0"/>
              <w:rPr>
                <w:sz w:val="14"/>
                <w:szCs w:val="14"/>
                <w:color w:val="auto"/>
              </w:rPr>
            </w:pPr>
          </w:p>
        </w:tc>
        <w:tc>
          <w:tcPr>
            <w:tcW w:w="860" w:type="dxa"/>
            <w:vAlign w:val="bottom"/>
            <w:shd w:val="clear" w:color="auto" w:fill="CCEEFF"/>
          </w:tcPr>
          <w:p>
            <w:pPr>
              <w:jc w:val="right"/>
              <w:ind w:right="752"/>
              <w:spacing w:after="0"/>
              <w:rPr>
                <w:sz w:val="20"/>
                <w:szCs w:val="20"/>
                <w:color w:val="auto"/>
              </w:rPr>
            </w:pPr>
            <w:r>
              <w:rPr>
                <w:rFonts w:ascii="Arial" w:cs="Arial" w:eastAsia="Arial" w:hAnsi="Arial"/>
                <w:sz w:val="8"/>
                <w:szCs w:val="8"/>
                <w:color w:val="auto"/>
                <w:w w:val="88"/>
              </w:rPr>
              <w:t>$</w:t>
            </w:r>
          </w:p>
        </w:tc>
        <w:tc>
          <w:tcPr>
            <w:tcW w:w="280" w:type="dxa"/>
            <w:vAlign w:val="bottom"/>
            <w:gridSpan w:val="3"/>
            <w:shd w:val="clear" w:color="auto" w:fill="CCEEFF"/>
          </w:tcPr>
          <w:p>
            <w:pPr>
              <w:jc w:val="right"/>
              <w:ind w:right="72"/>
              <w:spacing w:after="0"/>
              <w:rPr>
                <w:sz w:val="20"/>
                <w:szCs w:val="20"/>
                <w:color w:val="auto"/>
              </w:rPr>
            </w:pPr>
            <w:r>
              <w:rPr>
                <w:rFonts w:ascii="Arial" w:cs="Arial" w:eastAsia="Arial" w:hAnsi="Arial"/>
                <w:sz w:val="8"/>
                <w:szCs w:val="8"/>
                <w:color w:val="auto"/>
              </w:rPr>
              <w:t>36</w:t>
            </w:r>
          </w:p>
        </w:tc>
        <w:tc>
          <w:tcPr>
            <w:tcW w:w="100" w:type="dxa"/>
            <w:vAlign w:val="bottom"/>
            <w:shd w:val="clear" w:color="auto" w:fill="CCEEFF"/>
          </w:tcPr>
          <w:p>
            <w:pPr>
              <w:spacing w:after="0"/>
              <w:rPr>
                <w:sz w:val="14"/>
                <w:szCs w:val="14"/>
                <w:color w:val="auto"/>
              </w:rPr>
            </w:pPr>
          </w:p>
        </w:tc>
        <w:tc>
          <w:tcPr>
            <w:tcW w:w="16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w w:val="88"/>
              </w:rPr>
              <w:t>$</w:t>
            </w:r>
          </w:p>
        </w:tc>
        <w:tc>
          <w:tcPr>
            <w:tcW w:w="980" w:type="dxa"/>
            <w:vAlign w:val="bottom"/>
            <w:shd w:val="clear" w:color="auto" w:fill="CCEEFF"/>
          </w:tcPr>
          <w:p>
            <w:pPr>
              <w:jc w:val="right"/>
              <w:ind w:right="75"/>
              <w:spacing w:after="0"/>
              <w:rPr>
                <w:sz w:val="20"/>
                <w:szCs w:val="20"/>
                <w:color w:val="auto"/>
              </w:rPr>
            </w:pPr>
            <w:r>
              <w:rPr>
                <w:rFonts w:ascii="Arial" w:cs="Arial" w:eastAsia="Arial" w:hAnsi="Arial"/>
                <w:sz w:val="8"/>
                <w:szCs w:val="8"/>
                <w:color w:val="auto"/>
              </w:rPr>
              <w:t>47,356</w:t>
            </w:r>
          </w:p>
        </w:tc>
      </w:tr>
      <w:tr>
        <w:trPr>
          <w:trHeight w:val="156"/>
        </w:trPr>
        <w:tc>
          <w:tcPr>
            <w:tcW w:w="4020" w:type="dxa"/>
            <w:vAlign w:val="bottom"/>
            <w:tcBorders>
              <w:top w:val="single" w:sz="8" w:color="CCEEFF"/>
            </w:tcBorders>
            <w:gridSpan w:val="2"/>
          </w:tcPr>
          <w:p>
            <w:pPr>
              <w:ind w:left="20"/>
              <w:spacing w:after="0"/>
              <w:rPr>
                <w:sz w:val="20"/>
                <w:szCs w:val="20"/>
                <w:color w:val="auto"/>
              </w:rPr>
            </w:pPr>
            <w:r>
              <w:rPr>
                <w:rFonts w:ascii="Arial" w:cs="Arial" w:eastAsia="Arial" w:hAnsi="Arial"/>
                <w:sz w:val="8"/>
                <w:szCs w:val="8"/>
                <w:color w:val="auto"/>
              </w:rPr>
              <w:t>Weighted average coupon as of September 30, 2016</w:t>
            </w:r>
          </w:p>
        </w:tc>
        <w:tc>
          <w:tcPr>
            <w:tcW w:w="200" w:type="dxa"/>
            <w:vAlign w:val="bottom"/>
            <w:tcBorders>
              <w:top w:val="single" w:sz="8" w:color="auto"/>
            </w:tcBorders>
          </w:tcPr>
          <w:p>
            <w:pPr>
              <w:spacing w:after="0"/>
              <w:rPr>
                <w:sz w:val="13"/>
                <w:szCs w:val="13"/>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8"/>
                <w:szCs w:val="8"/>
                <w:color w:val="auto"/>
              </w:rPr>
              <w:t>3.63%</w:t>
            </w:r>
          </w:p>
        </w:tc>
        <w:tc>
          <w:tcPr>
            <w:tcW w:w="120" w:type="dxa"/>
            <w:vAlign w:val="bottom"/>
            <w:tcBorders>
              <w:top w:val="single" w:sz="8" w:color="CCEEFF"/>
            </w:tcBorders>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980" w:type="dxa"/>
            <w:vAlign w:val="bottom"/>
            <w:tcBorders>
              <w:top w:val="single" w:sz="8" w:color="auto"/>
            </w:tcBorders>
            <w:gridSpan w:val="3"/>
          </w:tcPr>
          <w:p>
            <w:pPr>
              <w:jc w:val="right"/>
              <w:spacing w:after="0"/>
              <w:rPr>
                <w:sz w:val="20"/>
                <w:szCs w:val="20"/>
                <w:color w:val="auto"/>
              </w:rPr>
            </w:pPr>
            <w:r>
              <w:rPr>
                <w:rFonts w:ascii="Arial" w:cs="Arial" w:eastAsia="Arial" w:hAnsi="Arial"/>
                <w:sz w:val="8"/>
                <w:szCs w:val="8"/>
                <w:color w:val="auto"/>
              </w:rPr>
              <w:t>3.69%</w:t>
            </w:r>
          </w:p>
        </w:tc>
        <w:tc>
          <w:tcPr>
            <w:tcW w:w="120" w:type="dxa"/>
            <w:vAlign w:val="bottom"/>
            <w:tcBorders>
              <w:top w:val="single" w:sz="8" w:color="CCEEFF"/>
            </w:tcBorders>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40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460" w:type="dxa"/>
            <w:vAlign w:val="bottom"/>
            <w:tcBorders>
              <w:top w:val="single" w:sz="8" w:color="auto"/>
            </w:tcBorders>
          </w:tcPr>
          <w:p>
            <w:pPr>
              <w:jc w:val="right"/>
              <w:spacing w:after="0"/>
              <w:rPr>
                <w:sz w:val="20"/>
                <w:szCs w:val="20"/>
                <w:color w:val="auto"/>
              </w:rPr>
            </w:pPr>
            <w:r>
              <w:rPr>
                <w:rFonts w:ascii="Arial" w:cs="Arial" w:eastAsia="Arial" w:hAnsi="Arial"/>
                <w:sz w:val="8"/>
                <w:szCs w:val="8"/>
                <w:color w:val="auto"/>
              </w:rPr>
              <w:t>2.81%</w:t>
            </w:r>
          </w:p>
        </w:tc>
        <w:tc>
          <w:tcPr>
            <w:tcW w:w="40" w:type="dxa"/>
            <w:vAlign w:val="bottom"/>
            <w:tcBorders>
              <w:top w:val="single" w:sz="8" w:color="auto"/>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300" w:type="dxa"/>
            <w:vAlign w:val="bottom"/>
            <w:tcBorders>
              <w:top w:val="single" w:sz="8" w:color="auto"/>
            </w:tcBorders>
          </w:tcPr>
          <w:p>
            <w:pPr>
              <w:spacing w:after="0"/>
              <w:rPr>
                <w:sz w:val="13"/>
                <w:szCs w:val="13"/>
                <w:color w:val="auto"/>
              </w:rPr>
            </w:pPr>
          </w:p>
        </w:tc>
        <w:tc>
          <w:tcPr>
            <w:tcW w:w="46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300" w:type="dxa"/>
            <w:vAlign w:val="bottom"/>
            <w:tcBorders>
              <w:top w:val="single" w:sz="8" w:color="auto"/>
            </w:tcBorders>
            <w:gridSpan w:val="2"/>
          </w:tcPr>
          <w:p>
            <w:pPr>
              <w:jc w:val="right"/>
              <w:spacing w:after="0"/>
              <w:rPr>
                <w:sz w:val="20"/>
                <w:szCs w:val="20"/>
                <w:color w:val="auto"/>
              </w:rPr>
            </w:pPr>
            <w:r>
              <w:rPr>
                <w:rFonts w:ascii="Arial" w:cs="Arial" w:eastAsia="Arial" w:hAnsi="Arial"/>
                <w:sz w:val="8"/>
                <w:szCs w:val="8"/>
                <w:color w:val="auto"/>
              </w:rPr>
              <w:t>3.50%</w:t>
            </w:r>
          </w:p>
        </w:tc>
        <w:tc>
          <w:tcPr>
            <w:tcW w:w="100" w:type="dxa"/>
            <w:vAlign w:val="bottom"/>
            <w:tcBorders>
              <w:top w:val="single" w:sz="8" w:color="CCEEFF"/>
            </w:tcBorders>
          </w:tcPr>
          <w:p>
            <w:pPr>
              <w:spacing w:after="0"/>
              <w:rPr>
                <w:sz w:val="13"/>
                <w:szCs w:val="13"/>
                <w:color w:val="auto"/>
              </w:rPr>
            </w:pPr>
          </w:p>
        </w:tc>
        <w:tc>
          <w:tcPr>
            <w:tcW w:w="860" w:type="dxa"/>
            <w:vAlign w:val="bottom"/>
            <w:tcBorders>
              <w:top w:val="single" w:sz="8" w:color="auto"/>
            </w:tcBorders>
          </w:tcPr>
          <w:p>
            <w:pPr>
              <w:spacing w:after="0"/>
              <w:rPr>
                <w:sz w:val="13"/>
                <w:szCs w:val="13"/>
                <w:color w:val="auto"/>
              </w:rPr>
            </w:pPr>
          </w:p>
        </w:tc>
        <w:tc>
          <w:tcPr>
            <w:tcW w:w="280" w:type="dxa"/>
            <w:vAlign w:val="bottom"/>
            <w:tcBorders>
              <w:top w:val="single" w:sz="8" w:color="auto"/>
            </w:tcBorders>
            <w:gridSpan w:val="3"/>
          </w:tcPr>
          <w:p>
            <w:pPr>
              <w:jc w:val="right"/>
              <w:spacing w:after="0"/>
              <w:rPr>
                <w:sz w:val="20"/>
                <w:szCs w:val="20"/>
                <w:color w:val="auto"/>
              </w:rPr>
            </w:pPr>
            <w:r>
              <w:rPr>
                <w:rFonts w:ascii="Arial" w:cs="Arial" w:eastAsia="Arial" w:hAnsi="Arial"/>
                <w:sz w:val="8"/>
                <w:szCs w:val="8"/>
                <w:color w:val="auto"/>
                <w:w w:val="96"/>
              </w:rPr>
              <w:t>4.91%</w:t>
            </w:r>
          </w:p>
        </w:tc>
        <w:tc>
          <w:tcPr>
            <w:tcW w:w="100" w:type="dxa"/>
            <w:vAlign w:val="bottom"/>
            <w:tcBorders>
              <w:top w:val="single" w:sz="8" w:color="CCEEFF"/>
            </w:tcBorders>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8"/>
                <w:szCs w:val="8"/>
                <w:color w:val="auto"/>
              </w:rPr>
              <w:t>3.64%</w:t>
            </w:r>
          </w:p>
        </w:tc>
      </w:tr>
      <w:tr>
        <w:trPr>
          <w:trHeight w:val="186"/>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8"/>
                <w:szCs w:val="8"/>
                <w:color w:val="auto"/>
              </w:rPr>
              <w:t xml:space="preserve">Weighted average yield as of September 30, 2016 </w:t>
            </w:r>
            <w:r>
              <w:rPr>
                <w:rFonts w:ascii="Arial" w:cs="Arial" w:eastAsia="Arial" w:hAnsi="Arial"/>
                <w:sz w:val="5"/>
                <w:szCs w:val="5"/>
                <w:color w:val="auto"/>
              </w:rPr>
              <w:t>3</w:t>
            </w:r>
          </w:p>
        </w:tc>
        <w:tc>
          <w:tcPr>
            <w:tcW w:w="200" w:type="dxa"/>
            <w:vAlign w:val="bottom"/>
            <w:shd w:val="clear" w:color="auto" w:fill="CCEEFF"/>
          </w:tcPr>
          <w:p>
            <w:pPr>
              <w:spacing w:after="0"/>
              <w:rPr>
                <w:sz w:val="16"/>
                <w:szCs w:val="16"/>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8"/>
                <w:szCs w:val="8"/>
                <w:color w:val="auto"/>
              </w:rPr>
              <w:t>2.68%</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980" w:type="dxa"/>
            <w:vAlign w:val="bottom"/>
            <w:gridSpan w:val="3"/>
            <w:shd w:val="clear" w:color="auto" w:fill="CCEEFF"/>
          </w:tcPr>
          <w:p>
            <w:pPr>
              <w:jc w:val="right"/>
              <w:spacing w:after="0"/>
              <w:rPr>
                <w:sz w:val="20"/>
                <w:szCs w:val="20"/>
                <w:color w:val="auto"/>
              </w:rPr>
            </w:pPr>
            <w:r>
              <w:rPr>
                <w:rFonts w:ascii="Arial" w:cs="Arial" w:eastAsia="Arial" w:hAnsi="Arial"/>
                <w:sz w:val="8"/>
                <w:szCs w:val="8"/>
                <w:color w:val="auto"/>
              </w:rPr>
              <w:t>2.67%</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8"/>
                <w:szCs w:val="8"/>
                <w:color w:val="auto"/>
              </w:rPr>
              <w:t>1.96%</w:t>
            </w: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4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8"/>
                <w:szCs w:val="8"/>
                <w:color w:val="auto"/>
              </w:rPr>
              <w:t>3.00%</w:t>
            </w:r>
          </w:p>
        </w:tc>
        <w:tc>
          <w:tcPr>
            <w:tcW w:w="10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280" w:type="dxa"/>
            <w:vAlign w:val="bottom"/>
            <w:gridSpan w:val="3"/>
            <w:shd w:val="clear" w:color="auto" w:fill="CCEEFF"/>
          </w:tcPr>
          <w:p>
            <w:pPr>
              <w:jc w:val="right"/>
              <w:spacing w:after="0"/>
              <w:rPr>
                <w:sz w:val="20"/>
                <w:szCs w:val="20"/>
                <w:color w:val="auto"/>
              </w:rPr>
            </w:pPr>
            <w:r>
              <w:rPr>
                <w:rFonts w:ascii="Arial" w:cs="Arial" w:eastAsia="Arial" w:hAnsi="Arial"/>
                <w:sz w:val="8"/>
                <w:szCs w:val="8"/>
                <w:color w:val="auto"/>
                <w:w w:val="96"/>
              </w:rPr>
              <w:t>4.85%</w:t>
            </w: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8"/>
                <w:szCs w:val="8"/>
                <w:color w:val="auto"/>
              </w:rPr>
              <w:t>2.68%</w:t>
            </w:r>
          </w:p>
        </w:tc>
      </w:tr>
      <w:tr>
        <w:trPr>
          <w:trHeight w:val="140"/>
        </w:trPr>
        <w:tc>
          <w:tcPr>
            <w:tcW w:w="3900" w:type="dxa"/>
            <w:vAlign w:val="bottom"/>
          </w:tcPr>
          <w:p>
            <w:pPr>
              <w:ind w:left="20"/>
              <w:spacing w:after="0"/>
              <w:rPr>
                <w:sz w:val="20"/>
                <w:szCs w:val="20"/>
                <w:color w:val="auto"/>
              </w:rPr>
            </w:pPr>
            <w:r>
              <w:rPr>
                <w:rFonts w:ascii="Arial" w:cs="Arial" w:eastAsia="Arial" w:hAnsi="Arial"/>
                <w:sz w:val="12"/>
                <w:szCs w:val="12"/>
                <w:color w:val="auto"/>
              </w:rPr>
              <w:t>________________________</w:t>
            </w: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80" w:type="dxa"/>
            <w:vAlign w:val="bottom"/>
          </w:tcPr>
          <w:p>
            <w:pPr>
              <w:spacing w:after="0"/>
              <w:rPr>
                <w:sz w:val="12"/>
                <w:szCs w:val="12"/>
                <w:color w:val="auto"/>
              </w:rPr>
            </w:pPr>
          </w:p>
        </w:tc>
      </w:tr>
    </w:tbl>
    <w:p>
      <w:pPr>
        <w:ind w:left="420" w:hanging="212"/>
        <w:spacing w:after="0" w:line="236" w:lineRule="auto"/>
        <w:tabs>
          <w:tab w:leader="none" w:pos="420" w:val="left"/>
        </w:tabs>
        <w:numPr>
          <w:ilvl w:val="0"/>
          <w:numId w:val="1"/>
        </w:numPr>
        <w:rPr>
          <w:rFonts w:ascii="Arial" w:cs="Arial" w:eastAsia="Arial" w:hAnsi="Arial"/>
          <w:sz w:val="10"/>
          <w:szCs w:val="10"/>
          <w:color w:val="auto"/>
        </w:rPr>
      </w:pPr>
      <w:r>
        <w:rPr>
          <w:rFonts w:ascii="Arial" w:cs="Arial" w:eastAsia="Arial" w:hAnsi="Arial"/>
          <w:sz w:val="10"/>
          <w:szCs w:val="10"/>
          <w:color w:val="auto"/>
        </w:rPr>
        <w:t>Securities measured at fair value through earnings includes agency interest-only and principal-only securities.</w:t>
      </w:r>
    </w:p>
    <w:p>
      <w:pPr>
        <w:spacing w:after="0" w:line="153"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11</w:t>
      </w:r>
    </w:p>
    <w:p>
      <w:pPr>
        <w:sectPr>
          <w:pgSz w:w="11900" w:h="16838" w:orient="portrait"/>
          <w:cols w:equalWidth="0" w:num="1">
            <w:col w:w="11480"/>
          </w:cols>
          <w:pgMar w:left="220" w:top="545" w:right="199" w:bottom="1440" w:gutter="0" w:footer="0" w:header="0"/>
        </w:sectPr>
      </w:pPr>
    </w:p>
    <w:bookmarkStart w:id="12" w:name="page13"/>
    <w:bookmarkEnd w:id="12"/>
    <w:p>
      <w:pPr>
        <w:ind w:left="420" w:hanging="212"/>
        <w:spacing w:after="0"/>
        <w:tabs>
          <w:tab w:leader="none" w:pos="420" w:val="left"/>
        </w:tabs>
        <w:numPr>
          <w:ilvl w:val="0"/>
          <w:numId w:val="2"/>
        </w:numPr>
        <w:rPr>
          <w:rFonts w:ascii="Arial" w:cs="Arial" w:eastAsia="Arial" w:hAnsi="Arial"/>
          <w:sz w:val="10"/>
          <w:szCs w:val="10"/>
          <w:color w:val="auto"/>
        </w:rPr>
      </w:pPr>
      <w:r>
        <w:rPr>
          <w:rFonts w:ascii="Arial" w:cs="Arial" w:eastAsia="Arial" w:hAnsi="Arial"/>
          <w:sz w:val="10"/>
          <w:szCs w:val="10"/>
          <w:color w:val="auto"/>
        </w:rPr>
        <w:t>Par value amount excludes the underlying unamortized principal balance ("UPB") of interest-only securities of $1.0 billion as of September 30, 2016.</w:t>
      </w:r>
    </w:p>
    <w:p>
      <w:pPr>
        <w:spacing w:after="0" w:line="1" w:lineRule="exact"/>
        <w:rPr>
          <w:rFonts w:ascii="Arial" w:cs="Arial" w:eastAsia="Arial" w:hAnsi="Arial"/>
          <w:sz w:val="10"/>
          <w:szCs w:val="10"/>
          <w:color w:val="auto"/>
        </w:rPr>
      </w:pPr>
    </w:p>
    <w:p>
      <w:pPr>
        <w:ind w:left="420" w:hanging="212"/>
        <w:spacing w:after="0" w:line="236" w:lineRule="auto"/>
        <w:tabs>
          <w:tab w:leader="none" w:pos="420" w:val="left"/>
        </w:tabs>
        <w:numPr>
          <w:ilvl w:val="0"/>
          <w:numId w:val="2"/>
        </w:numPr>
        <w:rPr>
          <w:rFonts w:ascii="Arial" w:cs="Arial" w:eastAsia="Arial" w:hAnsi="Arial"/>
          <w:sz w:val="10"/>
          <w:szCs w:val="10"/>
          <w:color w:val="auto"/>
        </w:rPr>
      </w:pPr>
      <w:r>
        <w:rPr>
          <w:rFonts w:ascii="Arial" w:cs="Arial" w:eastAsia="Arial" w:hAnsi="Arial"/>
          <w:sz w:val="10"/>
          <w:szCs w:val="10"/>
          <w:color w:val="auto"/>
        </w:rPr>
        <w:t>Incorporates a weighted average future constant prepayment rate assumption of 11% based on forward rates as of September 30, 2016.</w:t>
      </w: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4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240" w:type="dxa"/>
            <w:vAlign w:val="bottom"/>
            <w:tcBorders>
              <w:bottom w:val="single" w:sz="8" w:color="auto"/>
            </w:tcBorders>
            <w:gridSpan w:val="2"/>
          </w:tcPr>
          <w:p>
            <w:pPr>
              <w:ind w:left="80"/>
              <w:spacing w:after="0"/>
              <w:rPr>
                <w:sz w:val="20"/>
                <w:szCs w:val="20"/>
                <w:color w:val="auto"/>
              </w:rPr>
            </w:pPr>
            <w:r>
              <w:rPr>
                <w:rFonts w:ascii="Arial" w:cs="Arial" w:eastAsia="Arial" w:hAnsi="Arial"/>
                <w:sz w:val="10"/>
                <w:szCs w:val="10"/>
                <w:b w:val="1"/>
                <w:bCs w:val="1"/>
                <w:color w:val="auto"/>
              </w:rPr>
              <w:t>December 31, 2015</w:t>
            </w:r>
          </w:p>
        </w:tc>
        <w:tc>
          <w:tcPr>
            <w:tcW w:w="94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960" w:type="dxa"/>
            <w:vAlign w:val="bottom"/>
            <w:tcBorders>
              <w:bottom w:val="single" w:sz="8" w:color="auto"/>
            </w:tcBorders>
          </w:tcPr>
          <w:p>
            <w:pPr>
              <w:spacing w:after="0"/>
              <w:rPr>
                <w:sz w:val="11"/>
                <w:szCs w:val="11"/>
                <w:color w:val="auto"/>
              </w:rPr>
            </w:pPr>
          </w:p>
        </w:tc>
      </w:tr>
      <w:tr>
        <w:trPr>
          <w:trHeight w:val="169"/>
        </w:trPr>
        <w:tc>
          <w:tcPr>
            <w:tcW w:w="46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Investment Securities</w:t>
            </w:r>
          </w:p>
        </w:tc>
        <w:tc>
          <w:tcPr>
            <w:tcW w:w="12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jc w:val="right"/>
              <w:ind w:right="338"/>
              <w:spacing w:after="0"/>
              <w:rPr>
                <w:sz w:val="20"/>
                <w:szCs w:val="20"/>
                <w:color w:val="auto"/>
              </w:rPr>
            </w:pPr>
            <w:r>
              <w:rPr>
                <w:rFonts w:ascii="Arial" w:cs="Arial" w:eastAsia="Arial" w:hAnsi="Arial"/>
                <w:sz w:val="10"/>
                <w:szCs w:val="10"/>
                <w:b w:val="1"/>
                <w:bCs w:val="1"/>
                <w:color w:val="auto"/>
              </w:rPr>
              <w:t>Fannie Mae</w:t>
            </w:r>
          </w:p>
        </w:tc>
        <w:tc>
          <w:tcPr>
            <w:tcW w:w="12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jc w:val="right"/>
              <w:ind w:right="318"/>
              <w:spacing w:after="0"/>
              <w:rPr>
                <w:sz w:val="20"/>
                <w:szCs w:val="20"/>
                <w:color w:val="auto"/>
              </w:rPr>
            </w:pPr>
            <w:r>
              <w:rPr>
                <w:rFonts w:ascii="Arial" w:cs="Arial" w:eastAsia="Arial" w:hAnsi="Arial"/>
                <w:sz w:val="10"/>
                <w:szCs w:val="10"/>
                <w:b w:val="1"/>
                <w:bCs w:val="1"/>
                <w:color w:val="auto"/>
              </w:rPr>
              <w:t>Freddie Mac</w:t>
            </w:r>
          </w:p>
        </w:tc>
        <w:tc>
          <w:tcPr>
            <w:tcW w:w="1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120" w:type="dxa"/>
            <w:vAlign w:val="bottom"/>
            <w:tcBorders>
              <w:bottom w:val="single" w:sz="8" w:color="auto"/>
            </w:tcBorders>
          </w:tcPr>
          <w:p>
            <w:pPr>
              <w:jc w:val="right"/>
              <w:ind w:right="357"/>
              <w:spacing w:after="0"/>
              <w:rPr>
                <w:sz w:val="20"/>
                <w:szCs w:val="20"/>
                <w:color w:val="auto"/>
              </w:rPr>
            </w:pPr>
            <w:r>
              <w:rPr>
                <w:rFonts w:ascii="Arial" w:cs="Arial" w:eastAsia="Arial" w:hAnsi="Arial"/>
                <w:sz w:val="10"/>
                <w:szCs w:val="10"/>
                <w:b w:val="1"/>
                <w:bCs w:val="1"/>
                <w:color w:val="auto"/>
              </w:rPr>
              <w:t>Ginnie Mae</w:t>
            </w:r>
          </w:p>
        </w:tc>
        <w:tc>
          <w:tcPr>
            <w:tcW w:w="120" w:type="dxa"/>
            <w:vAlign w:val="bottom"/>
            <w:tcBorders>
              <w:bottom w:val="single" w:sz="8" w:color="CCEEFF"/>
            </w:tcBorders>
          </w:tcPr>
          <w:p>
            <w:pPr>
              <w:spacing w:after="0"/>
              <w:rPr>
                <w:sz w:val="14"/>
                <w:szCs w:val="14"/>
                <w:color w:val="auto"/>
              </w:rPr>
            </w:pPr>
          </w:p>
        </w:tc>
        <w:tc>
          <w:tcPr>
            <w:tcW w:w="940" w:type="dxa"/>
            <w:vAlign w:val="bottom"/>
            <w:tcBorders>
              <w:bottom w:val="single" w:sz="8" w:color="auto"/>
            </w:tcBorders>
          </w:tcPr>
          <w:p>
            <w:pPr>
              <w:jc w:val="right"/>
              <w:ind w:right="16"/>
              <w:spacing w:after="0"/>
              <w:rPr>
                <w:sz w:val="20"/>
                <w:szCs w:val="20"/>
                <w:color w:val="auto"/>
              </w:rPr>
            </w:pPr>
            <w:r>
              <w:rPr>
                <w:rFonts w:ascii="Arial" w:cs="Arial" w:eastAsia="Arial" w:hAnsi="Arial"/>
                <w:sz w:val="10"/>
                <w:szCs w:val="10"/>
                <w:b w:val="1"/>
                <w:bCs w:val="1"/>
                <w:color w:val="auto"/>
              </w:rPr>
              <w:t>Non-Agency</w:t>
            </w:r>
          </w:p>
        </w:tc>
        <w:tc>
          <w:tcPr>
            <w:tcW w:w="300" w:type="dxa"/>
            <w:vAlign w:val="bottom"/>
            <w:tcBorders>
              <w:bottom w:val="single" w:sz="8" w:color="auto"/>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tcPr>
          <w:p>
            <w:pPr>
              <w:jc w:val="right"/>
              <w:ind w:right="478"/>
              <w:spacing w:after="0"/>
              <w:rPr>
                <w:sz w:val="20"/>
                <w:szCs w:val="20"/>
                <w:color w:val="auto"/>
              </w:rPr>
            </w:pPr>
            <w:r>
              <w:rPr>
                <w:rFonts w:ascii="Arial" w:cs="Arial" w:eastAsia="Arial" w:hAnsi="Arial"/>
                <w:sz w:val="10"/>
                <w:szCs w:val="10"/>
                <w:b w:val="1"/>
                <w:bCs w:val="1"/>
                <w:color w:val="auto"/>
              </w:rPr>
              <w:t>Total</w:t>
            </w:r>
          </w:p>
        </w:tc>
      </w:tr>
      <w:tr>
        <w:trPr>
          <w:trHeight w:val="173"/>
        </w:trPr>
        <w:tc>
          <w:tcPr>
            <w:tcW w:w="4720" w:type="dxa"/>
            <w:vAlign w:val="bottom"/>
            <w:gridSpan w:val="2"/>
            <w:shd w:val="clear" w:color="auto" w:fill="CCEEFF"/>
          </w:tcPr>
          <w:p>
            <w:pPr>
              <w:ind w:left="20"/>
              <w:spacing w:after="0"/>
              <w:rPr>
                <w:sz w:val="20"/>
                <w:szCs w:val="20"/>
                <w:color w:val="auto"/>
              </w:rPr>
            </w:pPr>
            <w:r>
              <w:rPr>
                <w:rFonts w:ascii="Arial" w:cs="Arial" w:eastAsia="Arial" w:hAnsi="Arial"/>
                <w:sz w:val="8"/>
                <w:szCs w:val="8"/>
                <w:color w:val="auto"/>
              </w:rPr>
              <w:t>Available-for-sale securities:</w:t>
            </w:r>
          </w:p>
        </w:tc>
        <w:tc>
          <w:tcPr>
            <w:tcW w:w="22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r>
      <w:tr>
        <w:trPr>
          <w:trHeight w:val="174"/>
        </w:trPr>
        <w:tc>
          <w:tcPr>
            <w:tcW w:w="4720" w:type="dxa"/>
            <w:vAlign w:val="bottom"/>
            <w:gridSpan w:val="2"/>
          </w:tcPr>
          <w:p>
            <w:pPr>
              <w:ind w:left="780"/>
              <w:spacing w:after="0"/>
              <w:rPr>
                <w:sz w:val="20"/>
                <w:szCs w:val="20"/>
                <w:color w:val="auto"/>
              </w:rPr>
            </w:pPr>
            <w:r>
              <w:rPr>
                <w:rFonts w:ascii="Arial" w:cs="Arial" w:eastAsia="Arial" w:hAnsi="Arial"/>
                <w:sz w:val="8"/>
                <w:szCs w:val="8"/>
                <w:color w:val="auto"/>
              </w:rPr>
              <w:t>Par value</w:t>
            </w:r>
          </w:p>
        </w:tc>
        <w:tc>
          <w:tcPr>
            <w:tcW w:w="220" w:type="dxa"/>
            <w:vAlign w:val="bottom"/>
          </w:tcPr>
          <w:p>
            <w:pPr>
              <w:jc w:val="right"/>
              <w:ind w:right="118"/>
              <w:spacing w:after="0"/>
              <w:rPr>
                <w:sz w:val="20"/>
                <w:szCs w:val="20"/>
                <w:color w:val="auto"/>
              </w:rPr>
            </w:pPr>
            <w:r>
              <w:rPr>
                <w:rFonts w:ascii="Arial" w:cs="Arial" w:eastAsia="Arial" w:hAnsi="Arial"/>
                <w:sz w:val="8"/>
                <w:szCs w:val="8"/>
                <w:color w:val="auto"/>
                <w:w w:val="88"/>
              </w:rPr>
              <w:t>$</w:t>
            </w:r>
          </w:p>
        </w:tc>
        <w:tc>
          <w:tcPr>
            <w:tcW w:w="1040" w:type="dxa"/>
            <w:vAlign w:val="bottom"/>
          </w:tcPr>
          <w:p>
            <w:pPr>
              <w:jc w:val="right"/>
              <w:ind w:right="78"/>
              <w:spacing w:after="0"/>
              <w:rPr>
                <w:sz w:val="20"/>
                <w:szCs w:val="20"/>
                <w:color w:val="auto"/>
              </w:rPr>
            </w:pPr>
            <w:r>
              <w:rPr>
                <w:rFonts w:ascii="Arial" w:cs="Arial" w:eastAsia="Arial" w:hAnsi="Arial"/>
                <w:sz w:val="8"/>
                <w:szCs w:val="8"/>
                <w:color w:val="auto"/>
              </w:rPr>
              <w:t>39,205</w:t>
            </w:r>
          </w:p>
        </w:tc>
        <w:tc>
          <w:tcPr>
            <w:tcW w:w="120" w:type="dxa"/>
            <w:vAlign w:val="bottom"/>
          </w:tcPr>
          <w:p>
            <w:pPr>
              <w:spacing w:after="0"/>
              <w:rPr>
                <w:sz w:val="15"/>
                <w:szCs w:val="15"/>
                <w:color w:val="auto"/>
              </w:rPr>
            </w:pPr>
          </w:p>
        </w:tc>
        <w:tc>
          <w:tcPr>
            <w:tcW w:w="220" w:type="dxa"/>
            <w:vAlign w:val="bottom"/>
          </w:tcPr>
          <w:p>
            <w:pPr>
              <w:jc w:val="right"/>
              <w:ind w:right="118"/>
              <w:spacing w:after="0"/>
              <w:rPr>
                <w:sz w:val="20"/>
                <w:szCs w:val="20"/>
                <w:color w:val="auto"/>
              </w:rPr>
            </w:pPr>
            <w:r>
              <w:rPr>
                <w:rFonts w:ascii="Arial" w:cs="Arial" w:eastAsia="Arial" w:hAnsi="Arial"/>
                <w:sz w:val="8"/>
                <w:szCs w:val="8"/>
                <w:color w:val="auto"/>
                <w:w w:val="88"/>
              </w:rPr>
              <w:t>$</w:t>
            </w:r>
          </w:p>
        </w:tc>
        <w:tc>
          <w:tcPr>
            <w:tcW w:w="1040" w:type="dxa"/>
            <w:vAlign w:val="bottom"/>
          </w:tcPr>
          <w:p>
            <w:pPr>
              <w:jc w:val="right"/>
              <w:ind w:right="58"/>
              <w:spacing w:after="0"/>
              <w:rPr>
                <w:sz w:val="20"/>
                <w:szCs w:val="20"/>
                <w:color w:val="auto"/>
              </w:rPr>
            </w:pPr>
            <w:r>
              <w:rPr>
                <w:rFonts w:ascii="Arial" w:cs="Arial" w:eastAsia="Arial" w:hAnsi="Arial"/>
                <w:sz w:val="8"/>
                <w:szCs w:val="8"/>
                <w:color w:val="auto"/>
              </w:rPr>
              <w:t>10,575</w:t>
            </w:r>
          </w:p>
        </w:tc>
        <w:tc>
          <w:tcPr>
            <w:tcW w:w="120" w:type="dxa"/>
            <w:vAlign w:val="bottom"/>
          </w:tcPr>
          <w:p>
            <w:pPr>
              <w:spacing w:after="0"/>
              <w:rPr>
                <w:sz w:val="15"/>
                <w:szCs w:val="15"/>
                <w:color w:val="auto"/>
              </w:rPr>
            </w:pPr>
          </w:p>
        </w:tc>
        <w:tc>
          <w:tcPr>
            <w:tcW w:w="160" w:type="dxa"/>
            <w:vAlign w:val="bottom"/>
          </w:tcPr>
          <w:p>
            <w:pPr>
              <w:jc w:val="right"/>
              <w:ind w:right="58"/>
              <w:spacing w:after="0"/>
              <w:rPr>
                <w:sz w:val="20"/>
                <w:szCs w:val="20"/>
                <w:color w:val="auto"/>
              </w:rPr>
            </w:pPr>
            <w:r>
              <w:rPr>
                <w:rFonts w:ascii="Arial" w:cs="Arial" w:eastAsia="Arial" w:hAnsi="Arial"/>
                <w:sz w:val="8"/>
                <w:szCs w:val="8"/>
                <w:color w:val="auto"/>
                <w:w w:val="88"/>
              </w:rPr>
              <w:t>$</w:t>
            </w:r>
          </w:p>
        </w:tc>
        <w:tc>
          <w:tcPr>
            <w:tcW w:w="1120" w:type="dxa"/>
            <w:vAlign w:val="bottom"/>
          </w:tcPr>
          <w:p>
            <w:pPr>
              <w:jc w:val="right"/>
              <w:ind w:right="77"/>
              <w:spacing w:after="0"/>
              <w:rPr>
                <w:sz w:val="20"/>
                <w:szCs w:val="20"/>
                <w:color w:val="auto"/>
              </w:rPr>
            </w:pPr>
            <w:r>
              <w:rPr>
                <w:rFonts w:ascii="Arial" w:cs="Arial" w:eastAsia="Arial" w:hAnsi="Arial"/>
                <w:sz w:val="8"/>
                <w:szCs w:val="8"/>
                <w:color w:val="auto"/>
              </w:rPr>
              <w:t>62</w:t>
            </w:r>
          </w:p>
        </w:tc>
        <w:tc>
          <w:tcPr>
            <w:tcW w:w="120" w:type="dxa"/>
            <w:vAlign w:val="bottom"/>
          </w:tcPr>
          <w:p>
            <w:pPr>
              <w:spacing w:after="0"/>
              <w:rPr>
                <w:sz w:val="15"/>
                <w:szCs w:val="15"/>
                <w:color w:val="auto"/>
              </w:rPr>
            </w:pPr>
          </w:p>
        </w:tc>
        <w:tc>
          <w:tcPr>
            <w:tcW w:w="940" w:type="dxa"/>
            <w:vAlign w:val="bottom"/>
          </w:tcPr>
          <w:p>
            <w:pPr>
              <w:jc w:val="right"/>
              <w:ind w:right="836"/>
              <w:spacing w:after="0"/>
              <w:rPr>
                <w:sz w:val="20"/>
                <w:szCs w:val="20"/>
                <w:color w:val="auto"/>
              </w:rPr>
            </w:pPr>
            <w:r>
              <w:rPr>
                <w:rFonts w:ascii="Arial" w:cs="Arial" w:eastAsia="Arial" w:hAnsi="Arial"/>
                <w:sz w:val="8"/>
                <w:szCs w:val="8"/>
                <w:color w:val="auto"/>
                <w:w w:val="88"/>
              </w:rPr>
              <w:t>$</w:t>
            </w:r>
          </w:p>
        </w:tc>
        <w:tc>
          <w:tcPr>
            <w:tcW w:w="300" w:type="dxa"/>
            <w:vAlign w:val="bottom"/>
          </w:tcPr>
          <w:p>
            <w:pPr>
              <w:jc w:val="right"/>
              <w:ind w:right="58"/>
              <w:spacing w:after="0"/>
              <w:rPr>
                <w:sz w:val="20"/>
                <w:szCs w:val="20"/>
                <w:color w:val="auto"/>
              </w:rPr>
            </w:pPr>
            <w:r>
              <w:rPr>
                <w:rFonts w:ascii="Arial" w:cs="Arial" w:eastAsia="Arial" w:hAnsi="Arial"/>
                <w:sz w:val="8"/>
                <w:szCs w:val="8"/>
                <w:color w:val="auto"/>
              </w:rPr>
              <w:t>113</w:t>
            </w:r>
          </w:p>
        </w:tc>
        <w:tc>
          <w:tcPr>
            <w:tcW w:w="120" w:type="dxa"/>
            <w:vAlign w:val="bottom"/>
          </w:tcPr>
          <w:p>
            <w:pPr>
              <w:spacing w:after="0"/>
              <w:rPr>
                <w:sz w:val="15"/>
                <w:szCs w:val="15"/>
                <w:color w:val="auto"/>
              </w:rPr>
            </w:pPr>
          </w:p>
        </w:tc>
        <w:tc>
          <w:tcPr>
            <w:tcW w:w="280" w:type="dxa"/>
            <w:vAlign w:val="bottom"/>
          </w:tcPr>
          <w:p>
            <w:pPr>
              <w:jc w:val="right"/>
              <w:ind w:right="178"/>
              <w:spacing w:after="0"/>
              <w:rPr>
                <w:sz w:val="20"/>
                <w:szCs w:val="20"/>
                <w:color w:val="auto"/>
              </w:rPr>
            </w:pPr>
            <w:r>
              <w:rPr>
                <w:rFonts w:ascii="Arial" w:cs="Arial" w:eastAsia="Arial" w:hAnsi="Arial"/>
                <w:sz w:val="8"/>
                <w:szCs w:val="8"/>
                <w:color w:val="auto"/>
                <w:w w:val="88"/>
              </w:rPr>
              <w:t>$</w:t>
            </w: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49,955</w:t>
            </w:r>
          </w:p>
        </w:tc>
      </w:tr>
      <w:tr>
        <w:trPr>
          <w:trHeight w:val="186"/>
        </w:trPr>
        <w:tc>
          <w:tcPr>
            <w:tcW w:w="4720" w:type="dxa"/>
            <w:vAlign w:val="bottom"/>
            <w:gridSpan w:val="2"/>
            <w:shd w:val="clear" w:color="auto" w:fill="CCEEFF"/>
          </w:tcPr>
          <w:p>
            <w:pPr>
              <w:ind w:left="780"/>
              <w:spacing w:after="0"/>
              <w:rPr>
                <w:sz w:val="20"/>
                <w:szCs w:val="20"/>
                <w:color w:val="auto"/>
              </w:rPr>
            </w:pPr>
            <w:r>
              <w:rPr>
                <w:rFonts w:ascii="Arial" w:cs="Arial" w:eastAsia="Arial" w:hAnsi="Arial"/>
                <w:sz w:val="8"/>
                <w:szCs w:val="8"/>
                <w:color w:val="auto"/>
              </w:rPr>
              <w:t>Unamortized discount</w:t>
            </w:r>
          </w:p>
        </w:tc>
        <w:tc>
          <w:tcPr>
            <w:tcW w:w="220" w:type="dxa"/>
            <w:vAlign w:val="bottom"/>
            <w:shd w:val="clear" w:color="auto" w:fill="CCEEFF"/>
          </w:tcPr>
          <w:p>
            <w:pPr>
              <w:spacing w:after="0"/>
              <w:rPr>
                <w:sz w:val="16"/>
                <w:szCs w:val="16"/>
                <w:color w:val="auto"/>
              </w:rPr>
            </w:pPr>
          </w:p>
        </w:tc>
        <w:tc>
          <w:tcPr>
            <w:tcW w:w="104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(32)</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04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(4)</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240" w:type="dxa"/>
            <w:vAlign w:val="bottom"/>
            <w:gridSpan w:val="2"/>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94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280" w:type="dxa"/>
            <w:vAlign w:val="bottom"/>
            <w:shd w:val="clear" w:color="auto" w:fill="CCEEFF"/>
          </w:tcPr>
          <w:p>
            <w:pPr>
              <w:spacing w:after="0"/>
              <w:rPr>
                <w:sz w:val="16"/>
                <w:szCs w:val="16"/>
                <w:color w:val="auto"/>
              </w:rPr>
            </w:pPr>
          </w:p>
        </w:tc>
        <w:tc>
          <w:tcPr>
            <w:tcW w:w="96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(36)</w:t>
            </w:r>
          </w:p>
        </w:tc>
      </w:tr>
      <w:tr>
        <w:trPr>
          <w:trHeight w:val="174"/>
        </w:trPr>
        <w:tc>
          <w:tcPr>
            <w:tcW w:w="4720" w:type="dxa"/>
            <w:vAlign w:val="bottom"/>
            <w:tcBorders>
              <w:bottom w:val="single" w:sz="8" w:color="CCEEFF"/>
            </w:tcBorders>
            <w:gridSpan w:val="2"/>
          </w:tcPr>
          <w:p>
            <w:pPr>
              <w:ind w:left="780"/>
              <w:spacing w:after="0"/>
              <w:rPr>
                <w:sz w:val="20"/>
                <w:szCs w:val="20"/>
                <w:color w:val="auto"/>
              </w:rPr>
            </w:pPr>
            <w:r>
              <w:rPr>
                <w:rFonts w:ascii="Arial" w:cs="Arial" w:eastAsia="Arial" w:hAnsi="Arial"/>
                <w:sz w:val="8"/>
                <w:szCs w:val="8"/>
                <w:color w:val="auto"/>
              </w:rPr>
              <w:t>Unamortized premium</w:t>
            </w:r>
          </w:p>
        </w:tc>
        <w:tc>
          <w:tcPr>
            <w:tcW w:w="220" w:type="dxa"/>
            <w:vAlign w:val="bottom"/>
            <w:tcBorders>
              <w:bottom w:val="single" w:sz="8" w:color="auto"/>
            </w:tcBorders>
          </w:tcPr>
          <w:p>
            <w:pPr>
              <w:spacing w:after="0"/>
              <w:rPr>
                <w:sz w:val="15"/>
                <w:szCs w:val="15"/>
                <w:color w:val="auto"/>
              </w:rPr>
            </w:pPr>
          </w:p>
        </w:tc>
        <w:tc>
          <w:tcPr>
            <w:tcW w:w="104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1,707</w:t>
            </w:r>
          </w:p>
        </w:tc>
        <w:tc>
          <w:tcPr>
            <w:tcW w:w="12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1040" w:type="dxa"/>
            <w:vAlign w:val="bottom"/>
            <w:tcBorders>
              <w:bottom w:val="single" w:sz="8" w:color="auto"/>
            </w:tcBorders>
          </w:tcPr>
          <w:p>
            <w:pPr>
              <w:jc w:val="right"/>
              <w:ind w:right="58"/>
              <w:spacing w:after="0"/>
              <w:rPr>
                <w:sz w:val="20"/>
                <w:szCs w:val="20"/>
                <w:color w:val="auto"/>
              </w:rPr>
            </w:pPr>
            <w:r>
              <w:rPr>
                <w:rFonts w:ascii="Arial" w:cs="Arial" w:eastAsia="Arial" w:hAnsi="Arial"/>
                <w:sz w:val="8"/>
                <w:szCs w:val="8"/>
                <w:color w:val="auto"/>
              </w:rPr>
              <w:t>519</w:t>
            </w:r>
          </w:p>
        </w:tc>
        <w:tc>
          <w:tcPr>
            <w:tcW w:w="12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1120" w:type="dxa"/>
            <w:vAlign w:val="bottom"/>
            <w:tcBorders>
              <w:bottom w:val="single" w:sz="8" w:color="auto"/>
            </w:tcBorders>
          </w:tcPr>
          <w:p>
            <w:pPr>
              <w:jc w:val="right"/>
              <w:ind w:right="77"/>
              <w:spacing w:after="0"/>
              <w:rPr>
                <w:sz w:val="20"/>
                <w:szCs w:val="20"/>
                <w:color w:val="auto"/>
              </w:rPr>
            </w:pPr>
            <w:r>
              <w:rPr>
                <w:rFonts w:ascii="Arial" w:cs="Arial" w:eastAsia="Arial" w:hAnsi="Arial"/>
                <w:sz w:val="8"/>
                <w:szCs w:val="8"/>
                <w:color w:val="auto"/>
              </w:rPr>
              <w:t>1</w:t>
            </w:r>
          </w:p>
        </w:tc>
        <w:tc>
          <w:tcPr>
            <w:tcW w:w="120" w:type="dxa"/>
            <w:vAlign w:val="bottom"/>
            <w:tcBorders>
              <w:bottom w:val="single" w:sz="8" w:color="CCEEFF"/>
            </w:tcBorders>
          </w:tcPr>
          <w:p>
            <w:pPr>
              <w:spacing w:after="0"/>
              <w:rPr>
                <w:sz w:val="15"/>
                <w:szCs w:val="15"/>
                <w:color w:val="auto"/>
              </w:rPr>
            </w:pPr>
          </w:p>
        </w:tc>
        <w:tc>
          <w:tcPr>
            <w:tcW w:w="94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tcPr>
          <w:p>
            <w:pPr>
              <w:jc w:val="right"/>
              <w:ind w:right="58"/>
              <w:spacing w:after="0"/>
              <w:rPr>
                <w:sz w:val="20"/>
                <w:szCs w:val="20"/>
                <w:color w:val="auto"/>
              </w:rPr>
            </w:pPr>
            <w:r>
              <w:rPr>
                <w:rFonts w:ascii="Arial" w:cs="Arial" w:eastAsia="Arial" w:hAnsi="Arial"/>
                <w:sz w:val="8"/>
                <w:szCs w:val="8"/>
                <w:color w:val="auto"/>
              </w:rPr>
              <w:t>1</w:t>
            </w:r>
          </w:p>
        </w:tc>
        <w:tc>
          <w:tcPr>
            <w:tcW w:w="120" w:type="dxa"/>
            <w:vAlign w:val="bottom"/>
            <w:tcBorders>
              <w:bottom w:val="single" w:sz="8" w:color="CCEEFF"/>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96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2,228</w:t>
            </w:r>
          </w:p>
        </w:tc>
      </w:tr>
      <w:tr>
        <w:trPr>
          <w:trHeight w:val="166"/>
        </w:trPr>
        <w:tc>
          <w:tcPr>
            <w:tcW w:w="4720" w:type="dxa"/>
            <w:vAlign w:val="bottom"/>
            <w:gridSpan w:val="2"/>
            <w:shd w:val="clear" w:color="auto" w:fill="CCEEFF"/>
          </w:tcPr>
          <w:p>
            <w:pPr>
              <w:ind w:left="160"/>
              <w:spacing w:after="0"/>
              <w:rPr>
                <w:sz w:val="20"/>
                <w:szCs w:val="20"/>
                <w:color w:val="auto"/>
              </w:rPr>
            </w:pPr>
            <w:r>
              <w:rPr>
                <w:rFonts w:ascii="Arial" w:cs="Arial" w:eastAsia="Arial" w:hAnsi="Arial"/>
                <w:sz w:val="8"/>
                <w:szCs w:val="8"/>
                <w:color w:val="auto"/>
              </w:rPr>
              <w:t>Amortized cost</w:t>
            </w:r>
          </w:p>
        </w:tc>
        <w:tc>
          <w:tcPr>
            <w:tcW w:w="220" w:type="dxa"/>
            <w:vAlign w:val="bottom"/>
            <w:shd w:val="clear" w:color="auto" w:fill="CCEEFF"/>
          </w:tcPr>
          <w:p>
            <w:pPr>
              <w:spacing w:after="0"/>
              <w:rPr>
                <w:sz w:val="14"/>
                <w:szCs w:val="14"/>
                <w:color w:val="auto"/>
              </w:rPr>
            </w:pPr>
          </w:p>
        </w:tc>
        <w:tc>
          <w:tcPr>
            <w:tcW w:w="104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40,880</w:t>
            </w:r>
          </w:p>
        </w:tc>
        <w:tc>
          <w:tcPr>
            <w:tcW w:w="1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04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11,090</w:t>
            </w: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12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63</w:t>
            </w:r>
          </w:p>
        </w:tc>
        <w:tc>
          <w:tcPr>
            <w:tcW w:w="120" w:type="dxa"/>
            <w:vAlign w:val="bottom"/>
            <w:shd w:val="clear" w:color="auto" w:fill="CCEEFF"/>
          </w:tcPr>
          <w:p>
            <w:pPr>
              <w:spacing w:after="0"/>
              <w:rPr>
                <w:sz w:val="14"/>
                <w:szCs w:val="14"/>
                <w:color w:val="auto"/>
              </w:rPr>
            </w:pPr>
          </w:p>
        </w:tc>
        <w:tc>
          <w:tcPr>
            <w:tcW w:w="940" w:type="dxa"/>
            <w:vAlign w:val="bottom"/>
            <w:shd w:val="clear" w:color="auto" w:fill="CCEEFF"/>
          </w:tcPr>
          <w:p>
            <w:pPr>
              <w:spacing w:after="0"/>
              <w:rPr>
                <w:sz w:val="14"/>
                <w:szCs w:val="14"/>
                <w:color w:val="auto"/>
              </w:rPr>
            </w:pPr>
          </w:p>
        </w:tc>
        <w:tc>
          <w:tcPr>
            <w:tcW w:w="30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114</w:t>
            </w:r>
          </w:p>
        </w:tc>
        <w:tc>
          <w:tcPr>
            <w:tcW w:w="12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96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52,147</w:t>
            </w:r>
          </w:p>
        </w:tc>
      </w:tr>
      <w:tr>
        <w:trPr>
          <w:trHeight w:val="174"/>
        </w:trPr>
        <w:tc>
          <w:tcPr>
            <w:tcW w:w="4720" w:type="dxa"/>
            <w:vAlign w:val="bottom"/>
            <w:gridSpan w:val="2"/>
          </w:tcPr>
          <w:p>
            <w:pPr>
              <w:ind w:left="780"/>
              <w:spacing w:after="0"/>
              <w:rPr>
                <w:sz w:val="20"/>
                <w:szCs w:val="20"/>
                <w:color w:val="auto"/>
              </w:rPr>
            </w:pPr>
            <w:r>
              <w:rPr>
                <w:rFonts w:ascii="Arial" w:cs="Arial" w:eastAsia="Arial" w:hAnsi="Arial"/>
                <w:sz w:val="8"/>
                <w:szCs w:val="8"/>
                <w:color w:val="auto"/>
              </w:rPr>
              <w:t>Gross unrealized gains</w:t>
            </w:r>
          </w:p>
        </w:tc>
        <w:tc>
          <w:tcPr>
            <w:tcW w:w="220" w:type="dxa"/>
            <w:vAlign w:val="bottom"/>
          </w:tcPr>
          <w:p>
            <w:pPr>
              <w:spacing w:after="0"/>
              <w:rPr>
                <w:sz w:val="15"/>
                <w:szCs w:val="15"/>
                <w:color w:val="auto"/>
              </w:rPr>
            </w:pPr>
          </w:p>
        </w:tc>
        <w:tc>
          <w:tcPr>
            <w:tcW w:w="1040" w:type="dxa"/>
            <w:vAlign w:val="bottom"/>
          </w:tcPr>
          <w:p>
            <w:pPr>
              <w:jc w:val="right"/>
              <w:ind w:right="78"/>
              <w:spacing w:after="0"/>
              <w:rPr>
                <w:sz w:val="20"/>
                <w:szCs w:val="20"/>
                <w:color w:val="auto"/>
              </w:rPr>
            </w:pPr>
            <w:r>
              <w:rPr>
                <w:rFonts w:ascii="Arial" w:cs="Arial" w:eastAsia="Arial" w:hAnsi="Arial"/>
                <w:sz w:val="8"/>
                <w:szCs w:val="8"/>
                <w:color w:val="auto"/>
              </w:rPr>
              <w:t>286</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40" w:type="dxa"/>
            <w:vAlign w:val="bottom"/>
          </w:tcPr>
          <w:p>
            <w:pPr>
              <w:jc w:val="right"/>
              <w:ind w:right="58"/>
              <w:spacing w:after="0"/>
              <w:rPr>
                <w:sz w:val="20"/>
                <w:szCs w:val="20"/>
                <w:color w:val="auto"/>
              </w:rPr>
            </w:pPr>
            <w:r>
              <w:rPr>
                <w:rFonts w:ascii="Arial" w:cs="Arial" w:eastAsia="Arial" w:hAnsi="Arial"/>
                <w:sz w:val="8"/>
                <w:szCs w:val="8"/>
                <w:color w:val="auto"/>
              </w:rPr>
              <w:t>80</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120" w:type="dxa"/>
            <w:vAlign w:val="bottom"/>
          </w:tcPr>
          <w:p>
            <w:pPr>
              <w:jc w:val="right"/>
              <w:ind w:right="77"/>
              <w:spacing w:after="0"/>
              <w:rPr>
                <w:sz w:val="20"/>
                <w:szCs w:val="20"/>
                <w:color w:val="auto"/>
              </w:rPr>
            </w:pPr>
            <w:r>
              <w:rPr>
                <w:rFonts w:ascii="Arial" w:cs="Arial" w:eastAsia="Arial" w:hAnsi="Arial"/>
                <w:sz w:val="8"/>
                <w:szCs w:val="8"/>
                <w:color w:val="auto"/>
              </w:rPr>
              <w:t>2</w:t>
            </w:r>
          </w:p>
        </w:tc>
        <w:tc>
          <w:tcPr>
            <w:tcW w:w="12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420" w:type="dxa"/>
            <w:vAlign w:val="bottom"/>
            <w:gridSpan w:val="2"/>
          </w:tcPr>
          <w:p>
            <w:pPr>
              <w:jc w:val="right"/>
              <w:ind w:right="220"/>
              <w:spacing w:after="0"/>
              <w:rPr>
                <w:sz w:val="20"/>
                <w:szCs w:val="20"/>
                <w:color w:val="auto"/>
              </w:rPr>
            </w:pPr>
            <w:r>
              <w:rPr>
                <w:rFonts w:ascii="Arial" w:cs="Arial" w:eastAsia="Arial" w:hAnsi="Arial"/>
                <w:sz w:val="8"/>
                <w:szCs w:val="8"/>
                <w:color w:val="auto"/>
              </w:rPr>
              <w:t>—</w:t>
            </w:r>
          </w:p>
        </w:tc>
        <w:tc>
          <w:tcPr>
            <w:tcW w:w="280" w:type="dxa"/>
            <w:vAlign w:val="bottom"/>
          </w:tcPr>
          <w:p>
            <w:pPr>
              <w:spacing w:after="0"/>
              <w:rPr>
                <w:sz w:val="15"/>
                <w:szCs w:val="15"/>
                <w:color w:val="auto"/>
              </w:rPr>
            </w:pP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368</w:t>
            </w:r>
          </w:p>
        </w:tc>
      </w:tr>
      <w:tr>
        <w:trPr>
          <w:trHeight w:val="180"/>
        </w:trPr>
        <w:tc>
          <w:tcPr>
            <w:tcW w:w="4720" w:type="dxa"/>
            <w:vAlign w:val="bottom"/>
            <w:gridSpan w:val="2"/>
            <w:shd w:val="clear" w:color="auto" w:fill="CCEEFF"/>
          </w:tcPr>
          <w:p>
            <w:pPr>
              <w:ind w:left="780"/>
              <w:spacing w:after="0"/>
              <w:rPr>
                <w:sz w:val="20"/>
                <w:szCs w:val="20"/>
                <w:color w:val="auto"/>
              </w:rPr>
            </w:pPr>
            <w:r>
              <w:rPr>
                <w:rFonts w:ascii="Arial" w:cs="Arial" w:eastAsia="Arial" w:hAnsi="Arial"/>
                <w:sz w:val="8"/>
                <w:szCs w:val="8"/>
                <w:color w:val="auto"/>
              </w:rPr>
              <w:t>Gross unrealized losses</w:t>
            </w:r>
          </w:p>
        </w:tc>
        <w:tc>
          <w:tcPr>
            <w:tcW w:w="220" w:type="dxa"/>
            <w:vAlign w:val="bottom"/>
            <w:shd w:val="clear" w:color="auto" w:fill="CCEEFF"/>
          </w:tcPr>
          <w:p>
            <w:pPr>
              <w:spacing w:after="0"/>
              <w:rPr>
                <w:sz w:val="15"/>
                <w:szCs w:val="15"/>
                <w:color w:val="auto"/>
              </w:rPr>
            </w:pPr>
          </w:p>
        </w:tc>
        <w:tc>
          <w:tcPr>
            <w:tcW w:w="104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(283)</w:t>
            </w:r>
          </w:p>
        </w:tc>
        <w:tc>
          <w:tcPr>
            <w:tcW w:w="12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04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(111)</w:t>
            </w:r>
          </w:p>
        </w:tc>
        <w:tc>
          <w:tcPr>
            <w:tcW w:w="1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240" w:type="dxa"/>
            <w:vAlign w:val="bottom"/>
            <w:gridSpan w:val="2"/>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940" w:type="dxa"/>
            <w:vAlign w:val="bottom"/>
            <w:shd w:val="clear" w:color="auto" w:fill="CCEEFF"/>
          </w:tcPr>
          <w:p>
            <w:pPr>
              <w:spacing w:after="0"/>
              <w:rPr>
                <w:sz w:val="15"/>
                <w:szCs w:val="15"/>
                <w:color w:val="auto"/>
              </w:rPr>
            </w:pPr>
          </w:p>
        </w:tc>
        <w:tc>
          <w:tcPr>
            <w:tcW w:w="30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(1)</w:t>
            </w:r>
          </w:p>
        </w:tc>
        <w:tc>
          <w:tcPr>
            <w:tcW w:w="12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96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(395)</w:t>
            </w:r>
          </w:p>
        </w:tc>
      </w:tr>
      <w:tr>
        <w:trPr>
          <w:trHeight w:val="160"/>
        </w:trPr>
        <w:tc>
          <w:tcPr>
            <w:tcW w:w="4720" w:type="dxa"/>
            <w:vAlign w:val="bottom"/>
            <w:tcBorders>
              <w:bottom w:val="single" w:sz="8" w:color="CCEEFF"/>
            </w:tcBorders>
            <w:gridSpan w:val="2"/>
          </w:tcPr>
          <w:p>
            <w:pPr>
              <w:ind w:left="20"/>
              <w:spacing w:after="0"/>
              <w:rPr>
                <w:sz w:val="20"/>
                <w:szCs w:val="20"/>
                <w:color w:val="auto"/>
              </w:rPr>
            </w:pPr>
            <w:r>
              <w:rPr>
                <w:rFonts w:ascii="Arial" w:cs="Arial" w:eastAsia="Arial" w:hAnsi="Arial"/>
                <w:sz w:val="8"/>
                <w:szCs w:val="8"/>
                <w:color w:val="auto"/>
              </w:rPr>
              <w:t>Total available-for-sale securities, at fair value</w:t>
            </w:r>
          </w:p>
        </w:tc>
        <w:tc>
          <w:tcPr>
            <w:tcW w:w="220" w:type="dxa"/>
            <w:vAlign w:val="bottom"/>
            <w:tcBorders>
              <w:top w:val="single" w:sz="8" w:color="auto"/>
              <w:bottom w:val="single" w:sz="8" w:color="auto"/>
            </w:tcBorders>
          </w:tcPr>
          <w:p>
            <w:pPr>
              <w:spacing w:after="0"/>
              <w:rPr>
                <w:sz w:val="13"/>
                <w:szCs w:val="13"/>
                <w:color w:val="auto"/>
              </w:rPr>
            </w:pPr>
          </w:p>
        </w:tc>
        <w:tc>
          <w:tcPr>
            <w:tcW w:w="1040" w:type="dxa"/>
            <w:vAlign w:val="bottom"/>
            <w:tcBorders>
              <w:top w:val="single" w:sz="8" w:color="auto"/>
              <w:bottom w:val="single" w:sz="8" w:color="auto"/>
            </w:tcBorders>
          </w:tcPr>
          <w:p>
            <w:pPr>
              <w:jc w:val="right"/>
              <w:ind w:right="78"/>
              <w:spacing w:after="0"/>
              <w:rPr>
                <w:sz w:val="20"/>
                <w:szCs w:val="20"/>
                <w:color w:val="auto"/>
              </w:rPr>
            </w:pPr>
            <w:r>
              <w:rPr>
                <w:rFonts w:ascii="Arial" w:cs="Arial" w:eastAsia="Arial" w:hAnsi="Arial"/>
                <w:sz w:val="8"/>
                <w:szCs w:val="8"/>
                <w:color w:val="auto"/>
              </w:rPr>
              <w:t>40,883</w:t>
            </w:r>
          </w:p>
        </w:tc>
        <w:tc>
          <w:tcPr>
            <w:tcW w:w="120" w:type="dxa"/>
            <w:vAlign w:val="bottom"/>
            <w:tcBorders>
              <w:bottom w:val="single" w:sz="8" w:color="CCEEFF"/>
            </w:tcBorders>
          </w:tcPr>
          <w:p>
            <w:pPr>
              <w:spacing w:after="0"/>
              <w:rPr>
                <w:sz w:val="13"/>
                <w:szCs w:val="13"/>
                <w:color w:val="auto"/>
              </w:rPr>
            </w:pPr>
          </w:p>
        </w:tc>
        <w:tc>
          <w:tcPr>
            <w:tcW w:w="220" w:type="dxa"/>
            <w:vAlign w:val="bottom"/>
            <w:tcBorders>
              <w:top w:val="single" w:sz="8" w:color="auto"/>
              <w:bottom w:val="single" w:sz="8" w:color="auto"/>
            </w:tcBorders>
          </w:tcPr>
          <w:p>
            <w:pPr>
              <w:spacing w:after="0"/>
              <w:rPr>
                <w:sz w:val="13"/>
                <w:szCs w:val="13"/>
                <w:color w:val="auto"/>
              </w:rPr>
            </w:pPr>
          </w:p>
        </w:tc>
        <w:tc>
          <w:tcPr>
            <w:tcW w:w="1040" w:type="dxa"/>
            <w:vAlign w:val="bottom"/>
            <w:tcBorders>
              <w:top w:val="single" w:sz="8" w:color="auto"/>
              <w:bottom w:val="single" w:sz="8" w:color="auto"/>
            </w:tcBorders>
          </w:tcPr>
          <w:p>
            <w:pPr>
              <w:jc w:val="right"/>
              <w:ind w:right="58"/>
              <w:spacing w:after="0"/>
              <w:rPr>
                <w:sz w:val="20"/>
                <w:szCs w:val="20"/>
                <w:color w:val="auto"/>
              </w:rPr>
            </w:pPr>
            <w:r>
              <w:rPr>
                <w:rFonts w:ascii="Arial" w:cs="Arial" w:eastAsia="Arial" w:hAnsi="Arial"/>
                <w:sz w:val="8"/>
                <w:szCs w:val="8"/>
                <w:color w:val="auto"/>
              </w:rPr>
              <w:t>11,059</w:t>
            </w:r>
          </w:p>
        </w:tc>
        <w:tc>
          <w:tcPr>
            <w:tcW w:w="120" w:type="dxa"/>
            <w:vAlign w:val="bottom"/>
            <w:tcBorders>
              <w:bottom w:val="single" w:sz="8" w:color="CCEEFF"/>
            </w:tcBorders>
          </w:tcPr>
          <w:p>
            <w:pPr>
              <w:spacing w:after="0"/>
              <w:rPr>
                <w:sz w:val="13"/>
                <w:szCs w:val="13"/>
                <w:color w:val="auto"/>
              </w:rPr>
            </w:pPr>
          </w:p>
        </w:tc>
        <w:tc>
          <w:tcPr>
            <w:tcW w:w="160" w:type="dxa"/>
            <w:vAlign w:val="bottom"/>
            <w:tcBorders>
              <w:top w:val="single" w:sz="8" w:color="auto"/>
              <w:bottom w:val="single" w:sz="8" w:color="auto"/>
            </w:tcBorders>
          </w:tcPr>
          <w:p>
            <w:pPr>
              <w:spacing w:after="0"/>
              <w:rPr>
                <w:sz w:val="13"/>
                <w:szCs w:val="13"/>
                <w:color w:val="auto"/>
              </w:rPr>
            </w:pPr>
          </w:p>
        </w:tc>
        <w:tc>
          <w:tcPr>
            <w:tcW w:w="1120" w:type="dxa"/>
            <w:vAlign w:val="bottom"/>
            <w:tcBorders>
              <w:top w:val="single" w:sz="8" w:color="auto"/>
              <w:bottom w:val="single" w:sz="8" w:color="auto"/>
            </w:tcBorders>
          </w:tcPr>
          <w:p>
            <w:pPr>
              <w:jc w:val="right"/>
              <w:ind w:right="77"/>
              <w:spacing w:after="0"/>
              <w:rPr>
                <w:sz w:val="20"/>
                <w:szCs w:val="20"/>
                <w:color w:val="auto"/>
              </w:rPr>
            </w:pPr>
            <w:r>
              <w:rPr>
                <w:rFonts w:ascii="Arial" w:cs="Arial" w:eastAsia="Arial" w:hAnsi="Arial"/>
                <w:sz w:val="8"/>
                <w:szCs w:val="8"/>
                <w:color w:val="auto"/>
              </w:rPr>
              <w:t>65</w:t>
            </w:r>
          </w:p>
        </w:tc>
        <w:tc>
          <w:tcPr>
            <w:tcW w:w="120" w:type="dxa"/>
            <w:vAlign w:val="bottom"/>
            <w:tcBorders>
              <w:bottom w:val="single" w:sz="8" w:color="CCEEFF"/>
            </w:tcBorders>
          </w:tcPr>
          <w:p>
            <w:pPr>
              <w:spacing w:after="0"/>
              <w:rPr>
                <w:sz w:val="13"/>
                <w:szCs w:val="13"/>
                <w:color w:val="auto"/>
              </w:rPr>
            </w:pPr>
          </w:p>
        </w:tc>
        <w:tc>
          <w:tcPr>
            <w:tcW w:w="940" w:type="dxa"/>
            <w:vAlign w:val="bottom"/>
            <w:tcBorders>
              <w:top w:val="single" w:sz="8" w:color="auto"/>
              <w:bottom w:val="single" w:sz="8" w:color="auto"/>
            </w:tcBorders>
          </w:tcPr>
          <w:p>
            <w:pPr>
              <w:spacing w:after="0"/>
              <w:rPr>
                <w:sz w:val="13"/>
                <w:szCs w:val="13"/>
                <w:color w:val="auto"/>
              </w:rPr>
            </w:pPr>
          </w:p>
        </w:tc>
        <w:tc>
          <w:tcPr>
            <w:tcW w:w="300" w:type="dxa"/>
            <w:vAlign w:val="bottom"/>
            <w:tcBorders>
              <w:top w:val="single" w:sz="8" w:color="auto"/>
              <w:bottom w:val="single" w:sz="8" w:color="auto"/>
            </w:tcBorders>
          </w:tcPr>
          <w:p>
            <w:pPr>
              <w:jc w:val="right"/>
              <w:ind w:right="58"/>
              <w:spacing w:after="0"/>
              <w:rPr>
                <w:sz w:val="20"/>
                <w:szCs w:val="20"/>
                <w:color w:val="auto"/>
              </w:rPr>
            </w:pPr>
            <w:r>
              <w:rPr>
                <w:rFonts w:ascii="Arial" w:cs="Arial" w:eastAsia="Arial" w:hAnsi="Arial"/>
                <w:sz w:val="8"/>
                <w:szCs w:val="8"/>
                <w:color w:val="auto"/>
              </w:rPr>
              <w:t>113</w:t>
            </w:r>
          </w:p>
        </w:tc>
        <w:tc>
          <w:tcPr>
            <w:tcW w:w="120" w:type="dxa"/>
            <w:vAlign w:val="bottom"/>
            <w:tcBorders>
              <w:bottom w:val="single" w:sz="8" w:color="CCEEFF"/>
            </w:tcBorders>
          </w:tcPr>
          <w:p>
            <w:pPr>
              <w:spacing w:after="0"/>
              <w:rPr>
                <w:sz w:val="13"/>
                <w:szCs w:val="13"/>
                <w:color w:val="auto"/>
              </w:rPr>
            </w:pPr>
          </w:p>
        </w:tc>
        <w:tc>
          <w:tcPr>
            <w:tcW w:w="280" w:type="dxa"/>
            <w:vAlign w:val="bottom"/>
            <w:tcBorders>
              <w:top w:val="single" w:sz="8" w:color="auto"/>
              <w:bottom w:val="single" w:sz="8" w:color="auto"/>
            </w:tcBorders>
          </w:tcPr>
          <w:p>
            <w:pPr>
              <w:spacing w:after="0"/>
              <w:rPr>
                <w:sz w:val="13"/>
                <w:szCs w:val="13"/>
                <w:color w:val="auto"/>
              </w:rPr>
            </w:pPr>
          </w:p>
        </w:tc>
        <w:tc>
          <w:tcPr>
            <w:tcW w:w="960" w:type="dxa"/>
            <w:vAlign w:val="bottom"/>
            <w:tcBorders>
              <w:top w:val="single" w:sz="8" w:color="auto"/>
              <w:bottom w:val="single" w:sz="8" w:color="auto"/>
            </w:tcBorders>
          </w:tcPr>
          <w:p>
            <w:pPr>
              <w:jc w:val="right"/>
              <w:ind w:right="78"/>
              <w:spacing w:after="0"/>
              <w:rPr>
                <w:sz w:val="20"/>
                <w:szCs w:val="20"/>
                <w:color w:val="auto"/>
              </w:rPr>
            </w:pPr>
            <w:r>
              <w:rPr>
                <w:rFonts w:ascii="Arial" w:cs="Arial" w:eastAsia="Arial" w:hAnsi="Arial"/>
                <w:sz w:val="8"/>
                <w:szCs w:val="8"/>
                <w:color w:val="auto"/>
              </w:rPr>
              <w:t>52,120</w:t>
            </w:r>
          </w:p>
        </w:tc>
      </w:tr>
      <w:tr>
        <w:trPr>
          <w:trHeight w:val="175"/>
        </w:trPr>
        <w:tc>
          <w:tcPr>
            <w:tcW w:w="4720" w:type="dxa"/>
            <w:vAlign w:val="bottom"/>
            <w:gridSpan w:val="2"/>
            <w:shd w:val="clear" w:color="auto" w:fill="CCEEFF"/>
          </w:tcPr>
          <w:p>
            <w:pPr>
              <w:ind w:left="20"/>
              <w:spacing w:after="0"/>
              <w:rPr>
                <w:sz w:val="20"/>
                <w:szCs w:val="20"/>
                <w:color w:val="auto"/>
              </w:rPr>
            </w:pPr>
            <w:r>
              <w:rPr>
                <w:rFonts w:ascii="Arial" w:cs="Arial" w:eastAsia="Arial" w:hAnsi="Arial"/>
                <w:sz w:val="8"/>
                <w:szCs w:val="8"/>
                <w:color w:val="auto"/>
              </w:rPr>
              <w:t xml:space="preserve">Securities remeasured at fair value through earnings: </w:t>
            </w:r>
            <w:r>
              <w:rPr>
                <w:rFonts w:ascii="Arial" w:cs="Arial" w:eastAsia="Arial" w:hAnsi="Arial"/>
                <w:sz w:val="5"/>
                <w:szCs w:val="5"/>
                <w:color w:val="auto"/>
              </w:rPr>
              <w:t>1</w:t>
            </w:r>
          </w:p>
        </w:tc>
        <w:tc>
          <w:tcPr>
            <w:tcW w:w="22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960" w:type="dxa"/>
            <w:vAlign w:val="bottom"/>
            <w:shd w:val="clear" w:color="auto" w:fill="CCEEFF"/>
          </w:tcPr>
          <w:p>
            <w:pPr>
              <w:spacing w:after="0"/>
              <w:rPr>
                <w:sz w:val="15"/>
                <w:szCs w:val="15"/>
                <w:color w:val="auto"/>
              </w:rPr>
            </w:pPr>
          </w:p>
        </w:tc>
      </w:tr>
      <w:tr>
        <w:trPr>
          <w:trHeight w:val="174"/>
        </w:trPr>
        <w:tc>
          <w:tcPr>
            <w:tcW w:w="4720" w:type="dxa"/>
            <w:vAlign w:val="bottom"/>
            <w:gridSpan w:val="2"/>
          </w:tcPr>
          <w:p>
            <w:pPr>
              <w:ind w:left="160"/>
              <w:spacing w:after="0"/>
              <w:rPr>
                <w:sz w:val="20"/>
                <w:szCs w:val="20"/>
                <w:color w:val="auto"/>
              </w:rPr>
            </w:pPr>
            <w:r>
              <w:rPr>
                <w:rFonts w:ascii="Arial" w:cs="Arial" w:eastAsia="Arial" w:hAnsi="Arial"/>
                <w:sz w:val="8"/>
                <w:szCs w:val="8"/>
                <w:color w:val="auto"/>
              </w:rPr>
              <w:t xml:space="preserve">Par value </w:t>
            </w:r>
            <w:r>
              <w:rPr>
                <w:rFonts w:ascii="Arial" w:cs="Arial" w:eastAsia="Arial" w:hAnsi="Arial"/>
                <w:sz w:val="5"/>
                <w:szCs w:val="5"/>
                <w:color w:val="auto"/>
              </w:rPr>
              <w:t>2</w:t>
            </w:r>
          </w:p>
        </w:tc>
        <w:tc>
          <w:tcPr>
            <w:tcW w:w="220" w:type="dxa"/>
            <w:vAlign w:val="bottom"/>
          </w:tcPr>
          <w:p>
            <w:pPr>
              <w:spacing w:after="0"/>
              <w:rPr>
                <w:sz w:val="15"/>
                <w:szCs w:val="15"/>
                <w:color w:val="auto"/>
              </w:rPr>
            </w:pPr>
          </w:p>
        </w:tc>
        <w:tc>
          <w:tcPr>
            <w:tcW w:w="1040" w:type="dxa"/>
            <w:vAlign w:val="bottom"/>
          </w:tcPr>
          <w:p>
            <w:pPr>
              <w:jc w:val="right"/>
              <w:ind w:right="78"/>
              <w:spacing w:after="0"/>
              <w:rPr>
                <w:sz w:val="20"/>
                <w:szCs w:val="20"/>
                <w:color w:val="auto"/>
              </w:rPr>
            </w:pPr>
            <w:r>
              <w:rPr>
                <w:rFonts w:ascii="Arial" w:cs="Arial" w:eastAsia="Arial" w:hAnsi="Arial"/>
                <w:sz w:val="8"/>
                <w:szCs w:val="8"/>
                <w:color w:val="auto"/>
              </w:rPr>
              <w:t>208</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160" w:type="dxa"/>
            <w:vAlign w:val="bottom"/>
            <w:gridSpan w:val="2"/>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tcPr>
          <w:p>
            <w:pPr>
              <w:spacing w:after="0"/>
              <w:rPr>
                <w:sz w:val="15"/>
                <w:szCs w:val="15"/>
                <w:color w:val="auto"/>
              </w:rPr>
            </w:pPr>
          </w:p>
        </w:tc>
        <w:tc>
          <w:tcPr>
            <w:tcW w:w="1240" w:type="dxa"/>
            <w:vAlign w:val="bottom"/>
            <w:gridSpan w:val="2"/>
          </w:tcPr>
          <w:p>
            <w:pPr>
              <w:jc w:val="right"/>
              <w:ind w:right="240"/>
              <w:spacing w:after="0"/>
              <w:rPr>
                <w:sz w:val="20"/>
                <w:szCs w:val="20"/>
                <w:color w:val="auto"/>
              </w:rPr>
            </w:pPr>
            <w:r>
              <w:rPr>
                <w:rFonts w:ascii="Arial" w:cs="Arial" w:eastAsia="Arial" w:hAnsi="Arial"/>
                <w:sz w:val="8"/>
                <w:szCs w:val="8"/>
                <w:color w:val="auto"/>
              </w:rPr>
              <w:t>—</w:t>
            </w:r>
          </w:p>
        </w:tc>
        <w:tc>
          <w:tcPr>
            <w:tcW w:w="940" w:type="dxa"/>
            <w:vAlign w:val="bottom"/>
          </w:tcPr>
          <w:p>
            <w:pPr>
              <w:spacing w:after="0"/>
              <w:rPr>
                <w:sz w:val="15"/>
                <w:szCs w:val="15"/>
                <w:color w:val="auto"/>
              </w:rPr>
            </w:pPr>
          </w:p>
        </w:tc>
        <w:tc>
          <w:tcPr>
            <w:tcW w:w="420" w:type="dxa"/>
            <w:vAlign w:val="bottom"/>
            <w:gridSpan w:val="2"/>
          </w:tcPr>
          <w:p>
            <w:pPr>
              <w:jc w:val="right"/>
              <w:ind w:right="220"/>
              <w:spacing w:after="0"/>
              <w:rPr>
                <w:sz w:val="20"/>
                <w:szCs w:val="20"/>
                <w:color w:val="auto"/>
              </w:rPr>
            </w:pPr>
            <w:r>
              <w:rPr>
                <w:rFonts w:ascii="Arial" w:cs="Arial" w:eastAsia="Arial" w:hAnsi="Arial"/>
                <w:sz w:val="8"/>
                <w:szCs w:val="8"/>
                <w:color w:val="auto"/>
              </w:rPr>
              <w:t>—</w:t>
            </w:r>
          </w:p>
        </w:tc>
        <w:tc>
          <w:tcPr>
            <w:tcW w:w="280" w:type="dxa"/>
            <w:vAlign w:val="bottom"/>
          </w:tcPr>
          <w:p>
            <w:pPr>
              <w:spacing w:after="0"/>
              <w:rPr>
                <w:sz w:val="15"/>
                <w:szCs w:val="15"/>
                <w:color w:val="auto"/>
              </w:rPr>
            </w:pP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208</w:t>
            </w:r>
          </w:p>
        </w:tc>
      </w:tr>
      <w:tr>
        <w:trPr>
          <w:trHeight w:val="186"/>
        </w:trPr>
        <w:tc>
          <w:tcPr>
            <w:tcW w:w="4720" w:type="dxa"/>
            <w:vAlign w:val="bottom"/>
            <w:gridSpan w:val="2"/>
            <w:shd w:val="clear" w:color="auto" w:fill="CCEEFF"/>
          </w:tcPr>
          <w:p>
            <w:pPr>
              <w:ind w:left="160"/>
              <w:spacing w:after="0"/>
              <w:rPr>
                <w:sz w:val="20"/>
                <w:szCs w:val="20"/>
                <w:color w:val="auto"/>
              </w:rPr>
            </w:pPr>
            <w:r>
              <w:rPr>
                <w:rFonts w:ascii="Arial" w:cs="Arial" w:eastAsia="Arial" w:hAnsi="Arial"/>
                <w:sz w:val="8"/>
                <w:szCs w:val="8"/>
                <w:color w:val="auto"/>
              </w:rPr>
              <w:t>Unamortized discount</w:t>
            </w:r>
          </w:p>
        </w:tc>
        <w:tc>
          <w:tcPr>
            <w:tcW w:w="220" w:type="dxa"/>
            <w:vAlign w:val="bottom"/>
            <w:shd w:val="clear" w:color="auto" w:fill="CCEEFF"/>
          </w:tcPr>
          <w:p>
            <w:pPr>
              <w:spacing w:after="0"/>
              <w:rPr>
                <w:sz w:val="16"/>
                <w:szCs w:val="16"/>
                <w:color w:val="auto"/>
              </w:rPr>
            </w:pPr>
          </w:p>
        </w:tc>
        <w:tc>
          <w:tcPr>
            <w:tcW w:w="104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(42)</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160" w:type="dxa"/>
            <w:vAlign w:val="bottom"/>
            <w:gridSpan w:val="2"/>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160" w:type="dxa"/>
            <w:vAlign w:val="bottom"/>
            <w:shd w:val="clear" w:color="auto" w:fill="CCEEFF"/>
          </w:tcPr>
          <w:p>
            <w:pPr>
              <w:spacing w:after="0"/>
              <w:rPr>
                <w:sz w:val="16"/>
                <w:szCs w:val="16"/>
                <w:color w:val="auto"/>
              </w:rPr>
            </w:pPr>
          </w:p>
        </w:tc>
        <w:tc>
          <w:tcPr>
            <w:tcW w:w="1240" w:type="dxa"/>
            <w:vAlign w:val="bottom"/>
            <w:gridSpan w:val="2"/>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94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280" w:type="dxa"/>
            <w:vAlign w:val="bottom"/>
            <w:shd w:val="clear" w:color="auto" w:fill="CCEEFF"/>
          </w:tcPr>
          <w:p>
            <w:pPr>
              <w:spacing w:after="0"/>
              <w:rPr>
                <w:sz w:val="16"/>
                <w:szCs w:val="16"/>
                <w:color w:val="auto"/>
              </w:rPr>
            </w:pPr>
          </w:p>
        </w:tc>
        <w:tc>
          <w:tcPr>
            <w:tcW w:w="96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rPr>
              <w:t>(42)</w:t>
            </w:r>
          </w:p>
        </w:tc>
      </w:tr>
      <w:tr>
        <w:trPr>
          <w:trHeight w:val="174"/>
        </w:trPr>
        <w:tc>
          <w:tcPr>
            <w:tcW w:w="4720" w:type="dxa"/>
            <w:vAlign w:val="bottom"/>
            <w:tcBorders>
              <w:bottom w:val="single" w:sz="8" w:color="CCEEFF"/>
            </w:tcBorders>
            <w:gridSpan w:val="2"/>
          </w:tcPr>
          <w:p>
            <w:pPr>
              <w:ind w:left="160"/>
              <w:spacing w:after="0"/>
              <w:rPr>
                <w:sz w:val="20"/>
                <w:szCs w:val="20"/>
                <w:color w:val="auto"/>
              </w:rPr>
            </w:pPr>
            <w:r>
              <w:rPr>
                <w:rFonts w:ascii="Arial" w:cs="Arial" w:eastAsia="Arial" w:hAnsi="Arial"/>
                <w:sz w:val="8"/>
                <w:szCs w:val="8"/>
                <w:color w:val="auto"/>
              </w:rPr>
              <w:t>Unamortized premium</w:t>
            </w:r>
          </w:p>
        </w:tc>
        <w:tc>
          <w:tcPr>
            <w:tcW w:w="220" w:type="dxa"/>
            <w:vAlign w:val="bottom"/>
            <w:tcBorders>
              <w:bottom w:val="single" w:sz="8" w:color="auto"/>
            </w:tcBorders>
          </w:tcPr>
          <w:p>
            <w:pPr>
              <w:spacing w:after="0"/>
              <w:rPr>
                <w:sz w:val="15"/>
                <w:szCs w:val="15"/>
                <w:color w:val="auto"/>
              </w:rPr>
            </w:pPr>
          </w:p>
        </w:tc>
        <w:tc>
          <w:tcPr>
            <w:tcW w:w="104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132</w:t>
            </w:r>
          </w:p>
        </w:tc>
        <w:tc>
          <w:tcPr>
            <w:tcW w:w="12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1040" w:type="dxa"/>
            <w:vAlign w:val="bottom"/>
            <w:tcBorders>
              <w:bottom w:val="single" w:sz="8" w:color="auto"/>
            </w:tcBorders>
          </w:tcPr>
          <w:p>
            <w:pPr>
              <w:jc w:val="right"/>
              <w:ind w:right="58"/>
              <w:spacing w:after="0"/>
              <w:rPr>
                <w:sz w:val="20"/>
                <w:szCs w:val="20"/>
                <w:color w:val="auto"/>
              </w:rPr>
            </w:pPr>
            <w:r>
              <w:rPr>
                <w:rFonts w:ascii="Arial" w:cs="Arial" w:eastAsia="Arial" w:hAnsi="Arial"/>
                <w:sz w:val="8"/>
                <w:szCs w:val="8"/>
                <w:color w:val="auto"/>
              </w:rPr>
              <w:t>19</w:t>
            </w:r>
          </w:p>
        </w:tc>
        <w:tc>
          <w:tcPr>
            <w:tcW w:w="12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1120" w:type="dxa"/>
            <w:vAlign w:val="bottom"/>
            <w:tcBorders>
              <w:bottom w:val="single" w:sz="8" w:color="auto"/>
            </w:tcBorders>
          </w:tcPr>
          <w:p>
            <w:pPr>
              <w:jc w:val="right"/>
              <w:ind w:right="77"/>
              <w:spacing w:after="0"/>
              <w:rPr>
                <w:sz w:val="20"/>
                <w:szCs w:val="20"/>
                <w:color w:val="auto"/>
              </w:rPr>
            </w:pPr>
            <w:r>
              <w:rPr>
                <w:rFonts w:ascii="Arial" w:cs="Arial" w:eastAsia="Arial" w:hAnsi="Arial"/>
                <w:sz w:val="8"/>
                <w:szCs w:val="8"/>
                <w:color w:val="auto"/>
              </w:rPr>
              <w:t>—</w:t>
            </w:r>
          </w:p>
        </w:tc>
        <w:tc>
          <w:tcPr>
            <w:tcW w:w="120" w:type="dxa"/>
            <w:vAlign w:val="bottom"/>
            <w:tcBorders>
              <w:bottom w:val="single" w:sz="8" w:color="CCEEFF"/>
            </w:tcBorders>
          </w:tcPr>
          <w:p>
            <w:pPr>
              <w:spacing w:after="0"/>
              <w:rPr>
                <w:sz w:val="15"/>
                <w:szCs w:val="15"/>
                <w:color w:val="auto"/>
              </w:rPr>
            </w:pPr>
          </w:p>
        </w:tc>
        <w:tc>
          <w:tcPr>
            <w:tcW w:w="94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tcPr>
          <w:p>
            <w:pPr>
              <w:jc w:val="right"/>
              <w:ind w:right="58"/>
              <w:spacing w:after="0"/>
              <w:rPr>
                <w:sz w:val="20"/>
                <w:szCs w:val="20"/>
                <w:color w:val="auto"/>
              </w:rPr>
            </w:pPr>
            <w:r>
              <w:rPr>
                <w:rFonts w:ascii="Arial" w:cs="Arial" w:eastAsia="Arial" w:hAnsi="Arial"/>
                <w:sz w:val="8"/>
                <w:szCs w:val="8"/>
                <w:color w:val="auto"/>
              </w:rPr>
              <w:t>—</w:t>
            </w:r>
          </w:p>
        </w:tc>
        <w:tc>
          <w:tcPr>
            <w:tcW w:w="120" w:type="dxa"/>
            <w:vAlign w:val="bottom"/>
            <w:tcBorders>
              <w:bottom w:val="single" w:sz="8" w:color="CCEEFF"/>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96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151</w:t>
            </w:r>
          </w:p>
        </w:tc>
      </w:tr>
      <w:tr>
        <w:trPr>
          <w:trHeight w:val="166"/>
        </w:trPr>
        <w:tc>
          <w:tcPr>
            <w:tcW w:w="4720" w:type="dxa"/>
            <w:vAlign w:val="bottom"/>
            <w:gridSpan w:val="2"/>
            <w:shd w:val="clear" w:color="auto" w:fill="CCEEFF"/>
          </w:tcPr>
          <w:p>
            <w:pPr>
              <w:ind w:left="160"/>
              <w:spacing w:after="0"/>
              <w:rPr>
                <w:sz w:val="20"/>
                <w:szCs w:val="20"/>
                <w:color w:val="auto"/>
              </w:rPr>
            </w:pPr>
            <w:r>
              <w:rPr>
                <w:rFonts w:ascii="Arial" w:cs="Arial" w:eastAsia="Arial" w:hAnsi="Arial"/>
                <w:sz w:val="8"/>
                <w:szCs w:val="8"/>
                <w:color w:val="auto"/>
              </w:rPr>
              <w:t>Amortized cost</w:t>
            </w:r>
          </w:p>
        </w:tc>
        <w:tc>
          <w:tcPr>
            <w:tcW w:w="220" w:type="dxa"/>
            <w:vAlign w:val="bottom"/>
            <w:shd w:val="clear" w:color="auto" w:fill="CCEEFF"/>
          </w:tcPr>
          <w:p>
            <w:pPr>
              <w:spacing w:after="0"/>
              <w:rPr>
                <w:sz w:val="14"/>
                <w:szCs w:val="14"/>
                <w:color w:val="auto"/>
              </w:rPr>
            </w:pPr>
          </w:p>
        </w:tc>
        <w:tc>
          <w:tcPr>
            <w:tcW w:w="104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298</w:t>
            </w:r>
          </w:p>
        </w:tc>
        <w:tc>
          <w:tcPr>
            <w:tcW w:w="1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04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19</w:t>
            </w: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240" w:type="dxa"/>
            <w:vAlign w:val="bottom"/>
            <w:gridSpan w:val="2"/>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940" w:type="dxa"/>
            <w:vAlign w:val="bottom"/>
            <w:shd w:val="clear" w:color="auto" w:fill="CCEEFF"/>
          </w:tcPr>
          <w:p>
            <w:pPr>
              <w:spacing w:after="0"/>
              <w:rPr>
                <w:sz w:val="14"/>
                <w:szCs w:val="14"/>
                <w:color w:val="auto"/>
              </w:rPr>
            </w:pPr>
          </w:p>
        </w:tc>
        <w:tc>
          <w:tcPr>
            <w:tcW w:w="420" w:type="dxa"/>
            <w:vAlign w:val="bottom"/>
            <w:gridSpan w:val="2"/>
            <w:shd w:val="clear" w:color="auto" w:fill="CCEEFF"/>
          </w:tcPr>
          <w:p>
            <w:pPr>
              <w:jc w:val="right"/>
              <w:ind w:right="220"/>
              <w:spacing w:after="0"/>
              <w:rPr>
                <w:sz w:val="20"/>
                <w:szCs w:val="20"/>
                <w:color w:val="auto"/>
              </w:rPr>
            </w:pPr>
            <w:r>
              <w:rPr>
                <w:rFonts w:ascii="Arial" w:cs="Arial" w:eastAsia="Arial" w:hAnsi="Arial"/>
                <w:sz w:val="8"/>
                <w:szCs w:val="8"/>
                <w:color w:val="auto"/>
              </w:rPr>
              <w:t>—</w:t>
            </w:r>
          </w:p>
        </w:tc>
        <w:tc>
          <w:tcPr>
            <w:tcW w:w="280" w:type="dxa"/>
            <w:vAlign w:val="bottom"/>
            <w:shd w:val="clear" w:color="auto" w:fill="CCEEFF"/>
          </w:tcPr>
          <w:p>
            <w:pPr>
              <w:spacing w:after="0"/>
              <w:rPr>
                <w:sz w:val="14"/>
                <w:szCs w:val="14"/>
                <w:color w:val="auto"/>
              </w:rPr>
            </w:pPr>
          </w:p>
        </w:tc>
        <w:tc>
          <w:tcPr>
            <w:tcW w:w="96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317</w:t>
            </w:r>
          </w:p>
        </w:tc>
      </w:tr>
      <w:tr>
        <w:trPr>
          <w:trHeight w:val="174"/>
        </w:trPr>
        <w:tc>
          <w:tcPr>
            <w:tcW w:w="4720" w:type="dxa"/>
            <w:vAlign w:val="bottom"/>
            <w:gridSpan w:val="2"/>
          </w:tcPr>
          <w:p>
            <w:pPr>
              <w:ind w:left="160"/>
              <w:spacing w:after="0"/>
              <w:rPr>
                <w:sz w:val="20"/>
                <w:szCs w:val="20"/>
                <w:color w:val="auto"/>
              </w:rPr>
            </w:pPr>
            <w:r>
              <w:rPr>
                <w:rFonts w:ascii="Arial" w:cs="Arial" w:eastAsia="Arial" w:hAnsi="Arial"/>
                <w:sz w:val="8"/>
                <w:szCs w:val="8"/>
                <w:color w:val="auto"/>
              </w:rPr>
              <w:t>Gross unrealized gains</w:t>
            </w:r>
          </w:p>
        </w:tc>
        <w:tc>
          <w:tcPr>
            <w:tcW w:w="220" w:type="dxa"/>
            <w:vAlign w:val="bottom"/>
          </w:tcPr>
          <w:p>
            <w:pPr>
              <w:spacing w:after="0"/>
              <w:rPr>
                <w:sz w:val="15"/>
                <w:szCs w:val="15"/>
                <w:color w:val="auto"/>
              </w:rPr>
            </w:pPr>
          </w:p>
        </w:tc>
        <w:tc>
          <w:tcPr>
            <w:tcW w:w="1040" w:type="dxa"/>
            <w:vAlign w:val="bottom"/>
          </w:tcPr>
          <w:p>
            <w:pPr>
              <w:jc w:val="right"/>
              <w:ind w:right="78"/>
              <w:spacing w:after="0"/>
              <w:rPr>
                <w:sz w:val="20"/>
                <w:szCs w:val="20"/>
                <w:color w:val="auto"/>
              </w:rPr>
            </w:pPr>
            <w:r>
              <w:rPr>
                <w:rFonts w:ascii="Arial" w:cs="Arial" w:eastAsia="Arial" w:hAnsi="Arial"/>
                <w:sz w:val="8"/>
                <w:szCs w:val="8"/>
                <w:color w:val="auto"/>
              </w:rPr>
              <w:t>35</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40" w:type="dxa"/>
            <w:vAlign w:val="bottom"/>
          </w:tcPr>
          <w:p>
            <w:pPr>
              <w:jc w:val="right"/>
              <w:ind w:right="58"/>
              <w:spacing w:after="0"/>
              <w:rPr>
                <w:sz w:val="20"/>
                <w:szCs w:val="20"/>
                <w:color w:val="auto"/>
              </w:rPr>
            </w:pPr>
            <w:r>
              <w:rPr>
                <w:rFonts w:ascii="Arial" w:cs="Arial" w:eastAsia="Arial" w:hAnsi="Arial"/>
                <w:sz w:val="8"/>
                <w:szCs w:val="8"/>
                <w:color w:val="auto"/>
              </w:rPr>
              <w:t>4</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40" w:type="dxa"/>
            <w:vAlign w:val="bottom"/>
            <w:gridSpan w:val="2"/>
          </w:tcPr>
          <w:p>
            <w:pPr>
              <w:jc w:val="right"/>
              <w:ind w:right="240"/>
              <w:spacing w:after="0"/>
              <w:rPr>
                <w:sz w:val="20"/>
                <w:szCs w:val="20"/>
                <w:color w:val="auto"/>
              </w:rPr>
            </w:pPr>
            <w:r>
              <w:rPr>
                <w:rFonts w:ascii="Arial" w:cs="Arial" w:eastAsia="Arial" w:hAnsi="Arial"/>
                <w:sz w:val="8"/>
                <w:szCs w:val="8"/>
                <w:color w:val="auto"/>
              </w:rPr>
              <w:t>—</w:t>
            </w:r>
          </w:p>
        </w:tc>
        <w:tc>
          <w:tcPr>
            <w:tcW w:w="940" w:type="dxa"/>
            <w:vAlign w:val="bottom"/>
          </w:tcPr>
          <w:p>
            <w:pPr>
              <w:spacing w:after="0"/>
              <w:rPr>
                <w:sz w:val="15"/>
                <w:szCs w:val="15"/>
                <w:color w:val="auto"/>
              </w:rPr>
            </w:pPr>
          </w:p>
        </w:tc>
        <w:tc>
          <w:tcPr>
            <w:tcW w:w="420" w:type="dxa"/>
            <w:vAlign w:val="bottom"/>
            <w:gridSpan w:val="2"/>
          </w:tcPr>
          <w:p>
            <w:pPr>
              <w:jc w:val="right"/>
              <w:ind w:right="220"/>
              <w:spacing w:after="0"/>
              <w:rPr>
                <w:sz w:val="20"/>
                <w:szCs w:val="20"/>
                <w:color w:val="auto"/>
              </w:rPr>
            </w:pPr>
            <w:r>
              <w:rPr>
                <w:rFonts w:ascii="Arial" w:cs="Arial" w:eastAsia="Arial" w:hAnsi="Arial"/>
                <w:sz w:val="8"/>
                <w:szCs w:val="8"/>
                <w:color w:val="auto"/>
              </w:rPr>
              <w:t>—</w:t>
            </w:r>
          </w:p>
        </w:tc>
        <w:tc>
          <w:tcPr>
            <w:tcW w:w="280" w:type="dxa"/>
            <w:vAlign w:val="bottom"/>
          </w:tcPr>
          <w:p>
            <w:pPr>
              <w:spacing w:after="0"/>
              <w:rPr>
                <w:sz w:val="15"/>
                <w:szCs w:val="15"/>
                <w:color w:val="auto"/>
              </w:rPr>
            </w:pP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39</w:t>
            </w:r>
          </w:p>
        </w:tc>
      </w:tr>
      <w:tr>
        <w:trPr>
          <w:trHeight w:val="180"/>
        </w:trPr>
        <w:tc>
          <w:tcPr>
            <w:tcW w:w="4720" w:type="dxa"/>
            <w:vAlign w:val="bottom"/>
            <w:gridSpan w:val="2"/>
            <w:shd w:val="clear" w:color="auto" w:fill="CCEEFF"/>
          </w:tcPr>
          <w:p>
            <w:pPr>
              <w:ind w:left="160"/>
              <w:spacing w:after="0"/>
              <w:rPr>
                <w:sz w:val="20"/>
                <w:szCs w:val="20"/>
                <w:color w:val="auto"/>
              </w:rPr>
            </w:pPr>
            <w:r>
              <w:rPr>
                <w:rFonts w:ascii="Arial" w:cs="Arial" w:eastAsia="Arial" w:hAnsi="Arial"/>
                <w:sz w:val="8"/>
                <w:szCs w:val="8"/>
                <w:color w:val="auto"/>
              </w:rPr>
              <w:t>Gross unrealized losses</w:t>
            </w:r>
          </w:p>
        </w:tc>
        <w:tc>
          <w:tcPr>
            <w:tcW w:w="220" w:type="dxa"/>
            <w:vAlign w:val="bottom"/>
            <w:tcBorders>
              <w:bottom w:val="single" w:sz="8" w:color="auto"/>
            </w:tcBorders>
            <w:shd w:val="clear" w:color="auto" w:fill="CCEEFF"/>
          </w:tcPr>
          <w:p>
            <w:pPr>
              <w:spacing w:after="0"/>
              <w:rPr>
                <w:sz w:val="15"/>
                <w:szCs w:val="15"/>
                <w:color w:val="auto"/>
              </w:rPr>
            </w:pPr>
          </w:p>
        </w:tc>
        <w:tc>
          <w:tcPr>
            <w:tcW w:w="1040" w:type="dxa"/>
            <w:vAlign w:val="bottom"/>
            <w:tcBorders>
              <w:bottom w:val="single" w:sz="8" w:color="auto"/>
            </w:tcBorders>
            <w:shd w:val="clear" w:color="auto" w:fill="CCEEFF"/>
          </w:tcPr>
          <w:p>
            <w:pPr>
              <w:jc w:val="right"/>
              <w:ind w:right="38"/>
              <w:spacing w:after="0"/>
              <w:rPr>
                <w:sz w:val="20"/>
                <w:szCs w:val="20"/>
                <w:color w:val="auto"/>
              </w:rPr>
            </w:pPr>
            <w:r>
              <w:rPr>
                <w:rFonts w:ascii="Arial" w:cs="Arial" w:eastAsia="Arial" w:hAnsi="Arial"/>
                <w:sz w:val="8"/>
                <w:szCs w:val="8"/>
                <w:color w:val="auto"/>
              </w:rPr>
              <w:t>(2)</w:t>
            </w:r>
          </w:p>
        </w:tc>
        <w:tc>
          <w:tcPr>
            <w:tcW w:w="12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1040" w:type="dxa"/>
            <w:vAlign w:val="bottom"/>
            <w:tcBorders>
              <w:bottom w:val="single" w:sz="8" w:color="auto"/>
            </w:tcBorders>
            <w:shd w:val="clear" w:color="auto" w:fill="CCEEFF"/>
          </w:tcPr>
          <w:p>
            <w:pPr>
              <w:jc w:val="right"/>
              <w:ind w:right="38"/>
              <w:spacing w:after="0"/>
              <w:rPr>
                <w:sz w:val="20"/>
                <w:szCs w:val="20"/>
                <w:color w:val="auto"/>
              </w:rPr>
            </w:pPr>
            <w:r>
              <w:rPr>
                <w:rFonts w:ascii="Arial" w:cs="Arial" w:eastAsia="Arial" w:hAnsi="Arial"/>
                <w:sz w:val="8"/>
                <w:szCs w:val="8"/>
                <w:color w:val="auto"/>
              </w:rPr>
              <w:t>(1)</w:t>
            </w:r>
          </w:p>
        </w:tc>
        <w:tc>
          <w:tcPr>
            <w:tcW w:w="120" w:type="dxa"/>
            <w:vAlign w:val="bottom"/>
            <w:shd w:val="clear" w:color="auto" w:fill="CCEEFF"/>
          </w:tcPr>
          <w:p>
            <w:pPr>
              <w:spacing w:after="0"/>
              <w:rPr>
                <w:sz w:val="15"/>
                <w:szCs w:val="15"/>
                <w:color w:val="auto"/>
              </w:rPr>
            </w:pPr>
          </w:p>
        </w:tc>
        <w:tc>
          <w:tcPr>
            <w:tcW w:w="160" w:type="dxa"/>
            <w:vAlign w:val="bottom"/>
            <w:tcBorders>
              <w:bottom w:val="single" w:sz="8" w:color="auto"/>
            </w:tcBorders>
            <w:shd w:val="clear" w:color="auto" w:fill="CCEEFF"/>
          </w:tcPr>
          <w:p>
            <w:pPr>
              <w:spacing w:after="0"/>
              <w:rPr>
                <w:sz w:val="15"/>
                <w:szCs w:val="15"/>
                <w:color w:val="auto"/>
              </w:rPr>
            </w:pPr>
          </w:p>
        </w:tc>
        <w:tc>
          <w:tcPr>
            <w:tcW w:w="1120" w:type="dxa"/>
            <w:vAlign w:val="bottom"/>
            <w:tcBorders>
              <w:bottom w:val="single" w:sz="8" w:color="auto"/>
            </w:tcBorders>
            <w:shd w:val="clear" w:color="auto" w:fill="CCEEFF"/>
          </w:tcPr>
          <w:p>
            <w:pPr>
              <w:jc w:val="right"/>
              <w:ind w:right="77"/>
              <w:spacing w:after="0"/>
              <w:rPr>
                <w:sz w:val="20"/>
                <w:szCs w:val="20"/>
                <w:color w:val="auto"/>
              </w:rPr>
            </w:pPr>
            <w:r>
              <w:rPr>
                <w:rFonts w:ascii="Arial" w:cs="Arial" w:eastAsia="Arial" w:hAnsi="Arial"/>
                <w:sz w:val="8"/>
                <w:szCs w:val="8"/>
                <w:color w:val="auto"/>
              </w:rPr>
              <w:t>—</w:t>
            </w:r>
          </w:p>
        </w:tc>
        <w:tc>
          <w:tcPr>
            <w:tcW w:w="120" w:type="dxa"/>
            <w:vAlign w:val="bottom"/>
            <w:shd w:val="clear" w:color="auto" w:fill="CCEEFF"/>
          </w:tcPr>
          <w:p>
            <w:pPr>
              <w:spacing w:after="0"/>
              <w:rPr>
                <w:sz w:val="15"/>
                <w:szCs w:val="15"/>
                <w:color w:val="auto"/>
              </w:rPr>
            </w:pPr>
          </w:p>
        </w:tc>
        <w:tc>
          <w:tcPr>
            <w:tcW w:w="940" w:type="dxa"/>
            <w:vAlign w:val="bottom"/>
            <w:tcBorders>
              <w:bottom w:val="single" w:sz="8" w:color="auto"/>
            </w:tcBorders>
            <w:shd w:val="clear" w:color="auto" w:fill="CCEEFF"/>
          </w:tcPr>
          <w:p>
            <w:pPr>
              <w:spacing w:after="0"/>
              <w:rPr>
                <w:sz w:val="15"/>
                <w:szCs w:val="15"/>
                <w:color w:val="auto"/>
              </w:rPr>
            </w:pPr>
          </w:p>
        </w:tc>
        <w:tc>
          <w:tcPr>
            <w:tcW w:w="300" w:type="dxa"/>
            <w:vAlign w:val="bottom"/>
            <w:tcBorders>
              <w:bottom w:val="single" w:sz="8" w:color="auto"/>
            </w:tcBorders>
            <w:shd w:val="clear" w:color="auto" w:fill="CCEEFF"/>
          </w:tcPr>
          <w:p>
            <w:pPr>
              <w:jc w:val="right"/>
              <w:ind w:right="58"/>
              <w:spacing w:after="0"/>
              <w:rPr>
                <w:sz w:val="20"/>
                <w:szCs w:val="20"/>
                <w:color w:val="auto"/>
              </w:rPr>
            </w:pPr>
            <w:r>
              <w:rPr>
                <w:rFonts w:ascii="Arial" w:cs="Arial" w:eastAsia="Arial" w:hAnsi="Arial"/>
                <w:sz w:val="8"/>
                <w:szCs w:val="8"/>
                <w:color w:val="auto"/>
              </w:rPr>
              <w:t>—</w:t>
            </w:r>
          </w:p>
        </w:tc>
        <w:tc>
          <w:tcPr>
            <w:tcW w:w="120" w:type="dxa"/>
            <w:vAlign w:val="bottom"/>
            <w:shd w:val="clear" w:color="auto" w:fill="CCEEFF"/>
          </w:tcPr>
          <w:p>
            <w:pPr>
              <w:spacing w:after="0"/>
              <w:rPr>
                <w:sz w:val="15"/>
                <w:szCs w:val="15"/>
                <w:color w:val="auto"/>
              </w:rPr>
            </w:pPr>
          </w:p>
        </w:tc>
        <w:tc>
          <w:tcPr>
            <w:tcW w:w="280" w:type="dxa"/>
            <w:vAlign w:val="bottom"/>
            <w:tcBorders>
              <w:bottom w:val="single" w:sz="8" w:color="auto"/>
            </w:tcBorders>
            <w:shd w:val="clear" w:color="auto" w:fill="CCEEFF"/>
          </w:tcPr>
          <w:p>
            <w:pPr>
              <w:spacing w:after="0"/>
              <w:rPr>
                <w:sz w:val="15"/>
                <w:szCs w:val="15"/>
                <w:color w:val="auto"/>
              </w:rPr>
            </w:pPr>
          </w:p>
        </w:tc>
        <w:tc>
          <w:tcPr>
            <w:tcW w:w="960" w:type="dxa"/>
            <w:vAlign w:val="bottom"/>
            <w:tcBorders>
              <w:bottom w:val="single" w:sz="8" w:color="auto"/>
            </w:tcBorders>
            <w:shd w:val="clear" w:color="auto" w:fill="CCEEFF"/>
          </w:tcPr>
          <w:p>
            <w:pPr>
              <w:jc w:val="right"/>
              <w:ind w:right="38"/>
              <w:spacing w:after="0"/>
              <w:rPr>
                <w:sz w:val="20"/>
                <w:szCs w:val="20"/>
                <w:color w:val="auto"/>
              </w:rPr>
            </w:pPr>
            <w:r>
              <w:rPr>
                <w:rFonts w:ascii="Arial" w:cs="Arial" w:eastAsia="Arial" w:hAnsi="Arial"/>
                <w:sz w:val="8"/>
                <w:szCs w:val="8"/>
                <w:color w:val="auto"/>
              </w:rPr>
              <w:t>(3)</w:t>
            </w:r>
          </w:p>
        </w:tc>
      </w:tr>
      <w:tr>
        <w:trPr>
          <w:trHeight w:val="160"/>
        </w:trPr>
        <w:tc>
          <w:tcPr>
            <w:tcW w:w="4720" w:type="dxa"/>
            <w:vAlign w:val="bottom"/>
            <w:gridSpan w:val="2"/>
          </w:tcPr>
          <w:p>
            <w:pPr>
              <w:ind w:left="20"/>
              <w:spacing w:after="0"/>
              <w:rPr>
                <w:sz w:val="20"/>
                <w:szCs w:val="20"/>
                <w:color w:val="auto"/>
              </w:rPr>
            </w:pPr>
            <w:r>
              <w:rPr>
                <w:rFonts w:ascii="Arial" w:cs="Arial" w:eastAsia="Arial" w:hAnsi="Arial"/>
                <w:sz w:val="8"/>
                <w:szCs w:val="8"/>
                <w:color w:val="auto"/>
              </w:rPr>
              <w:t>Total securities remeasured at fair value through earnings</w:t>
            </w:r>
          </w:p>
        </w:tc>
        <w:tc>
          <w:tcPr>
            <w:tcW w:w="220" w:type="dxa"/>
            <w:vAlign w:val="bottom"/>
          </w:tcPr>
          <w:p>
            <w:pPr>
              <w:spacing w:after="0"/>
              <w:rPr>
                <w:sz w:val="13"/>
                <w:szCs w:val="13"/>
                <w:color w:val="auto"/>
              </w:rPr>
            </w:pPr>
          </w:p>
        </w:tc>
        <w:tc>
          <w:tcPr>
            <w:tcW w:w="1040" w:type="dxa"/>
            <w:vAlign w:val="bottom"/>
          </w:tcPr>
          <w:p>
            <w:pPr>
              <w:jc w:val="right"/>
              <w:ind w:right="78"/>
              <w:spacing w:after="0"/>
              <w:rPr>
                <w:sz w:val="20"/>
                <w:szCs w:val="20"/>
                <w:color w:val="auto"/>
              </w:rPr>
            </w:pPr>
            <w:r>
              <w:rPr>
                <w:rFonts w:ascii="Arial" w:cs="Arial" w:eastAsia="Arial" w:hAnsi="Arial"/>
                <w:sz w:val="8"/>
                <w:szCs w:val="8"/>
                <w:color w:val="auto"/>
              </w:rPr>
              <w:t>331</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40" w:type="dxa"/>
            <w:vAlign w:val="bottom"/>
          </w:tcPr>
          <w:p>
            <w:pPr>
              <w:jc w:val="right"/>
              <w:ind w:right="58"/>
              <w:spacing w:after="0"/>
              <w:rPr>
                <w:sz w:val="20"/>
                <w:szCs w:val="20"/>
                <w:color w:val="auto"/>
              </w:rPr>
            </w:pPr>
            <w:r>
              <w:rPr>
                <w:rFonts w:ascii="Arial" w:cs="Arial" w:eastAsia="Arial" w:hAnsi="Arial"/>
                <w:sz w:val="8"/>
                <w:szCs w:val="8"/>
                <w:color w:val="auto"/>
              </w:rPr>
              <w:t>22</w:t>
            </w:r>
          </w:p>
        </w:tc>
        <w:tc>
          <w:tcPr>
            <w:tcW w:w="1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240" w:type="dxa"/>
            <w:vAlign w:val="bottom"/>
            <w:gridSpan w:val="2"/>
          </w:tcPr>
          <w:p>
            <w:pPr>
              <w:jc w:val="right"/>
              <w:ind w:right="240"/>
              <w:spacing w:after="0"/>
              <w:rPr>
                <w:sz w:val="20"/>
                <w:szCs w:val="20"/>
                <w:color w:val="auto"/>
              </w:rPr>
            </w:pPr>
            <w:r>
              <w:rPr>
                <w:rFonts w:ascii="Arial" w:cs="Arial" w:eastAsia="Arial" w:hAnsi="Arial"/>
                <w:sz w:val="8"/>
                <w:szCs w:val="8"/>
                <w:color w:val="auto"/>
              </w:rPr>
              <w:t>—</w:t>
            </w:r>
          </w:p>
        </w:tc>
        <w:tc>
          <w:tcPr>
            <w:tcW w:w="940" w:type="dxa"/>
            <w:vAlign w:val="bottom"/>
          </w:tcPr>
          <w:p>
            <w:pPr>
              <w:spacing w:after="0"/>
              <w:rPr>
                <w:sz w:val="13"/>
                <w:szCs w:val="13"/>
                <w:color w:val="auto"/>
              </w:rPr>
            </w:pPr>
          </w:p>
        </w:tc>
        <w:tc>
          <w:tcPr>
            <w:tcW w:w="420" w:type="dxa"/>
            <w:vAlign w:val="bottom"/>
            <w:gridSpan w:val="2"/>
          </w:tcPr>
          <w:p>
            <w:pPr>
              <w:jc w:val="right"/>
              <w:ind w:right="220"/>
              <w:spacing w:after="0"/>
              <w:rPr>
                <w:sz w:val="20"/>
                <w:szCs w:val="20"/>
                <w:color w:val="auto"/>
              </w:rPr>
            </w:pPr>
            <w:r>
              <w:rPr>
                <w:rFonts w:ascii="Arial" w:cs="Arial" w:eastAsia="Arial" w:hAnsi="Arial"/>
                <w:sz w:val="8"/>
                <w:szCs w:val="8"/>
                <w:color w:val="auto"/>
              </w:rPr>
              <w:t>—</w:t>
            </w:r>
          </w:p>
        </w:tc>
        <w:tc>
          <w:tcPr>
            <w:tcW w:w="280" w:type="dxa"/>
            <w:vAlign w:val="bottom"/>
          </w:tcPr>
          <w:p>
            <w:pPr>
              <w:spacing w:after="0"/>
              <w:rPr>
                <w:sz w:val="13"/>
                <w:szCs w:val="13"/>
                <w:color w:val="auto"/>
              </w:rPr>
            </w:pPr>
          </w:p>
        </w:tc>
        <w:tc>
          <w:tcPr>
            <w:tcW w:w="960" w:type="dxa"/>
            <w:vAlign w:val="bottom"/>
          </w:tcPr>
          <w:p>
            <w:pPr>
              <w:jc w:val="right"/>
              <w:ind w:right="78"/>
              <w:spacing w:after="0"/>
              <w:rPr>
                <w:sz w:val="20"/>
                <w:szCs w:val="20"/>
                <w:color w:val="auto"/>
              </w:rPr>
            </w:pPr>
            <w:r>
              <w:rPr>
                <w:rFonts w:ascii="Arial" w:cs="Arial" w:eastAsia="Arial" w:hAnsi="Arial"/>
                <w:sz w:val="8"/>
                <w:szCs w:val="8"/>
                <w:color w:val="auto"/>
              </w:rPr>
              <w:t>353</w:t>
            </w:r>
          </w:p>
        </w:tc>
      </w:tr>
      <w:tr>
        <w:trPr>
          <w:trHeight w:val="164"/>
        </w:trPr>
        <w:tc>
          <w:tcPr>
            <w:tcW w:w="4720" w:type="dxa"/>
            <w:vAlign w:val="bottom"/>
            <w:tcBorders>
              <w:top w:val="single" w:sz="8" w:color="CCEEFF"/>
              <w:bottom w:val="single" w:sz="8" w:color="CCEEFF"/>
            </w:tcBorders>
            <w:gridSpan w:val="2"/>
            <w:shd w:val="clear" w:color="auto" w:fill="CCEEFF"/>
          </w:tcPr>
          <w:p>
            <w:pPr>
              <w:ind w:left="20"/>
              <w:spacing w:after="0"/>
              <w:rPr>
                <w:sz w:val="20"/>
                <w:szCs w:val="20"/>
                <w:color w:val="auto"/>
              </w:rPr>
            </w:pPr>
            <w:r>
              <w:rPr>
                <w:rFonts w:ascii="Arial" w:cs="Arial" w:eastAsia="Arial" w:hAnsi="Arial"/>
                <w:sz w:val="8"/>
                <w:szCs w:val="8"/>
                <w:color w:val="auto"/>
              </w:rPr>
              <w:t>Total securities, at fair value</w:t>
            </w:r>
          </w:p>
        </w:tc>
        <w:tc>
          <w:tcPr>
            <w:tcW w:w="220" w:type="dxa"/>
            <w:vAlign w:val="bottom"/>
            <w:tcBorders>
              <w:top w:val="single" w:sz="8" w:color="auto"/>
              <w:bottom w:val="single" w:sz="8" w:color="auto"/>
            </w:tcBorders>
            <w:shd w:val="clear" w:color="auto" w:fill="CCEEFF"/>
          </w:tcPr>
          <w:p>
            <w:pPr>
              <w:jc w:val="right"/>
              <w:ind w:right="118"/>
              <w:spacing w:after="0"/>
              <w:rPr>
                <w:sz w:val="20"/>
                <w:szCs w:val="20"/>
                <w:color w:val="auto"/>
              </w:rPr>
            </w:pPr>
            <w:r>
              <w:rPr>
                <w:rFonts w:ascii="Arial" w:cs="Arial" w:eastAsia="Arial" w:hAnsi="Arial"/>
                <w:sz w:val="8"/>
                <w:szCs w:val="8"/>
                <w:color w:val="auto"/>
                <w:w w:val="88"/>
              </w:rPr>
              <w:t>$</w:t>
            </w:r>
          </w:p>
        </w:tc>
        <w:tc>
          <w:tcPr>
            <w:tcW w:w="1040" w:type="dxa"/>
            <w:vAlign w:val="bottom"/>
            <w:tcBorders>
              <w:top w:val="single" w:sz="8" w:color="auto"/>
              <w:bottom w:val="single" w:sz="8" w:color="auto"/>
            </w:tcBorders>
            <w:shd w:val="clear" w:color="auto" w:fill="CCEEFF"/>
          </w:tcPr>
          <w:p>
            <w:pPr>
              <w:jc w:val="right"/>
              <w:ind w:right="78"/>
              <w:spacing w:after="0"/>
              <w:rPr>
                <w:sz w:val="20"/>
                <w:szCs w:val="20"/>
                <w:color w:val="auto"/>
              </w:rPr>
            </w:pPr>
            <w:r>
              <w:rPr>
                <w:rFonts w:ascii="Arial" w:cs="Arial" w:eastAsia="Arial" w:hAnsi="Arial"/>
                <w:sz w:val="8"/>
                <w:szCs w:val="8"/>
                <w:color w:val="auto"/>
              </w:rPr>
              <w:t>41,214</w:t>
            </w:r>
          </w:p>
        </w:tc>
        <w:tc>
          <w:tcPr>
            <w:tcW w:w="120" w:type="dxa"/>
            <w:vAlign w:val="bottom"/>
            <w:tcBorders>
              <w:top w:val="single" w:sz="8" w:color="CCEEFF"/>
              <w:bottom w:val="single" w:sz="8" w:color="CCEEFF"/>
            </w:tcBorders>
            <w:shd w:val="clear" w:color="auto" w:fill="CCEEFF"/>
          </w:tcPr>
          <w:p>
            <w:pPr>
              <w:spacing w:after="0"/>
              <w:rPr>
                <w:sz w:val="14"/>
                <w:szCs w:val="14"/>
                <w:color w:val="auto"/>
              </w:rPr>
            </w:pPr>
          </w:p>
        </w:tc>
        <w:tc>
          <w:tcPr>
            <w:tcW w:w="220" w:type="dxa"/>
            <w:vAlign w:val="bottom"/>
            <w:tcBorders>
              <w:top w:val="single" w:sz="8" w:color="auto"/>
              <w:bottom w:val="single" w:sz="8" w:color="auto"/>
            </w:tcBorders>
            <w:shd w:val="clear" w:color="auto" w:fill="CCEEFF"/>
          </w:tcPr>
          <w:p>
            <w:pPr>
              <w:jc w:val="right"/>
              <w:ind w:right="118"/>
              <w:spacing w:after="0"/>
              <w:rPr>
                <w:sz w:val="20"/>
                <w:szCs w:val="20"/>
                <w:color w:val="auto"/>
              </w:rPr>
            </w:pPr>
            <w:r>
              <w:rPr>
                <w:rFonts w:ascii="Arial" w:cs="Arial" w:eastAsia="Arial" w:hAnsi="Arial"/>
                <w:sz w:val="8"/>
                <w:szCs w:val="8"/>
                <w:color w:val="auto"/>
                <w:w w:val="88"/>
              </w:rPr>
              <w:t>$</w:t>
            </w:r>
          </w:p>
        </w:tc>
        <w:tc>
          <w:tcPr>
            <w:tcW w:w="1040" w:type="dxa"/>
            <w:vAlign w:val="bottom"/>
            <w:tcBorders>
              <w:top w:val="single" w:sz="8" w:color="auto"/>
              <w:bottom w:val="single" w:sz="8" w:color="auto"/>
            </w:tcBorders>
            <w:shd w:val="clear" w:color="auto" w:fill="CCEEFF"/>
          </w:tcPr>
          <w:p>
            <w:pPr>
              <w:jc w:val="right"/>
              <w:ind w:right="58"/>
              <w:spacing w:after="0"/>
              <w:rPr>
                <w:sz w:val="20"/>
                <w:szCs w:val="20"/>
                <w:color w:val="auto"/>
              </w:rPr>
            </w:pPr>
            <w:r>
              <w:rPr>
                <w:rFonts w:ascii="Arial" w:cs="Arial" w:eastAsia="Arial" w:hAnsi="Arial"/>
                <w:sz w:val="8"/>
                <w:szCs w:val="8"/>
                <w:color w:val="auto"/>
              </w:rPr>
              <w:t>11,081</w:t>
            </w:r>
          </w:p>
        </w:tc>
        <w:tc>
          <w:tcPr>
            <w:tcW w:w="120" w:type="dxa"/>
            <w:vAlign w:val="bottom"/>
            <w:tcBorders>
              <w:top w:val="single" w:sz="8" w:color="CCEEFF"/>
              <w:bottom w:val="single" w:sz="8" w:color="CCEEFF"/>
            </w:tcBorders>
            <w:shd w:val="clear" w:color="auto" w:fill="CCEEFF"/>
          </w:tcPr>
          <w:p>
            <w:pPr>
              <w:spacing w:after="0"/>
              <w:rPr>
                <w:sz w:val="14"/>
                <w:szCs w:val="14"/>
                <w:color w:val="auto"/>
              </w:rPr>
            </w:pPr>
          </w:p>
        </w:tc>
        <w:tc>
          <w:tcPr>
            <w:tcW w:w="160" w:type="dxa"/>
            <w:vAlign w:val="bottom"/>
            <w:tcBorders>
              <w:top w:val="single" w:sz="8" w:color="auto"/>
              <w:bottom w:val="single" w:sz="8" w:color="auto"/>
            </w:tcBorders>
            <w:shd w:val="clear" w:color="auto" w:fill="CCEEFF"/>
          </w:tcPr>
          <w:p>
            <w:pPr>
              <w:jc w:val="right"/>
              <w:ind w:right="58"/>
              <w:spacing w:after="0"/>
              <w:rPr>
                <w:sz w:val="20"/>
                <w:szCs w:val="20"/>
                <w:color w:val="auto"/>
              </w:rPr>
            </w:pPr>
            <w:r>
              <w:rPr>
                <w:rFonts w:ascii="Arial" w:cs="Arial" w:eastAsia="Arial" w:hAnsi="Arial"/>
                <w:sz w:val="8"/>
                <w:szCs w:val="8"/>
                <w:color w:val="auto"/>
                <w:w w:val="88"/>
              </w:rPr>
              <w:t>$</w:t>
            </w:r>
          </w:p>
        </w:tc>
        <w:tc>
          <w:tcPr>
            <w:tcW w:w="1120" w:type="dxa"/>
            <w:vAlign w:val="bottom"/>
            <w:tcBorders>
              <w:top w:val="single" w:sz="8" w:color="auto"/>
              <w:bottom w:val="single" w:sz="8" w:color="auto"/>
            </w:tcBorders>
            <w:shd w:val="clear" w:color="auto" w:fill="CCEEFF"/>
          </w:tcPr>
          <w:p>
            <w:pPr>
              <w:jc w:val="right"/>
              <w:ind w:right="77"/>
              <w:spacing w:after="0"/>
              <w:rPr>
                <w:sz w:val="20"/>
                <w:szCs w:val="20"/>
                <w:color w:val="auto"/>
              </w:rPr>
            </w:pPr>
            <w:r>
              <w:rPr>
                <w:rFonts w:ascii="Arial" w:cs="Arial" w:eastAsia="Arial" w:hAnsi="Arial"/>
                <w:sz w:val="8"/>
                <w:szCs w:val="8"/>
                <w:color w:val="auto"/>
              </w:rPr>
              <w:t>65</w:t>
            </w:r>
          </w:p>
        </w:tc>
        <w:tc>
          <w:tcPr>
            <w:tcW w:w="120" w:type="dxa"/>
            <w:vAlign w:val="bottom"/>
            <w:tcBorders>
              <w:top w:val="single" w:sz="8" w:color="CCEEFF"/>
              <w:bottom w:val="single" w:sz="8" w:color="CCEEFF"/>
            </w:tcBorders>
            <w:shd w:val="clear" w:color="auto" w:fill="CCEEFF"/>
          </w:tcPr>
          <w:p>
            <w:pPr>
              <w:spacing w:after="0"/>
              <w:rPr>
                <w:sz w:val="14"/>
                <w:szCs w:val="14"/>
                <w:color w:val="auto"/>
              </w:rPr>
            </w:pPr>
          </w:p>
        </w:tc>
        <w:tc>
          <w:tcPr>
            <w:tcW w:w="940" w:type="dxa"/>
            <w:vAlign w:val="bottom"/>
            <w:tcBorders>
              <w:top w:val="single" w:sz="8" w:color="auto"/>
              <w:bottom w:val="single" w:sz="8" w:color="auto"/>
            </w:tcBorders>
            <w:shd w:val="clear" w:color="auto" w:fill="CCEEFF"/>
          </w:tcPr>
          <w:p>
            <w:pPr>
              <w:jc w:val="right"/>
              <w:ind w:right="836"/>
              <w:spacing w:after="0"/>
              <w:rPr>
                <w:sz w:val="20"/>
                <w:szCs w:val="20"/>
                <w:color w:val="auto"/>
              </w:rPr>
            </w:pPr>
            <w:r>
              <w:rPr>
                <w:rFonts w:ascii="Arial" w:cs="Arial" w:eastAsia="Arial" w:hAnsi="Arial"/>
                <w:sz w:val="8"/>
                <w:szCs w:val="8"/>
                <w:color w:val="auto"/>
                <w:w w:val="88"/>
              </w:rPr>
              <w:t>$</w:t>
            </w:r>
          </w:p>
        </w:tc>
        <w:tc>
          <w:tcPr>
            <w:tcW w:w="300" w:type="dxa"/>
            <w:vAlign w:val="bottom"/>
            <w:tcBorders>
              <w:top w:val="single" w:sz="8" w:color="auto"/>
              <w:bottom w:val="single" w:sz="8" w:color="auto"/>
            </w:tcBorders>
            <w:shd w:val="clear" w:color="auto" w:fill="CCEEFF"/>
          </w:tcPr>
          <w:p>
            <w:pPr>
              <w:jc w:val="right"/>
              <w:ind w:right="58"/>
              <w:spacing w:after="0"/>
              <w:rPr>
                <w:sz w:val="20"/>
                <w:szCs w:val="20"/>
                <w:color w:val="auto"/>
              </w:rPr>
            </w:pPr>
            <w:r>
              <w:rPr>
                <w:rFonts w:ascii="Arial" w:cs="Arial" w:eastAsia="Arial" w:hAnsi="Arial"/>
                <w:sz w:val="8"/>
                <w:szCs w:val="8"/>
                <w:color w:val="auto"/>
              </w:rPr>
              <w:t>113</w:t>
            </w:r>
          </w:p>
        </w:tc>
        <w:tc>
          <w:tcPr>
            <w:tcW w:w="120" w:type="dxa"/>
            <w:vAlign w:val="bottom"/>
            <w:tcBorders>
              <w:top w:val="single" w:sz="8" w:color="CCEEFF"/>
              <w:bottom w:val="single" w:sz="8" w:color="CCEEFF"/>
            </w:tcBorders>
            <w:shd w:val="clear" w:color="auto" w:fill="CCEEFF"/>
          </w:tcPr>
          <w:p>
            <w:pPr>
              <w:spacing w:after="0"/>
              <w:rPr>
                <w:sz w:val="14"/>
                <w:szCs w:val="14"/>
                <w:color w:val="auto"/>
              </w:rPr>
            </w:pPr>
          </w:p>
        </w:tc>
        <w:tc>
          <w:tcPr>
            <w:tcW w:w="280" w:type="dxa"/>
            <w:vAlign w:val="bottom"/>
            <w:tcBorders>
              <w:top w:val="single" w:sz="8" w:color="auto"/>
              <w:bottom w:val="single" w:sz="8" w:color="auto"/>
            </w:tcBorders>
            <w:shd w:val="clear" w:color="auto" w:fill="CCEEFF"/>
          </w:tcPr>
          <w:p>
            <w:pPr>
              <w:jc w:val="right"/>
              <w:ind w:right="178"/>
              <w:spacing w:after="0"/>
              <w:rPr>
                <w:sz w:val="20"/>
                <w:szCs w:val="20"/>
                <w:color w:val="auto"/>
              </w:rPr>
            </w:pPr>
            <w:r>
              <w:rPr>
                <w:rFonts w:ascii="Arial" w:cs="Arial" w:eastAsia="Arial" w:hAnsi="Arial"/>
                <w:sz w:val="8"/>
                <w:szCs w:val="8"/>
                <w:color w:val="auto"/>
                <w:w w:val="88"/>
              </w:rPr>
              <w:t>$</w:t>
            </w:r>
          </w:p>
        </w:tc>
        <w:tc>
          <w:tcPr>
            <w:tcW w:w="960" w:type="dxa"/>
            <w:vAlign w:val="bottom"/>
            <w:tcBorders>
              <w:top w:val="single" w:sz="8" w:color="auto"/>
              <w:bottom w:val="single" w:sz="8" w:color="auto"/>
            </w:tcBorders>
            <w:shd w:val="clear" w:color="auto" w:fill="CCEEFF"/>
          </w:tcPr>
          <w:p>
            <w:pPr>
              <w:jc w:val="right"/>
              <w:ind w:right="78"/>
              <w:spacing w:after="0"/>
              <w:rPr>
                <w:sz w:val="20"/>
                <w:szCs w:val="20"/>
                <w:color w:val="auto"/>
              </w:rPr>
            </w:pPr>
            <w:r>
              <w:rPr>
                <w:rFonts w:ascii="Arial" w:cs="Arial" w:eastAsia="Arial" w:hAnsi="Arial"/>
                <w:sz w:val="8"/>
                <w:szCs w:val="8"/>
                <w:color w:val="auto"/>
              </w:rPr>
              <w:t>52,473</w:t>
            </w:r>
          </w:p>
        </w:tc>
      </w:tr>
      <w:tr>
        <w:trPr>
          <w:trHeight w:val="156"/>
        </w:trPr>
        <w:tc>
          <w:tcPr>
            <w:tcW w:w="4720" w:type="dxa"/>
            <w:vAlign w:val="bottom"/>
            <w:gridSpan w:val="2"/>
          </w:tcPr>
          <w:p>
            <w:pPr>
              <w:ind w:left="20"/>
              <w:spacing w:after="0"/>
              <w:rPr>
                <w:sz w:val="20"/>
                <w:szCs w:val="20"/>
                <w:color w:val="auto"/>
              </w:rPr>
            </w:pPr>
            <w:r>
              <w:rPr>
                <w:rFonts w:ascii="Arial" w:cs="Arial" w:eastAsia="Arial" w:hAnsi="Arial"/>
                <w:sz w:val="8"/>
                <w:szCs w:val="8"/>
                <w:color w:val="auto"/>
              </w:rPr>
              <w:t>Weighted average coupon as of December 31, 2015</w:t>
            </w:r>
          </w:p>
        </w:tc>
        <w:tc>
          <w:tcPr>
            <w:tcW w:w="220" w:type="dxa"/>
            <w:vAlign w:val="bottom"/>
          </w:tcPr>
          <w:p>
            <w:pPr>
              <w:spacing w:after="0"/>
              <w:rPr>
                <w:sz w:val="13"/>
                <w:szCs w:val="13"/>
                <w:color w:val="auto"/>
              </w:rPr>
            </w:pPr>
          </w:p>
        </w:tc>
        <w:tc>
          <w:tcPr>
            <w:tcW w:w="1040" w:type="dxa"/>
            <w:vAlign w:val="bottom"/>
          </w:tcPr>
          <w:p>
            <w:pPr>
              <w:jc w:val="right"/>
              <w:spacing w:after="0"/>
              <w:rPr>
                <w:sz w:val="20"/>
                <w:szCs w:val="20"/>
                <w:color w:val="auto"/>
              </w:rPr>
            </w:pPr>
            <w:r>
              <w:rPr>
                <w:rFonts w:ascii="Arial" w:cs="Arial" w:eastAsia="Arial" w:hAnsi="Arial"/>
                <w:sz w:val="8"/>
                <w:szCs w:val="8"/>
                <w:color w:val="auto"/>
              </w:rPr>
              <w:t>3.62%</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40" w:type="dxa"/>
            <w:vAlign w:val="bottom"/>
          </w:tcPr>
          <w:p>
            <w:pPr>
              <w:jc w:val="right"/>
              <w:spacing w:after="0"/>
              <w:rPr>
                <w:sz w:val="20"/>
                <w:szCs w:val="20"/>
                <w:color w:val="auto"/>
              </w:rPr>
            </w:pPr>
            <w:r>
              <w:rPr>
                <w:rFonts w:ascii="Arial" w:cs="Arial" w:eastAsia="Arial" w:hAnsi="Arial"/>
                <w:sz w:val="8"/>
                <w:szCs w:val="8"/>
                <w:color w:val="auto"/>
              </w:rPr>
              <w:t>3.69%</w:t>
            </w:r>
          </w:p>
        </w:tc>
        <w:tc>
          <w:tcPr>
            <w:tcW w:w="1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120" w:type="dxa"/>
            <w:vAlign w:val="bottom"/>
          </w:tcPr>
          <w:p>
            <w:pPr>
              <w:jc w:val="right"/>
              <w:ind w:right="17"/>
              <w:spacing w:after="0"/>
              <w:rPr>
                <w:sz w:val="20"/>
                <w:szCs w:val="20"/>
                <w:color w:val="auto"/>
              </w:rPr>
            </w:pPr>
            <w:r>
              <w:rPr>
                <w:rFonts w:ascii="Arial" w:cs="Arial" w:eastAsia="Arial" w:hAnsi="Arial"/>
                <w:sz w:val="8"/>
                <w:szCs w:val="8"/>
                <w:color w:val="auto"/>
              </w:rPr>
              <w:t>3.18%</w:t>
            </w:r>
          </w:p>
        </w:tc>
        <w:tc>
          <w:tcPr>
            <w:tcW w:w="12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300" w:type="dxa"/>
            <w:vAlign w:val="bottom"/>
          </w:tcPr>
          <w:p>
            <w:pPr>
              <w:jc w:val="right"/>
              <w:spacing w:after="0"/>
              <w:rPr>
                <w:sz w:val="20"/>
                <w:szCs w:val="20"/>
                <w:color w:val="auto"/>
              </w:rPr>
            </w:pPr>
            <w:r>
              <w:rPr>
                <w:rFonts w:ascii="Arial" w:cs="Arial" w:eastAsia="Arial" w:hAnsi="Arial"/>
                <w:sz w:val="8"/>
                <w:szCs w:val="8"/>
                <w:color w:val="auto"/>
              </w:rPr>
              <w:t>3.50%</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960" w:type="dxa"/>
            <w:vAlign w:val="bottom"/>
          </w:tcPr>
          <w:p>
            <w:pPr>
              <w:jc w:val="right"/>
              <w:spacing w:after="0"/>
              <w:rPr>
                <w:sz w:val="20"/>
                <w:szCs w:val="20"/>
                <w:color w:val="auto"/>
              </w:rPr>
            </w:pPr>
            <w:r>
              <w:rPr>
                <w:rFonts w:ascii="Arial" w:cs="Arial" w:eastAsia="Arial" w:hAnsi="Arial"/>
                <w:sz w:val="8"/>
                <w:szCs w:val="8"/>
                <w:color w:val="auto"/>
              </w:rPr>
              <w:t>3.63%</w:t>
            </w:r>
          </w:p>
        </w:tc>
      </w:tr>
      <w:tr>
        <w:trPr>
          <w:trHeight w:val="186"/>
        </w:trPr>
        <w:tc>
          <w:tcPr>
            <w:tcW w:w="4720" w:type="dxa"/>
            <w:vAlign w:val="bottom"/>
            <w:gridSpan w:val="2"/>
            <w:shd w:val="clear" w:color="auto" w:fill="CCEEFF"/>
          </w:tcPr>
          <w:p>
            <w:pPr>
              <w:ind w:left="20"/>
              <w:spacing w:after="0"/>
              <w:rPr>
                <w:sz w:val="20"/>
                <w:szCs w:val="20"/>
                <w:color w:val="auto"/>
              </w:rPr>
            </w:pPr>
            <w:r>
              <w:rPr>
                <w:rFonts w:ascii="Arial" w:cs="Arial" w:eastAsia="Arial" w:hAnsi="Arial"/>
                <w:sz w:val="8"/>
                <w:szCs w:val="8"/>
                <w:color w:val="auto"/>
              </w:rPr>
              <w:t xml:space="preserve">Weighted average yield as of December 31, 2015 </w:t>
            </w:r>
            <w:r>
              <w:rPr>
                <w:rFonts w:ascii="Arial" w:cs="Arial" w:eastAsia="Arial" w:hAnsi="Arial"/>
                <w:sz w:val="5"/>
                <w:szCs w:val="5"/>
                <w:color w:val="auto"/>
              </w:rPr>
              <w:t>3</w:t>
            </w:r>
          </w:p>
        </w:tc>
        <w:tc>
          <w:tcPr>
            <w:tcW w:w="220" w:type="dxa"/>
            <w:vAlign w:val="bottom"/>
            <w:shd w:val="clear" w:color="auto" w:fill="CCEEFF"/>
          </w:tcPr>
          <w:p>
            <w:pPr>
              <w:spacing w:after="0"/>
              <w:rPr>
                <w:sz w:val="16"/>
                <w:szCs w:val="16"/>
                <w:color w:val="auto"/>
              </w:rPr>
            </w:pPr>
          </w:p>
        </w:tc>
        <w:tc>
          <w:tcPr>
            <w:tcW w:w="1040" w:type="dxa"/>
            <w:vAlign w:val="bottom"/>
            <w:shd w:val="clear" w:color="auto" w:fill="CCEEFF"/>
          </w:tcPr>
          <w:p>
            <w:pPr>
              <w:jc w:val="right"/>
              <w:spacing w:after="0"/>
              <w:rPr>
                <w:sz w:val="20"/>
                <w:szCs w:val="20"/>
                <w:color w:val="auto"/>
              </w:rPr>
            </w:pPr>
            <w:r>
              <w:rPr>
                <w:rFonts w:ascii="Arial" w:cs="Arial" w:eastAsia="Arial" w:hAnsi="Arial"/>
                <w:sz w:val="8"/>
                <w:szCs w:val="8"/>
                <w:color w:val="auto"/>
              </w:rPr>
              <w:t>2.79%</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040" w:type="dxa"/>
            <w:vAlign w:val="bottom"/>
            <w:shd w:val="clear" w:color="auto" w:fill="CCEEFF"/>
          </w:tcPr>
          <w:p>
            <w:pPr>
              <w:jc w:val="right"/>
              <w:spacing w:after="0"/>
              <w:rPr>
                <w:sz w:val="20"/>
                <w:szCs w:val="20"/>
                <w:color w:val="auto"/>
              </w:rPr>
            </w:pPr>
            <w:r>
              <w:rPr>
                <w:rFonts w:ascii="Arial" w:cs="Arial" w:eastAsia="Arial" w:hAnsi="Arial"/>
                <w:sz w:val="8"/>
                <w:szCs w:val="8"/>
                <w:color w:val="auto"/>
              </w:rPr>
              <w:t>2.77%</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120" w:type="dxa"/>
            <w:vAlign w:val="bottom"/>
            <w:shd w:val="clear" w:color="auto" w:fill="CCEEFF"/>
          </w:tcPr>
          <w:p>
            <w:pPr>
              <w:jc w:val="right"/>
              <w:ind w:right="17"/>
              <w:spacing w:after="0"/>
              <w:rPr>
                <w:sz w:val="20"/>
                <w:szCs w:val="20"/>
                <w:color w:val="auto"/>
              </w:rPr>
            </w:pPr>
            <w:r>
              <w:rPr>
                <w:rFonts w:ascii="Arial" w:cs="Arial" w:eastAsia="Arial" w:hAnsi="Arial"/>
                <w:sz w:val="8"/>
                <w:szCs w:val="8"/>
                <w:color w:val="auto"/>
              </w:rPr>
              <w:t>1.97%</w:t>
            </w:r>
          </w:p>
        </w:tc>
        <w:tc>
          <w:tcPr>
            <w:tcW w:w="12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8"/>
                <w:szCs w:val="8"/>
                <w:color w:val="auto"/>
              </w:rPr>
              <w:t>3.33%</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8"/>
                <w:szCs w:val="8"/>
                <w:color w:val="auto"/>
              </w:rPr>
              <w:t>2.78%</w:t>
            </w:r>
          </w:p>
        </w:tc>
      </w:tr>
      <w:tr>
        <w:trPr>
          <w:trHeight w:val="104"/>
        </w:trPr>
        <w:tc>
          <w:tcPr>
            <w:tcW w:w="4600" w:type="dxa"/>
            <w:vAlign w:val="bottom"/>
          </w:tcPr>
          <w:p>
            <w:pPr>
              <w:ind w:left="20"/>
              <w:spacing w:after="0" w:line="104" w:lineRule="exact"/>
              <w:rPr>
                <w:sz w:val="20"/>
                <w:szCs w:val="20"/>
                <w:color w:val="auto"/>
              </w:rPr>
            </w:pPr>
            <w:r>
              <w:rPr>
                <w:rFonts w:ascii="Arial" w:cs="Arial" w:eastAsia="Arial" w:hAnsi="Arial"/>
                <w:sz w:val="10"/>
                <w:szCs w:val="10"/>
                <w:color w:val="auto"/>
              </w:rPr>
              <w:t>________________________</w:t>
            </w: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40" w:type="dxa"/>
            <w:vAlign w:val="bottom"/>
          </w:tcPr>
          <w:p>
            <w:pPr>
              <w:spacing w:after="0"/>
              <w:rPr>
                <w:sz w:val="9"/>
                <w:szCs w:val="9"/>
                <w:color w:val="auto"/>
              </w:rPr>
            </w:pPr>
          </w:p>
        </w:tc>
        <w:tc>
          <w:tcPr>
            <w:tcW w:w="30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960" w:type="dxa"/>
            <w:vAlign w:val="bottom"/>
          </w:tcPr>
          <w:p>
            <w:pPr>
              <w:spacing w:after="0"/>
              <w:rPr>
                <w:sz w:val="9"/>
                <w:szCs w:val="9"/>
                <w:color w:val="auto"/>
              </w:rPr>
            </w:pPr>
          </w:p>
        </w:tc>
      </w:tr>
    </w:tbl>
    <w:p>
      <w:pPr>
        <w:ind w:left="420" w:hanging="212"/>
        <w:spacing w:after="0" w:line="225" w:lineRule="auto"/>
        <w:tabs>
          <w:tab w:leader="none" w:pos="420" w:val="left"/>
        </w:tabs>
        <w:numPr>
          <w:ilvl w:val="0"/>
          <w:numId w:val="3"/>
        </w:numPr>
        <w:rPr>
          <w:rFonts w:ascii="Arial" w:cs="Arial" w:eastAsia="Arial" w:hAnsi="Arial"/>
          <w:sz w:val="10"/>
          <w:szCs w:val="10"/>
          <w:color w:val="auto"/>
        </w:rPr>
      </w:pPr>
      <w:r>
        <w:rPr>
          <w:rFonts w:ascii="Arial" w:cs="Arial" w:eastAsia="Arial" w:hAnsi="Arial"/>
          <w:sz w:val="10"/>
          <w:szCs w:val="10"/>
          <w:color w:val="auto"/>
        </w:rPr>
        <w:t>Securities measured at fair value through earnings includes agency interest-only and principal-only securities.</w:t>
      </w:r>
    </w:p>
    <w:p>
      <w:pPr>
        <w:ind w:left="420" w:hanging="212"/>
        <w:spacing w:after="0" w:line="225" w:lineRule="auto"/>
        <w:tabs>
          <w:tab w:leader="none" w:pos="420" w:val="left"/>
        </w:tabs>
        <w:numPr>
          <w:ilvl w:val="0"/>
          <w:numId w:val="3"/>
        </w:numPr>
        <w:rPr>
          <w:rFonts w:ascii="Arial" w:cs="Arial" w:eastAsia="Arial" w:hAnsi="Arial"/>
          <w:sz w:val="10"/>
          <w:szCs w:val="10"/>
          <w:color w:val="auto"/>
        </w:rPr>
      </w:pPr>
      <w:r>
        <w:rPr>
          <w:rFonts w:ascii="Arial" w:cs="Arial" w:eastAsia="Arial" w:hAnsi="Arial"/>
          <w:sz w:val="10"/>
          <w:szCs w:val="10"/>
          <w:color w:val="auto"/>
        </w:rPr>
        <w:t>Par value amount excludes the underlying unamortized principal balance ("UPB") of interest-only securities of $1.0 billion as of December 31, 2015.</w:t>
      </w:r>
    </w:p>
    <w:p>
      <w:pPr>
        <w:ind w:left="420" w:hanging="212"/>
        <w:spacing w:after="0" w:line="236" w:lineRule="auto"/>
        <w:tabs>
          <w:tab w:leader="none" w:pos="420" w:val="left"/>
        </w:tabs>
        <w:numPr>
          <w:ilvl w:val="0"/>
          <w:numId w:val="3"/>
        </w:numPr>
        <w:rPr>
          <w:rFonts w:ascii="Arial" w:cs="Arial" w:eastAsia="Arial" w:hAnsi="Arial"/>
          <w:sz w:val="10"/>
          <w:szCs w:val="10"/>
          <w:color w:val="auto"/>
        </w:rPr>
      </w:pPr>
      <w:r>
        <w:rPr>
          <w:rFonts w:ascii="Arial" w:cs="Arial" w:eastAsia="Arial" w:hAnsi="Arial"/>
          <w:sz w:val="10"/>
          <w:szCs w:val="10"/>
          <w:color w:val="auto"/>
        </w:rPr>
        <w:t>Incorporates a weighted average future constant prepayment rate assumption of 8% based on forward rates as of December 31, 2015.</w:t>
      </w:r>
    </w:p>
    <w:p>
      <w:pPr>
        <w:spacing w:after="0" w:line="99" w:lineRule="exact"/>
        <w:rPr>
          <w:sz w:val="20"/>
          <w:szCs w:val="20"/>
          <w:color w:val="auto"/>
        </w:rPr>
      </w:pPr>
    </w:p>
    <w:p>
      <w:pPr>
        <w:ind w:left="280"/>
        <w:spacing w:after="0"/>
        <w:rPr>
          <w:sz w:val="20"/>
          <w:szCs w:val="20"/>
          <w:color w:val="auto"/>
        </w:rPr>
      </w:pPr>
      <w:r>
        <w:rPr>
          <w:rFonts w:ascii="Arial" w:cs="Arial" w:eastAsia="Arial" w:hAnsi="Arial"/>
          <w:sz w:val="10"/>
          <w:szCs w:val="10"/>
          <w:color w:val="auto"/>
        </w:rPr>
        <w:t>As of September 30, 2016 and December 31, 2015, our investments in non-agency MBS carried a credit rating of AAA. As of September 30, 2016, all of our investments in CRT securities were issued by Fannie Mae or Freddie Mac.</w:t>
      </w:r>
    </w:p>
    <w:p>
      <w:pPr>
        <w:spacing w:after="0" w:line="173" w:lineRule="exact"/>
        <w:rPr>
          <w:sz w:val="20"/>
          <w:szCs w:val="20"/>
          <w:color w:val="auto"/>
        </w:rPr>
      </w:pPr>
    </w:p>
    <w:p>
      <w:pPr>
        <w:jc w:val="both"/>
        <w:ind w:right="20" w:firstLine="288"/>
        <w:spacing w:after="0" w:line="263" w:lineRule="auto"/>
        <w:rPr>
          <w:sz w:val="20"/>
          <w:szCs w:val="20"/>
          <w:color w:val="auto"/>
        </w:rPr>
      </w:pPr>
      <w:r>
        <w:rPr>
          <w:rFonts w:ascii="Arial" w:cs="Arial" w:eastAsia="Arial" w:hAnsi="Arial"/>
          <w:sz w:val="12"/>
          <w:szCs w:val="12"/>
          <w:color w:val="auto"/>
        </w:rPr>
        <w:t>The actual maturities of our investment securities are generally shorter than their stated contractual maturities. Actual maturities are affected by the contractual lives of the underlying mortgages, periodic contractual principal payments and principal prepayments. As of September 30, 2016 and December 31, 2015, our weighted average expected constant prepayment rate ("CPR") over the remaining life of our aggregate investment portfolio was 11% and 8%, respectively. Our estimates differ materially for different types of securities and thus individual holdings have a wide range of projected CPRs.</w:t>
      </w:r>
    </w:p>
    <w:p>
      <w:pPr>
        <w:spacing w:after="0" w:line="123" w:lineRule="exact"/>
        <w:rPr>
          <w:sz w:val="20"/>
          <w:szCs w:val="20"/>
          <w:color w:val="auto"/>
        </w:rPr>
      </w:pPr>
    </w:p>
    <w:p>
      <w:pPr>
        <w:ind w:left="280"/>
        <w:spacing w:after="0"/>
        <w:rPr>
          <w:sz w:val="20"/>
          <w:szCs w:val="20"/>
          <w:color w:val="auto"/>
        </w:rPr>
      </w:pPr>
      <w:r>
        <w:rPr>
          <w:rFonts w:ascii="Arial" w:cs="Arial" w:eastAsia="Arial" w:hAnsi="Arial"/>
          <w:sz w:val="11"/>
          <w:szCs w:val="11"/>
          <w:color w:val="auto"/>
        </w:rPr>
        <w:t>The following table summarizes our investments classified as available-for-sale as of September 30, 2016 and December 31, 2015 according to their estimated weighted average life classification (dollars in millions):</w:t>
      </w:r>
    </w:p>
    <w:p>
      <w:pPr>
        <w:spacing w:after="0" w:line="309"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27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2020" w:type="dxa"/>
            <w:vAlign w:val="bottom"/>
            <w:tcBorders>
              <w:bottom w:val="single" w:sz="8" w:color="auto"/>
            </w:tcBorders>
            <w:gridSpan w:val="4"/>
          </w:tcPr>
          <w:p>
            <w:pPr>
              <w:ind w:left="520"/>
              <w:spacing w:after="0"/>
              <w:rPr>
                <w:sz w:val="20"/>
                <w:szCs w:val="20"/>
                <w:color w:val="auto"/>
              </w:rPr>
            </w:pPr>
            <w:r>
              <w:rPr>
                <w:rFonts w:ascii="Arial" w:cs="Arial" w:eastAsia="Arial" w:hAnsi="Arial"/>
                <w:sz w:val="10"/>
                <w:szCs w:val="10"/>
                <w:b w:val="1"/>
                <w:bCs w:val="1"/>
                <w:color w:val="auto"/>
              </w:rPr>
              <w:t>September 30, 2016</w:t>
            </w:r>
          </w:p>
        </w:tc>
        <w:tc>
          <w:tcPr>
            <w:tcW w:w="1040" w:type="dxa"/>
            <w:vAlign w:val="bottom"/>
            <w:tcBorders>
              <w:bottom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960" w:type="dxa"/>
            <w:vAlign w:val="bottom"/>
            <w:tcBorders>
              <w:bottom w:val="single" w:sz="8" w:color="auto"/>
            </w:tcBorders>
            <w:gridSpan w:val="4"/>
          </w:tcPr>
          <w:p>
            <w:pPr>
              <w:ind w:left="520"/>
              <w:spacing w:after="0"/>
              <w:rPr>
                <w:sz w:val="20"/>
                <w:szCs w:val="20"/>
                <w:color w:val="auto"/>
              </w:rPr>
            </w:pPr>
            <w:r>
              <w:rPr>
                <w:rFonts w:ascii="Arial" w:cs="Arial" w:eastAsia="Arial" w:hAnsi="Arial"/>
                <w:sz w:val="10"/>
                <w:szCs w:val="10"/>
                <w:b w:val="1"/>
                <w:bCs w:val="1"/>
                <w:color w:val="auto"/>
              </w:rPr>
              <w:t>December 31, 2015</w:t>
            </w:r>
          </w:p>
        </w:tc>
        <w:tc>
          <w:tcPr>
            <w:tcW w:w="1040" w:type="dxa"/>
            <w:vAlign w:val="bottom"/>
            <w:tcBorders>
              <w:bottom w:val="single" w:sz="8" w:color="auto"/>
            </w:tcBorders>
          </w:tcPr>
          <w:p>
            <w:pPr>
              <w:spacing w:after="0"/>
              <w:rPr>
                <w:sz w:val="11"/>
                <w:szCs w:val="11"/>
                <w:color w:val="auto"/>
              </w:rPr>
            </w:pPr>
          </w:p>
        </w:tc>
      </w:tr>
      <w:tr>
        <w:trPr>
          <w:trHeight w:val="96"/>
        </w:trPr>
        <w:tc>
          <w:tcPr>
            <w:tcW w:w="27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7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8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4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4"/>
              </w:rPr>
              <w:t>Weighted</w:t>
            </w:r>
          </w:p>
        </w:tc>
        <w:tc>
          <w:tcPr>
            <w:tcW w:w="1160" w:type="dxa"/>
            <w:vAlign w:val="bottom"/>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88"/>
              </w:rPr>
              <w:t>Weighted</w:t>
            </w:r>
          </w:p>
        </w:tc>
        <w:tc>
          <w:tcPr>
            <w:tcW w:w="160" w:type="dxa"/>
            <w:vAlign w:val="bottom"/>
          </w:tcPr>
          <w:p>
            <w:pPr>
              <w:spacing w:after="0"/>
              <w:rPr>
                <w:sz w:val="8"/>
                <w:szCs w:val="8"/>
                <w:color w:val="auto"/>
              </w:rPr>
            </w:pPr>
          </w:p>
        </w:tc>
        <w:tc>
          <w:tcPr>
            <w:tcW w:w="7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8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2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8"/>
              </w:rPr>
              <w:t>Weighted</w:t>
            </w:r>
          </w:p>
        </w:tc>
        <w:tc>
          <w:tcPr>
            <w:tcW w:w="104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8"/>
              </w:rPr>
              <w:t>Weighted</w:t>
            </w:r>
          </w:p>
        </w:tc>
      </w:tr>
      <w:tr>
        <w:trPr>
          <w:trHeight w:val="99"/>
        </w:trPr>
        <w:tc>
          <w:tcPr>
            <w:tcW w:w="2880" w:type="dxa"/>
            <w:vAlign w:val="bottom"/>
            <w:gridSpan w:val="2"/>
          </w:tcPr>
          <w:p>
            <w:pPr>
              <w:ind w:left="20"/>
              <w:spacing w:after="0" w:line="99" w:lineRule="exact"/>
              <w:rPr>
                <w:sz w:val="20"/>
                <w:szCs w:val="20"/>
                <w:color w:val="auto"/>
              </w:rPr>
            </w:pPr>
            <w:r>
              <w:rPr>
                <w:rFonts w:ascii="Arial" w:cs="Arial" w:eastAsia="Arial" w:hAnsi="Arial"/>
                <w:sz w:val="10"/>
                <w:szCs w:val="10"/>
                <w:b w:val="1"/>
                <w:bCs w:val="1"/>
                <w:color w:val="auto"/>
                <w:w w:val="99"/>
              </w:rPr>
              <w:t>Estimated Weighted Average Life of Securities Classified as</w:t>
            </w:r>
          </w:p>
        </w:tc>
        <w:tc>
          <w:tcPr>
            <w:tcW w:w="160" w:type="dxa"/>
            <w:vAlign w:val="bottom"/>
          </w:tcPr>
          <w:p>
            <w:pPr>
              <w:spacing w:after="0"/>
              <w:rPr>
                <w:sz w:val="8"/>
                <w:szCs w:val="8"/>
                <w:color w:val="auto"/>
              </w:rPr>
            </w:pPr>
          </w:p>
        </w:tc>
        <w:tc>
          <w:tcPr>
            <w:tcW w:w="7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980" w:type="dxa"/>
            <w:vAlign w:val="bottom"/>
            <w:gridSpan w:val="2"/>
          </w:tcPr>
          <w:p>
            <w:pPr>
              <w:ind w:left="120"/>
              <w:spacing w:after="0" w:line="99" w:lineRule="exact"/>
              <w:rPr>
                <w:sz w:val="20"/>
                <w:szCs w:val="20"/>
                <w:color w:val="auto"/>
              </w:rPr>
            </w:pPr>
            <w:r>
              <w:rPr>
                <w:rFonts w:ascii="Arial" w:cs="Arial" w:eastAsia="Arial" w:hAnsi="Arial"/>
                <w:sz w:val="10"/>
                <w:szCs w:val="10"/>
                <w:b w:val="1"/>
                <w:bCs w:val="1"/>
                <w:color w:val="auto"/>
              </w:rPr>
              <w:t>Amortized</w:t>
            </w:r>
          </w:p>
        </w:tc>
        <w:tc>
          <w:tcPr>
            <w:tcW w:w="104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6"/>
              </w:rPr>
              <w:t>Average</w:t>
            </w:r>
          </w:p>
        </w:tc>
        <w:tc>
          <w:tcPr>
            <w:tcW w:w="116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6"/>
              </w:rPr>
              <w:t>Average</w:t>
            </w:r>
          </w:p>
        </w:tc>
        <w:tc>
          <w:tcPr>
            <w:tcW w:w="160" w:type="dxa"/>
            <w:vAlign w:val="bottom"/>
          </w:tcPr>
          <w:p>
            <w:pPr>
              <w:spacing w:after="0"/>
              <w:rPr>
                <w:sz w:val="8"/>
                <w:szCs w:val="8"/>
                <w:color w:val="auto"/>
              </w:rPr>
            </w:pPr>
          </w:p>
        </w:tc>
        <w:tc>
          <w:tcPr>
            <w:tcW w:w="7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940" w:type="dxa"/>
            <w:vAlign w:val="bottom"/>
            <w:gridSpan w:val="2"/>
          </w:tcPr>
          <w:p>
            <w:pPr>
              <w:ind w:left="100"/>
              <w:spacing w:after="0" w:line="99" w:lineRule="exact"/>
              <w:rPr>
                <w:sz w:val="20"/>
                <w:szCs w:val="20"/>
                <w:color w:val="auto"/>
              </w:rPr>
            </w:pPr>
            <w:r>
              <w:rPr>
                <w:rFonts w:ascii="Arial" w:cs="Arial" w:eastAsia="Arial" w:hAnsi="Arial"/>
                <w:sz w:val="10"/>
                <w:szCs w:val="10"/>
                <w:b w:val="1"/>
                <w:bCs w:val="1"/>
                <w:color w:val="auto"/>
              </w:rPr>
              <w:t>Amortized</w:t>
            </w:r>
          </w:p>
        </w:tc>
        <w:tc>
          <w:tcPr>
            <w:tcW w:w="102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0"/>
              </w:rPr>
              <w:t>Average</w:t>
            </w:r>
          </w:p>
        </w:tc>
        <w:tc>
          <w:tcPr>
            <w:tcW w:w="104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0"/>
              </w:rPr>
              <w:t>Average</w:t>
            </w:r>
          </w:p>
        </w:tc>
      </w:tr>
      <w:tr>
        <w:trPr>
          <w:trHeight w:val="128"/>
        </w:trPr>
        <w:tc>
          <w:tcPr>
            <w:tcW w:w="276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Available-for-Sale</w:t>
            </w:r>
          </w:p>
        </w:tc>
        <w:tc>
          <w:tcPr>
            <w:tcW w:w="12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Fair Value</w:t>
            </w:r>
          </w:p>
        </w:tc>
        <w:tc>
          <w:tcPr>
            <w:tcW w:w="12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jc w:val="right"/>
              <w:ind w:right="372"/>
              <w:spacing w:after="0"/>
              <w:rPr>
                <w:sz w:val="20"/>
                <w:szCs w:val="20"/>
                <w:color w:val="auto"/>
              </w:rPr>
            </w:pPr>
            <w:r>
              <w:rPr>
                <w:rFonts w:ascii="Arial" w:cs="Arial" w:eastAsia="Arial" w:hAnsi="Arial"/>
                <w:sz w:val="10"/>
                <w:szCs w:val="10"/>
                <w:b w:val="1"/>
                <w:bCs w:val="1"/>
                <w:color w:val="auto"/>
              </w:rPr>
              <w:t>Cost</w:t>
            </w:r>
          </w:p>
        </w:tc>
        <w:tc>
          <w:tcPr>
            <w:tcW w:w="12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4"/>
              </w:rPr>
              <w:t>Coupon</w:t>
            </w:r>
          </w:p>
        </w:tc>
        <w:tc>
          <w:tcPr>
            <w:tcW w:w="12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1"/>
              </w:rPr>
              <w:t>Yield</w:t>
            </w:r>
          </w:p>
        </w:tc>
        <w:tc>
          <w:tcPr>
            <w:tcW w:w="12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Fair Value</w:t>
            </w:r>
          </w:p>
        </w:tc>
        <w:tc>
          <w:tcPr>
            <w:tcW w:w="12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jc w:val="right"/>
              <w:ind w:right="372"/>
              <w:spacing w:after="0"/>
              <w:rPr>
                <w:sz w:val="20"/>
                <w:szCs w:val="20"/>
                <w:color w:val="auto"/>
              </w:rPr>
            </w:pPr>
            <w:r>
              <w:rPr>
                <w:rFonts w:ascii="Arial" w:cs="Arial" w:eastAsia="Arial" w:hAnsi="Arial"/>
                <w:sz w:val="10"/>
                <w:szCs w:val="10"/>
                <w:b w:val="1"/>
                <w:bCs w:val="1"/>
                <w:color w:val="auto"/>
              </w:rPr>
              <w:t>Cost</w:t>
            </w:r>
          </w:p>
        </w:tc>
        <w:tc>
          <w:tcPr>
            <w:tcW w:w="10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4"/>
              </w:rPr>
              <w:t>Coupon</w:t>
            </w:r>
          </w:p>
        </w:tc>
        <w:tc>
          <w:tcPr>
            <w:tcW w:w="10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1"/>
              </w:rPr>
              <w:t>Yield</w:t>
            </w:r>
          </w:p>
        </w:tc>
      </w:tr>
      <w:tr>
        <w:trPr>
          <w:trHeight w:val="164"/>
        </w:trPr>
        <w:tc>
          <w:tcPr>
            <w:tcW w:w="28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 1 year and ≤ 3 years</w:t>
            </w: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1,493</w:t>
            </w:r>
          </w:p>
        </w:tc>
        <w:tc>
          <w:tcPr>
            <w:tcW w:w="120" w:type="dxa"/>
            <w:vAlign w:val="bottom"/>
            <w:shd w:val="clear" w:color="auto" w:fill="CCEEFF"/>
          </w:tcPr>
          <w:p>
            <w:pPr>
              <w:spacing w:after="0"/>
              <w:rPr>
                <w:sz w:val="14"/>
                <w:szCs w:val="14"/>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1,467</w:t>
            </w:r>
          </w:p>
        </w:tc>
        <w:tc>
          <w:tcPr>
            <w:tcW w:w="120" w:type="dxa"/>
            <w:vAlign w:val="bottom"/>
            <w:shd w:val="clear" w:color="auto" w:fill="CCEEFF"/>
          </w:tcPr>
          <w:p>
            <w:pPr>
              <w:spacing w:after="0"/>
              <w:rPr>
                <w:sz w:val="14"/>
                <w:szCs w:val="14"/>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3.92%</w:t>
            </w:r>
          </w:p>
        </w:tc>
        <w:tc>
          <w:tcPr>
            <w:tcW w:w="120" w:type="dxa"/>
            <w:vAlign w:val="bottom"/>
            <w:shd w:val="clear" w:color="auto" w:fill="CCEEFF"/>
          </w:tcPr>
          <w:p>
            <w:pPr>
              <w:spacing w:after="0"/>
              <w:rPr>
                <w:sz w:val="14"/>
                <w:szCs w:val="14"/>
                <w:color w:val="auto"/>
              </w:rPr>
            </w:pPr>
          </w:p>
        </w:tc>
        <w:tc>
          <w:tcPr>
            <w:tcW w:w="10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2.48%</w:t>
            </w: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167</w:t>
            </w:r>
          </w:p>
        </w:tc>
        <w:tc>
          <w:tcPr>
            <w:tcW w:w="120" w:type="dxa"/>
            <w:vAlign w:val="bottom"/>
            <w:shd w:val="clear" w:color="auto" w:fill="CCEEFF"/>
          </w:tcPr>
          <w:p>
            <w:pPr>
              <w:spacing w:after="0"/>
              <w:rPr>
                <w:sz w:val="14"/>
                <w:szCs w:val="14"/>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163</w:t>
            </w:r>
          </w:p>
        </w:tc>
        <w:tc>
          <w:tcPr>
            <w:tcW w:w="100" w:type="dxa"/>
            <w:vAlign w:val="bottom"/>
            <w:shd w:val="clear" w:color="auto" w:fill="CCEEFF"/>
          </w:tcPr>
          <w:p>
            <w:pPr>
              <w:spacing w:after="0"/>
              <w:rPr>
                <w:sz w:val="14"/>
                <w:szCs w:val="14"/>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4.02%</w:t>
            </w:r>
          </w:p>
        </w:tc>
        <w:tc>
          <w:tcPr>
            <w:tcW w:w="100" w:type="dxa"/>
            <w:vAlign w:val="bottom"/>
            <w:shd w:val="clear" w:color="auto" w:fill="CCEEFF"/>
          </w:tcPr>
          <w:p>
            <w:pPr>
              <w:spacing w:after="0"/>
              <w:rPr>
                <w:sz w:val="14"/>
                <w:szCs w:val="14"/>
                <w:color w:val="auto"/>
              </w:rPr>
            </w:pPr>
          </w:p>
        </w:tc>
        <w:tc>
          <w:tcPr>
            <w:tcW w:w="10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2.66%</w:t>
            </w:r>
          </w:p>
        </w:tc>
      </w:tr>
      <w:tr>
        <w:trPr>
          <w:trHeight w:val="176"/>
        </w:trPr>
        <w:tc>
          <w:tcPr>
            <w:tcW w:w="2880" w:type="dxa"/>
            <w:vAlign w:val="bottom"/>
            <w:gridSpan w:val="2"/>
          </w:tcPr>
          <w:p>
            <w:pPr>
              <w:ind w:left="20"/>
              <w:spacing w:after="0"/>
              <w:rPr>
                <w:sz w:val="20"/>
                <w:szCs w:val="20"/>
                <w:color w:val="auto"/>
              </w:rPr>
            </w:pPr>
            <w:r>
              <w:rPr>
                <w:rFonts w:ascii="Arial" w:cs="Arial" w:eastAsia="Arial" w:hAnsi="Arial"/>
                <w:sz w:val="10"/>
                <w:szCs w:val="10"/>
                <w:color w:val="auto"/>
              </w:rPr>
              <w:t>&gt; 3 years and ≤ 5 years</w:t>
            </w:r>
          </w:p>
        </w:tc>
        <w:tc>
          <w:tcPr>
            <w:tcW w:w="160" w:type="dxa"/>
            <w:vAlign w:val="bottom"/>
          </w:tcPr>
          <w:p>
            <w:pPr>
              <w:spacing w:after="0"/>
              <w:rPr>
                <w:sz w:val="15"/>
                <w:szCs w:val="15"/>
                <w:color w:val="auto"/>
              </w:rPr>
            </w:pPr>
          </w:p>
        </w:tc>
        <w:tc>
          <w:tcPr>
            <w:tcW w:w="760" w:type="dxa"/>
            <w:vAlign w:val="bottom"/>
          </w:tcPr>
          <w:p>
            <w:pPr>
              <w:jc w:val="right"/>
              <w:ind w:right="72"/>
              <w:spacing w:after="0"/>
              <w:rPr>
                <w:sz w:val="20"/>
                <w:szCs w:val="20"/>
                <w:color w:val="auto"/>
              </w:rPr>
            </w:pPr>
            <w:r>
              <w:rPr>
                <w:rFonts w:ascii="Arial" w:cs="Arial" w:eastAsia="Arial" w:hAnsi="Arial"/>
                <w:sz w:val="10"/>
                <w:szCs w:val="10"/>
                <w:color w:val="auto"/>
              </w:rPr>
              <w:t>15,984</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60" w:type="dxa"/>
            <w:vAlign w:val="bottom"/>
          </w:tcPr>
          <w:p>
            <w:pPr>
              <w:jc w:val="right"/>
              <w:ind w:right="72"/>
              <w:spacing w:after="0"/>
              <w:rPr>
                <w:sz w:val="20"/>
                <w:szCs w:val="20"/>
                <w:color w:val="auto"/>
              </w:rPr>
            </w:pPr>
            <w:r>
              <w:rPr>
                <w:rFonts w:ascii="Arial" w:cs="Arial" w:eastAsia="Arial" w:hAnsi="Arial"/>
                <w:sz w:val="10"/>
                <w:szCs w:val="10"/>
                <w:color w:val="auto"/>
              </w:rPr>
              <w:t>15,556</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4"/>
              </w:rPr>
              <w:t>3.30%</w:t>
            </w:r>
          </w:p>
        </w:tc>
        <w:tc>
          <w:tcPr>
            <w:tcW w:w="120" w:type="dxa"/>
            <w:vAlign w:val="bottom"/>
          </w:tcPr>
          <w:p>
            <w:pPr>
              <w:spacing w:after="0"/>
              <w:rPr>
                <w:sz w:val="15"/>
                <w:szCs w:val="15"/>
                <w:color w:val="auto"/>
              </w:rPr>
            </w:pPr>
          </w:p>
        </w:tc>
        <w:tc>
          <w:tcPr>
            <w:tcW w:w="1040" w:type="dxa"/>
            <w:vAlign w:val="bottom"/>
          </w:tcPr>
          <w:p>
            <w:pPr>
              <w:jc w:val="center"/>
              <w:spacing w:after="0"/>
              <w:rPr>
                <w:sz w:val="20"/>
                <w:szCs w:val="20"/>
                <w:color w:val="auto"/>
              </w:rPr>
            </w:pPr>
            <w:r>
              <w:rPr>
                <w:rFonts w:ascii="Arial" w:cs="Arial" w:eastAsia="Arial" w:hAnsi="Arial"/>
                <w:sz w:val="10"/>
                <w:szCs w:val="10"/>
                <w:color w:val="auto"/>
                <w:w w:val="84"/>
              </w:rPr>
              <w:t>2.44%</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tcPr>
          <w:p>
            <w:pPr>
              <w:jc w:val="right"/>
              <w:ind w:right="52"/>
              <w:spacing w:after="0"/>
              <w:rPr>
                <w:sz w:val="20"/>
                <w:szCs w:val="20"/>
                <w:color w:val="auto"/>
              </w:rPr>
            </w:pPr>
            <w:r>
              <w:rPr>
                <w:rFonts w:ascii="Arial" w:cs="Arial" w:eastAsia="Arial" w:hAnsi="Arial"/>
                <w:sz w:val="10"/>
                <w:szCs w:val="10"/>
                <w:color w:val="auto"/>
              </w:rPr>
              <w:t>17,497</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72"/>
              <w:spacing w:after="0"/>
              <w:rPr>
                <w:sz w:val="20"/>
                <w:szCs w:val="20"/>
                <w:color w:val="auto"/>
              </w:rPr>
            </w:pPr>
            <w:r>
              <w:rPr>
                <w:rFonts w:ascii="Arial" w:cs="Arial" w:eastAsia="Arial" w:hAnsi="Arial"/>
                <w:sz w:val="10"/>
                <w:szCs w:val="10"/>
                <w:color w:val="auto"/>
              </w:rPr>
              <w:t>17,343</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4"/>
              </w:rPr>
              <w:t>3.27%</w:t>
            </w:r>
          </w:p>
        </w:tc>
        <w:tc>
          <w:tcPr>
            <w:tcW w:w="100" w:type="dxa"/>
            <w:vAlign w:val="bottom"/>
          </w:tcPr>
          <w:p>
            <w:pPr>
              <w:spacing w:after="0"/>
              <w:rPr>
                <w:sz w:val="15"/>
                <w:szCs w:val="15"/>
                <w:color w:val="auto"/>
              </w:rPr>
            </w:pPr>
          </w:p>
        </w:tc>
        <w:tc>
          <w:tcPr>
            <w:tcW w:w="1040" w:type="dxa"/>
            <w:vAlign w:val="bottom"/>
          </w:tcPr>
          <w:p>
            <w:pPr>
              <w:jc w:val="center"/>
              <w:spacing w:after="0"/>
              <w:rPr>
                <w:sz w:val="20"/>
                <w:szCs w:val="20"/>
                <w:color w:val="auto"/>
              </w:rPr>
            </w:pPr>
            <w:r>
              <w:rPr>
                <w:rFonts w:ascii="Arial" w:cs="Arial" w:eastAsia="Arial" w:hAnsi="Arial"/>
                <w:sz w:val="10"/>
                <w:szCs w:val="10"/>
                <w:color w:val="auto"/>
                <w:w w:val="84"/>
              </w:rPr>
              <w:t>2.40%</w:t>
            </w:r>
          </w:p>
        </w:tc>
      </w:tr>
      <w:tr>
        <w:trPr>
          <w:trHeight w:val="184"/>
        </w:trPr>
        <w:tc>
          <w:tcPr>
            <w:tcW w:w="28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&gt; 5 years and ≤10 years</w:t>
            </w: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29,490</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28,936</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3.65%</w:t>
            </w:r>
          </w:p>
        </w:tc>
        <w:tc>
          <w:tcPr>
            <w:tcW w:w="120" w:type="dxa"/>
            <w:vAlign w:val="bottom"/>
            <w:shd w:val="clear" w:color="auto" w:fill="CCEEFF"/>
          </w:tcPr>
          <w:p>
            <w:pPr>
              <w:spacing w:after="0"/>
              <w:rPr>
                <w:sz w:val="16"/>
                <w:szCs w:val="16"/>
                <w:color w:val="auto"/>
              </w:rPr>
            </w:pPr>
          </w:p>
        </w:tc>
        <w:tc>
          <w:tcPr>
            <w:tcW w:w="10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2.76%</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34,206</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34,391</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3.67%</w:t>
            </w: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2.93%</w:t>
            </w:r>
          </w:p>
        </w:tc>
      </w:tr>
      <w:tr>
        <w:trPr>
          <w:trHeight w:val="176"/>
        </w:trPr>
        <w:tc>
          <w:tcPr>
            <w:tcW w:w="288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&gt; 10 years</w:t>
            </w:r>
          </w:p>
        </w:tc>
        <w:tc>
          <w:tcPr>
            <w:tcW w:w="16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26</w:t>
            </w:r>
          </w:p>
        </w:tc>
        <w:tc>
          <w:tcPr>
            <w:tcW w:w="12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86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23</w:t>
            </w:r>
          </w:p>
        </w:tc>
        <w:tc>
          <w:tcPr>
            <w:tcW w:w="120" w:type="dxa"/>
            <w:vAlign w:val="bottom"/>
            <w:tcBorders>
              <w:bottom w:val="single" w:sz="8" w:color="CCEEFF"/>
            </w:tcBorders>
          </w:tcPr>
          <w:p>
            <w:pPr>
              <w:spacing w:after="0"/>
              <w:rPr>
                <w:sz w:val="15"/>
                <w:szCs w:val="15"/>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4.67%</w:t>
            </w:r>
          </w:p>
        </w:tc>
        <w:tc>
          <w:tcPr>
            <w:tcW w:w="120" w:type="dxa"/>
            <w:vAlign w:val="bottom"/>
            <w:tcBorders>
              <w:bottom w:val="single" w:sz="8" w:color="CCEEFF"/>
            </w:tcBorders>
          </w:tcPr>
          <w:p>
            <w:pPr>
              <w:spacing w:after="0"/>
              <w:rPr>
                <w:sz w:val="15"/>
                <w:szCs w:val="15"/>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3.86%</w:t>
            </w:r>
          </w:p>
        </w:tc>
        <w:tc>
          <w:tcPr>
            <w:tcW w:w="12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250</w:t>
            </w:r>
          </w:p>
        </w:tc>
        <w:tc>
          <w:tcPr>
            <w:tcW w:w="12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84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250</w:t>
            </w:r>
          </w:p>
        </w:tc>
        <w:tc>
          <w:tcPr>
            <w:tcW w:w="100" w:type="dxa"/>
            <w:vAlign w:val="bottom"/>
            <w:tcBorders>
              <w:bottom w:val="single" w:sz="8" w:color="CCEEFF"/>
            </w:tcBorders>
          </w:tcPr>
          <w:p>
            <w:pPr>
              <w:spacing w:after="0"/>
              <w:rPr>
                <w:sz w:val="15"/>
                <w:szCs w:val="15"/>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3.56%</w:t>
            </w:r>
          </w:p>
        </w:tc>
        <w:tc>
          <w:tcPr>
            <w:tcW w:w="100" w:type="dxa"/>
            <w:vAlign w:val="bottom"/>
            <w:tcBorders>
              <w:bottom w:val="single" w:sz="8" w:color="CCEEFF"/>
            </w:tcBorders>
          </w:tcPr>
          <w:p>
            <w:pPr>
              <w:spacing w:after="0"/>
              <w:rPr>
                <w:sz w:val="15"/>
                <w:szCs w:val="15"/>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3.08%</w:t>
            </w:r>
          </w:p>
        </w:tc>
      </w:tr>
      <w:tr>
        <w:trPr>
          <w:trHeight w:val="162"/>
        </w:trPr>
        <w:tc>
          <w:tcPr>
            <w:tcW w:w="2880" w:type="dxa"/>
            <w:vAlign w:val="bottom"/>
            <w:tcBorders>
              <w:bottom w:val="single" w:sz="8" w:color="CCEEFF"/>
            </w:tcBorders>
            <w:gridSpan w:val="2"/>
            <w:shd w:val="clear" w:color="auto" w:fill="CCEEFF"/>
          </w:tcPr>
          <w:p>
            <w:pPr>
              <w:ind w:left="460"/>
              <w:spacing w:after="0"/>
              <w:rPr>
                <w:sz w:val="20"/>
                <w:szCs w:val="20"/>
                <w:color w:val="auto"/>
              </w:rPr>
            </w:pPr>
            <w:r>
              <w:rPr>
                <w:rFonts w:ascii="Arial" w:cs="Arial" w:eastAsia="Arial" w:hAnsi="Arial"/>
                <w:sz w:val="10"/>
                <w:szCs w:val="10"/>
                <w:color w:val="auto"/>
              </w:rPr>
              <w:t>Total</w:t>
            </w: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46,993</w:t>
            </w:r>
          </w:p>
        </w:tc>
        <w:tc>
          <w:tcPr>
            <w:tcW w:w="120" w:type="dxa"/>
            <w:vAlign w:val="bottom"/>
            <w:tcBorders>
              <w:bottom w:val="single" w:sz="8" w:color="CCEEFF"/>
            </w:tcBorders>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45,982</w:t>
            </w:r>
          </w:p>
        </w:tc>
        <w:tc>
          <w:tcPr>
            <w:tcW w:w="120" w:type="dxa"/>
            <w:vAlign w:val="bottom"/>
            <w:tcBorders>
              <w:bottom w:val="single" w:sz="8" w:color="CCEEFF"/>
            </w:tcBorders>
            <w:shd w:val="clear" w:color="auto" w:fill="CCEEFF"/>
          </w:tcPr>
          <w:p>
            <w:pPr>
              <w:spacing w:after="0"/>
              <w:rPr>
                <w:sz w:val="14"/>
                <w:szCs w:val="14"/>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3.54%</w:t>
            </w:r>
          </w:p>
        </w:tc>
        <w:tc>
          <w:tcPr>
            <w:tcW w:w="120" w:type="dxa"/>
            <w:vAlign w:val="bottom"/>
            <w:tcBorders>
              <w:bottom w:val="single" w:sz="8" w:color="CCEEFF"/>
            </w:tcBorders>
            <w:shd w:val="clear" w:color="auto" w:fill="CCEEFF"/>
          </w:tcPr>
          <w:p>
            <w:pPr>
              <w:spacing w:after="0"/>
              <w:rPr>
                <w:sz w:val="14"/>
                <w:szCs w:val="14"/>
                <w:color w:val="auto"/>
              </w:rPr>
            </w:pPr>
          </w:p>
        </w:tc>
        <w:tc>
          <w:tcPr>
            <w:tcW w:w="10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2.64%</w:t>
            </w:r>
          </w:p>
        </w:tc>
        <w:tc>
          <w:tcPr>
            <w:tcW w:w="120" w:type="dxa"/>
            <w:vAlign w:val="bottom"/>
            <w:tcBorders>
              <w:bottom w:val="single" w:sz="8" w:color="CCEEFF"/>
            </w:tcBorders>
            <w:shd w:val="clear" w:color="auto" w:fill="CCEEFF"/>
          </w:tcPr>
          <w:p>
            <w:pPr>
              <w:spacing w:after="0"/>
              <w:rPr>
                <w:sz w:val="14"/>
                <w:szCs w:val="14"/>
                <w:color w:val="auto"/>
              </w:rPr>
            </w:pP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52,120</w:t>
            </w:r>
          </w:p>
        </w:tc>
        <w:tc>
          <w:tcPr>
            <w:tcW w:w="120" w:type="dxa"/>
            <w:vAlign w:val="bottom"/>
            <w:tcBorders>
              <w:bottom w:val="single" w:sz="8" w:color="CCEEFF"/>
            </w:tcBorders>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52,147</w:t>
            </w:r>
          </w:p>
        </w:tc>
        <w:tc>
          <w:tcPr>
            <w:tcW w:w="100" w:type="dxa"/>
            <w:vAlign w:val="bottom"/>
            <w:tcBorders>
              <w:bottom w:val="single" w:sz="8" w:color="CCEEFF"/>
            </w:tcBorders>
            <w:shd w:val="clear" w:color="auto" w:fill="CCEEFF"/>
          </w:tcPr>
          <w:p>
            <w:pPr>
              <w:spacing w:after="0"/>
              <w:rPr>
                <w:sz w:val="14"/>
                <w:szCs w:val="14"/>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3.54%</w:t>
            </w:r>
          </w:p>
        </w:tc>
        <w:tc>
          <w:tcPr>
            <w:tcW w:w="100" w:type="dxa"/>
            <w:vAlign w:val="bottom"/>
            <w:tcBorders>
              <w:bottom w:val="single" w:sz="8" w:color="CCEEFF"/>
            </w:tcBorders>
            <w:shd w:val="clear" w:color="auto" w:fill="CCEEFF"/>
          </w:tcPr>
          <w:p>
            <w:pPr>
              <w:spacing w:after="0"/>
              <w:rPr>
                <w:sz w:val="14"/>
                <w:szCs w:val="14"/>
                <w:color w:val="auto"/>
              </w:rPr>
            </w:pPr>
          </w:p>
        </w:tc>
        <w:tc>
          <w:tcPr>
            <w:tcW w:w="10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2.75%</w:t>
            </w:r>
          </w:p>
        </w:tc>
      </w:tr>
    </w:tbl>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12</w:t>
      </w:r>
    </w:p>
    <w:p>
      <w:pPr>
        <w:sectPr>
          <w:pgSz w:w="11900" w:h="16838" w:orient="portrait"/>
          <w:cols w:equalWidth="0" w:num="1">
            <w:col w:w="11480"/>
          </w:cols>
          <w:pgMar w:left="220" w:top="433" w:right="199" w:bottom="1440" w:gutter="0" w:footer="0" w:header="0"/>
        </w:sectPr>
      </w:pPr>
    </w:p>
    <w:bookmarkStart w:id="13" w:name="page14"/>
    <w:bookmarkEnd w:id="13"/>
    <w:p>
      <w:pPr>
        <w:ind w:left="280"/>
        <w:spacing w:after="0"/>
        <w:rPr>
          <w:sz w:val="20"/>
          <w:szCs w:val="20"/>
          <w:color w:val="auto"/>
        </w:rPr>
      </w:pPr>
      <w:r>
        <w:rPr>
          <w:rFonts w:ascii="Arial" w:cs="Arial" w:eastAsia="Arial" w:hAnsi="Arial"/>
          <w:sz w:val="11"/>
          <w:szCs w:val="11"/>
          <w:color w:val="auto"/>
        </w:rPr>
        <w:t>The following table presents the gross unrealized loss and fair values of our available-for-sale securities by length of time that such securities have been in a continuous unrealized loss position as of September 30, 2016 and</w:t>
      </w:r>
    </w:p>
    <w:p>
      <w:pPr>
        <w:spacing w:after="0" w:line="26" w:lineRule="exact"/>
        <w:rPr>
          <w:sz w:val="20"/>
          <w:szCs w:val="20"/>
          <w:color w:val="auto"/>
        </w:rPr>
      </w:pPr>
    </w:p>
    <w:p>
      <w:pPr>
        <w:spacing w:after="0"/>
        <w:rPr>
          <w:sz w:val="20"/>
          <w:szCs w:val="20"/>
          <w:color w:val="auto"/>
        </w:rPr>
      </w:pPr>
      <w:r>
        <w:rPr>
          <w:rFonts w:ascii="Arial" w:cs="Arial" w:eastAsia="Arial" w:hAnsi="Arial"/>
          <w:sz w:val="12"/>
          <w:szCs w:val="12"/>
          <w:color w:val="auto"/>
        </w:rPr>
        <w:t>December 31, 2015 (in millions):</w:t>
      </w:r>
    </w:p>
    <w:p>
      <w:pPr>
        <w:spacing w:after="0" w:line="271"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39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3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100" w:type="dxa"/>
            <w:vAlign w:val="bottom"/>
            <w:tcBorders>
              <w:bottom w:val="single" w:sz="8" w:color="auto"/>
            </w:tcBorders>
            <w:gridSpan w:val="4"/>
          </w:tcPr>
          <w:p>
            <w:pPr>
              <w:jc w:val="right"/>
              <w:ind w:right="292"/>
              <w:spacing w:after="0"/>
              <w:rPr>
                <w:sz w:val="20"/>
                <w:szCs w:val="20"/>
                <w:color w:val="auto"/>
              </w:rPr>
            </w:pPr>
            <w:r>
              <w:rPr>
                <w:rFonts w:ascii="Arial" w:cs="Arial" w:eastAsia="Arial" w:hAnsi="Arial"/>
                <w:sz w:val="10"/>
                <w:szCs w:val="10"/>
                <w:b w:val="1"/>
                <w:bCs w:val="1"/>
                <w:color w:val="auto"/>
              </w:rPr>
              <w:t>Unrealized Loss Position For</w:t>
            </w:r>
          </w:p>
        </w:tc>
        <w:tc>
          <w:tcPr>
            <w:tcW w:w="3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tcPr>
          <w:p>
            <w:pPr>
              <w:spacing w:after="0"/>
              <w:rPr>
                <w:sz w:val="11"/>
                <w:szCs w:val="11"/>
                <w:color w:val="auto"/>
              </w:rPr>
            </w:pPr>
          </w:p>
        </w:tc>
      </w:tr>
      <w:tr>
        <w:trPr>
          <w:trHeight w:val="169"/>
        </w:trPr>
        <w:tc>
          <w:tcPr>
            <w:tcW w:w="39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960" w:type="dxa"/>
            <w:vAlign w:val="bottom"/>
            <w:tcBorders>
              <w:bottom w:val="single" w:sz="8" w:color="auto"/>
            </w:tcBorders>
            <w:gridSpan w:val="3"/>
          </w:tcPr>
          <w:p>
            <w:pPr>
              <w:jc w:val="right"/>
              <w:ind w:right="412"/>
              <w:spacing w:after="0"/>
              <w:rPr>
                <w:sz w:val="20"/>
                <w:szCs w:val="20"/>
                <w:color w:val="auto"/>
              </w:rPr>
            </w:pPr>
            <w:r>
              <w:rPr>
                <w:rFonts w:ascii="Arial" w:cs="Arial" w:eastAsia="Arial" w:hAnsi="Arial"/>
                <w:sz w:val="10"/>
                <w:szCs w:val="10"/>
                <w:b w:val="1"/>
                <w:bCs w:val="1"/>
                <w:color w:val="auto"/>
              </w:rPr>
              <w:t>Less than 12 Months</w:t>
            </w:r>
          </w:p>
        </w:tc>
        <w:tc>
          <w:tcPr>
            <w:tcW w:w="32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tcBorders>
              <w:bottom w:val="single" w:sz="8" w:color="auto"/>
            </w:tcBorders>
          </w:tcPr>
          <w:p>
            <w:pPr>
              <w:spacing w:after="0"/>
              <w:rPr>
                <w:sz w:val="14"/>
                <w:szCs w:val="14"/>
                <w:color w:val="auto"/>
              </w:rPr>
            </w:pPr>
          </w:p>
        </w:tc>
        <w:tc>
          <w:tcPr>
            <w:tcW w:w="1300" w:type="dxa"/>
            <w:vAlign w:val="bottom"/>
            <w:tcBorders>
              <w:bottom w:val="single" w:sz="8" w:color="auto"/>
            </w:tcBorders>
            <w:gridSpan w:val="3"/>
          </w:tcPr>
          <w:p>
            <w:pPr>
              <w:ind w:left="20"/>
              <w:spacing w:after="0"/>
              <w:rPr>
                <w:sz w:val="20"/>
                <w:szCs w:val="20"/>
                <w:color w:val="auto"/>
              </w:rPr>
            </w:pPr>
            <w:r>
              <w:rPr>
                <w:rFonts w:ascii="Arial" w:cs="Arial" w:eastAsia="Arial" w:hAnsi="Arial"/>
                <w:sz w:val="10"/>
                <w:szCs w:val="10"/>
                <w:b w:val="1"/>
                <w:bCs w:val="1"/>
                <w:color w:val="auto"/>
              </w:rPr>
              <w:t>12 Months or More</w:t>
            </w:r>
          </w:p>
        </w:tc>
        <w:tc>
          <w:tcPr>
            <w:tcW w:w="3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gridSpan w:val="3"/>
          </w:tcPr>
          <w:p>
            <w:pPr>
              <w:jc w:val="right"/>
              <w:ind w:right="140"/>
              <w:spacing w:after="0"/>
              <w:rPr>
                <w:sz w:val="20"/>
                <w:szCs w:val="20"/>
                <w:color w:val="auto"/>
              </w:rPr>
            </w:pPr>
            <w:r>
              <w:rPr>
                <w:rFonts w:ascii="Arial" w:cs="Arial" w:eastAsia="Arial" w:hAnsi="Arial"/>
                <w:sz w:val="10"/>
                <w:szCs w:val="10"/>
                <w:b w:val="1"/>
                <w:bCs w:val="1"/>
                <w:color w:val="auto"/>
                <w:w w:val="91"/>
              </w:rPr>
              <w:t>Total</w:t>
            </w:r>
          </w:p>
        </w:tc>
        <w:tc>
          <w:tcPr>
            <w:tcW w:w="940" w:type="dxa"/>
            <w:vAlign w:val="bottom"/>
            <w:tcBorders>
              <w:bottom w:val="single" w:sz="8" w:color="auto"/>
            </w:tcBorders>
          </w:tcPr>
          <w:p>
            <w:pPr>
              <w:spacing w:after="0"/>
              <w:rPr>
                <w:sz w:val="14"/>
                <w:szCs w:val="14"/>
                <w:color w:val="auto"/>
              </w:rPr>
            </w:pPr>
          </w:p>
        </w:tc>
      </w:tr>
      <w:tr>
        <w:trPr>
          <w:trHeight w:val="96"/>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20" w:type="dxa"/>
            <w:vAlign w:val="bottom"/>
            <w:gridSpan w:val="2"/>
          </w:tcPr>
          <w:p>
            <w:pPr>
              <w:ind w:left="120"/>
              <w:spacing w:after="0" w:line="96" w:lineRule="exact"/>
              <w:rPr>
                <w:sz w:val="20"/>
                <w:szCs w:val="20"/>
                <w:color w:val="auto"/>
              </w:rPr>
            </w:pPr>
            <w:r>
              <w:rPr>
                <w:rFonts w:ascii="Arial" w:cs="Arial" w:eastAsia="Arial" w:hAnsi="Arial"/>
                <w:sz w:val="10"/>
                <w:szCs w:val="10"/>
                <w:b w:val="1"/>
                <w:bCs w:val="1"/>
                <w:color w:val="auto"/>
              </w:rPr>
              <w:t>Estimated Fair</w:t>
            </w:r>
          </w:p>
        </w:tc>
        <w:tc>
          <w:tcPr>
            <w:tcW w:w="840" w:type="dxa"/>
            <w:vAlign w:val="bottom"/>
          </w:tcPr>
          <w:p>
            <w:pPr>
              <w:jc w:val="right"/>
              <w:spacing w:after="0" w:line="96" w:lineRule="exact"/>
              <w:rPr>
                <w:sz w:val="20"/>
                <w:szCs w:val="20"/>
                <w:color w:val="auto"/>
              </w:rPr>
            </w:pPr>
            <w:r>
              <w:rPr>
                <w:rFonts w:ascii="Arial" w:cs="Arial" w:eastAsia="Arial" w:hAnsi="Arial"/>
                <w:sz w:val="10"/>
                <w:szCs w:val="10"/>
                <w:b w:val="1"/>
                <w:bCs w:val="1"/>
                <w:color w:val="auto"/>
              </w:rPr>
              <w:t>Unrealized</w:t>
            </w:r>
          </w:p>
        </w:tc>
        <w:tc>
          <w:tcPr>
            <w:tcW w:w="32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0" w:type="dxa"/>
            <w:vAlign w:val="bottom"/>
          </w:tcPr>
          <w:p>
            <w:pPr>
              <w:jc w:val="right"/>
              <w:spacing w:after="0" w:line="96" w:lineRule="exact"/>
              <w:rPr>
                <w:sz w:val="20"/>
                <w:szCs w:val="20"/>
                <w:color w:val="auto"/>
              </w:rPr>
            </w:pPr>
            <w:r>
              <w:rPr>
                <w:rFonts w:ascii="Arial" w:cs="Arial" w:eastAsia="Arial" w:hAnsi="Arial"/>
                <w:sz w:val="10"/>
                <w:szCs w:val="10"/>
                <w:b w:val="1"/>
                <w:bCs w:val="1"/>
                <w:color w:val="auto"/>
              </w:rPr>
              <w:t>Estimated</w:t>
            </w:r>
          </w:p>
        </w:tc>
        <w:tc>
          <w:tcPr>
            <w:tcW w:w="360" w:type="dxa"/>
            <w:vAlign w:val="bottom"/>
          </w:tcPr>
          <w:p>
            <w:pPr>
              <w:spacing w:after="0"/>
              <w:rPr>
                <w:sz w:val="8"/>
                <w:szCs w:val="8"/>
                <w:color w:val="auto"/>
              </w:rPr>
            </w:pPr>
          </w:p>
        </w:tc>
        <w:tc>
          <w:tcPr>
            <w:tcW w:w="120" w:type="dxa"/>
            <w:vAlign w:val="bottom"/>
          </w:tcPr>
          <w:p>
            <w:pPr>
              <w:spacing w:after="0"/>
              <w:rPr>
                <w:sz w:val="8"/>
                <w:szCs w:val="8"/>
                <w:color w:val="auto"/>
              </w:rPr>
            </w:pPr>
          </w:p>
        </w:tc>
        <w:tc>
          <w:tcPr>
            <w:tcW w:w="820" w:type="dxa"/>
            <w:vAlign w:val="bottom"/>
          </w:tcPr>
          <w:p>
            <w:pPr>
              <w:jc w:val="right"/>
              <w:spacing w:after="0" w:line="96" w:lineRule="exact"/>
              <w:rPr>
                <w:sz w:val="20"/>
                <w:szCs w:val="20"/>
                <w:color w:val="auto"/>
              </w:rPr>
            </w:pPr>
            <w:r>
              <w:rPr>
                <w:rFonts w:ascii="Arial" w:cs="Arial" w:eastAsia="Arial" w:hAnsi="Arial"/>
                <w:sz w:val="10"/>
                <w:szCs w:val="10"/>
                <w:b w:val="1"/>
                <w:bCs w:val="1"/>
                <w:color w:val="auto"/>
              </w:rPr>
              <w:t>Unrealized</w:t>
            </w:r>
          </w:p>
        </w:tc>
        <w:tc>
          <w:tcPr>
            <w:tcW w:w="3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900" w:type="dxa"/>
            <w:vAlign w:val="bottom"/>
          </w:tcPr>
          <w:p>
            <w:pPr>
              <w:jc w:val="right"/>
              <w:ind w:right="132"/>
              <w:spacing w:after="0" w:line="96" w:lineRule="exact"/>
              <w:rPr>
                <w:sz w:val="20"/>
                <w:szCs w:val="20"/>
                <w:color w:val="auto"/>
              </w:rPr>
            </w:pPr>
            <w:r>
              <w:rPr>
                <w:rFonts w:ascii="Arial" w:cs="Arial" w:eastAsia="Arial" w:hAnsi="Arial"/>
                <w:sz w:val="10"/>
                <w:szCs w:val="10"/>
                <w:b w:val="1"/>
                <w:bCs w:val="1"/>
                <w:color w:val="auto"/>
              </w:rPr>
              <w:t>Estimated Fair</w:t>
            </w: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940" w:type="dxa"/>
            <w:vAlign w:val="bottom"/>
          </w:tcPr>
          <w:p>
            <w:pPr>
              <w:jc w:val="right"/>
              <w:ind w:right="292"/>
              <w:spacing w:after="0" w:line="96" w:lineRule="exact"/>
              <w:rPr>
                <w:sz w:val="20"/>
                <w:szCs w:val="20"/>
                <w:color w:val="auto"/>
              </w:rPr>
            </w:pPr>
            <w:r>
              <w:rPr>
                <w:rFonts w:ascii="Arial" w:cs="Arial" w:eastAsia="Arial" w:hAnsi="Arial"/>
                <w:sz w:val="10"/>
                <w:szCs w:val="10"/>
                <w:b w:val="1"/>
                <w:bCs w:val="1"/>
                <w:color w:val="auto"/>
              </w:rPr>
              <w:t>Unrealized</w:t>
            </w:r>
          </w:p>
        </w:tc>
      </w:tr>
      <w:tr>
        <w:trPr>
          <w:trHeight w:val="128"/>
        </w:trPr>
        <w:tc>
          <w:tcPr>
            <w:tcW w:w="39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Securities Classified as Available-for-Sale</w:t>
            </w:r>
          </w:p>
        </w:tc>
        <w:tc>
          <w:tcPr>
            <w:tcW w:w="12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tcPr>
          <w:p>
            <w:pPr>
              <w:jc w:val="right"/>
              <w:ind w:right="412"/>
              <w:spacing w:after="0"/>
              <w:rPr>
                <w:sz w:val="20"/>
                <w:szCs w:val="20"/>
                <w:color w:val="auto"/>
              </w:rPr>
            </w:pPr>
            <w:r>
              <w:rPr>
                <w:rFonts w:ascii="Arial" w:cs="Arial" w:eastAsia="Arial" w:hAnsi="Arial"/>
                <w:sz w:val="10"/>
                <w:szCs w:val="10"/>
                <w:b w:val="1"/>
                <w:bCs w:val="1"/>
                <w:color w:val="auto"/>
              </w:rPr>
              <w:t>Value</w:t>
            </w:r>
          </w:p>
        </w:tc>
        <w:tc>
          <w:tcPr>
            <w:tcW w:w="120" w:type="dxa"/>
            <w:vAlign w:val="bottom"/>
            <w:tcBorders>
              <w:bottom w:val="single" w:sz="8" w:color="CCEEFF"/>
            </w:tcBorders>
          </w:tcPr>
          <w:p>
            <w:pPr>
              <w:spacing w:after="0"/>
              <w:rPr>
                <w:sz w:val="11"/>
                <w:szCs w:val="11"/>
                <w:color w:val="auto"/>
              </w:rPr>
            </w:pPr>
          </w:p>
        </w:tc>
        <w:tc>
          <w:tcPr>
            <w:tcW w:w="84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b w:val="1"/>
                <w:bCs w:val="1"/>
                <w:color w:val="auto"/>
              </w:rPr>
              <w:t>Loss</w:t>
            </w:r>
          </w:p>
        </w:tc>
        <w:tc>
          <w:tcPr>
            <w:tcW w:w="32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Fair Value</w:t>
            </w:r>
          </w:p>
        </w:tc>
        <w:tc>
          <w:tcPr>
            <w:tcW w:w="36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8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b w:val="1"/>
                <w:bCs w:val="1"/>
                <w:color w:val="auto"/>
              </w:rPr>
              <w:t>Loss</w:t>
            </w:r>
          </w:p>
        </w:tc>
        <w:tc>
          <w:tcPr>
            <w:tcW w:w="320" w:type="dxa"/>
            <w:vAlign w:val="bottom"/>
            <w:tcBorders>
              <w:bottom w:val="single" w:sz="8" w:color="auto"/>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jc w:val="right"/>
              <w:ind w:right="332"/>
              <w:spacing w:after="0"/>
              <w:rPr>
                <w:sz w:val="20"/>
                <w:szCs w:val="20"/>
                <w:color w:val="auto"/>
              </w:rPr>
            </w:pPr>
            <w:r>
              <w:rPr>
                <w:rFonts w:ascii="Arial" w:cs="Arial" w:eastAsia="Arial" w:hAnsi="Arial"/>
                <w:sz w:val="10"/>
                <w:szCs w:val="10"/>
                <w:b w:val="1"/>
                <w:bCs w:val="1"/>
                <w:color w:val="auto"/>
              </w:rPr>
              <w:t>Value</w:t>
            </w:r>
          </w:p>
        </w:tc>
        <w:tc>
          <w:tcPr>
            <w:tcW w:w="80" w:type="dxa"/>
            <w:vAlign w:val="bottom"/>
            <w:tcBorders>
              <w:bottom w:val="single" w:sz="8" w:color="auto"/>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tcPr>
          <w:p>
            <w:pPr>
              <w:jc w:val="right"/>
              <w:ind w:right="432"/>
              <w:spacing w:after="0"/>
              <w:rPr>
                <w:sz w:val="20"/>
                <w:szCs w:val="20"/>
                <w:color w:val="auto"/>
              </w:rPr>
            </w:pPr>
            <w:r>
              <w:rPr>
                <w:rFonts w:ascii="Arial" w:cs="Arial" w:eastAsia="Arial" w:hAnsi="Arial"/>
                <w:sz w:val="10"/>
                <w:szCs w:val="10"/>
                <w:b w:val="1"/>
                <w:bCs w:val="1"/>
                <w:color w:val="auto"/>
              </w:rPr>
              <w:t>Loss</w:t>
            </w:r>
          </w:p>
        </w:tc>
      </w:tr>
      <w:tr>
        <w:trPr>
          <w:trHeight w:val="164"/>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September 30, 2016</w:t>
            </w: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0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602</w:t>
            </w:r>
          </w:p>
        </w:tc>
        <w:tc>
          <w:tcPr>
            <w:tcW w:w="120" w:type="dxa"/>
            <w:vAlign w:val="bottom"/>
            <w:shd w:val="clear" w:color="auto" w:fill="CCEEFF"/>
          </w:tcPr>
          <w:p>
            <w:pPr>
              <w:spacing w:after="0"/>
              <w:rPr>
                <w:sz w:val="14"/>
                <w:szCs w:val="14"/>
                <w:color w:val="auto"/>
              </w:rPr>
            </w:pPr>
          </w:p>
        </w:tc>
        <w:tc>
          <w:tcPr>
            <w:tcW w:w="840" w:type="dxa"/>
            <w:vAlign w:val="bottom"/>
            <w:shd w:val="clear" w:color="auto" w:fill="CCEEFF"/>
          </w:tcPr>
          <w:p>
            <w:pPr>
              <w:jc w:val="right"/>
              <w:ind w:right="732"/>
              <w:spacing w:after="0"/>
              <w:rPr>
                <w:sz w:val="20"/>
                <w:szCs w:val="20"/>
                <w:color w:val="auto"/>
              </w:rPr>
            </w:pPr>
            <w:r>
              <w:rPr>
                <w:rFonts w:ascii="Arial" w:cs="Arial" w:eastAsia="Arial" w:hAnsi="Arial"/>
                <w:sz w:val="10"/>
                <w:szCs w:val="10"/>
                <w:color w:val="auto"/>
                <w:w w:val="71"/>
              </w:rPr>
              <w:t>$</w:t>
            </w:r>
          </w:p>
        </w:tc>
        <w:tc>
          <w:tcPr>
            <w:tcW w:w="32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(2)</w:t>
            </w:r>
          </w:p>
        </w:tc>
        <w:tc>
          <w:tcPr>
            <w:tcW w:w="120" w:type="dxa"/>
            <w:vAlign w:val="bottom"/>
            <w:shd w:val="clear" w:color="auto" w:fill="CCEEFF"/>
          </w:tcPr>
          <w:p>
            <w:pPr>
              <w:spacing w:after="0"/>
              <w:rPr>
                <w:sz w:val="14"/>
                <w:szCs w:val="14"/>
                <w:color w:val="auto"/>
              </w:rPr>
            </w:pPr>
          </w:p>
        </w:tc>
        <w:tc>
          <w:tcPr>
            <w:tcW w:w="800" w:type="dxa"/>
            <w:vAlign w:val="bottom"/>
            <w:shd w:val="clear" w:color="auto" w:fill="CCEEFF"/>
          </w:tcPr>
          <w:p>
            <w:pPr>
              <w:jc w:val="right"/>
              <w:ind w:right="692"/>
              <w:spacing w:after="0"/>
              <w:rPr>
                <w:sz w:val="20"/>
                <w:szCs w:val="20"/>
                <w:color w:val="auto"/>
              </w:rPr>
            </w:pPr>
            <w:r>
              <w:rPr>
                <w:rFonts w:ascii="Arial" w:cs="Arial" w:eastAsia="Arial" w:hAnsi="Arial"/>
                <w:sz w:val="10"/>
                <w:szCs w:val="10"/>
                <w:color w:val="auto"/>
                <w:w w:val="71"/>
              </w:rPr>
              <w:t>$</w:t>
            </w:r>
          </w:p>
        </w:tc>
        <w:tc>
          <w:tcPr>
            <w:tcW w:w="360" w:type="dxa"/>
            <w:vAlign w:val="bottom"/>
            <w:shd w:val="clear" w:color="auto" w:fill="CCEEFF"/>
          </w:tcPr>
          <w:p>
            <w:pPr>
              <w:ind w:left="20"/>
              <w:spacing w:after="0"/>
              <w:rPr>
                <w:sz w:val="20"/>
                <w:szCs w:val="20"/>
                <w:color w:val="auto"/>
              </w:rPr>
            </w:pPr>
            <w:r>
              <w:rPr>
                <w:rFonts w:ascii="Arial" w:cs="Arial" w:eastAsia="Arial" w:hAnsi="Arial"/>
                <w:sz w:val="10"/>
                <w:szCs w:val="10"/>
                <w:color w:val="auto"/>
              </w:rPr>
              <w:t>1,851</w:t>
            </w:r>
          </w:p>
        </w:tc>
        <w:tc>
          <w:tcPr>
            <w:tcW w:w="120" w:type="dxa"/>
            <w:vAlign w:val="bottom"/>
            <w:shd w:val="clear" w:color="auto" w:fill="CCEEFF"/>
          </w:tcPr>
          <w:p>
            <w:pPr>
              <w:spacing w:after="0"/>
              <w:rPr>
                <w:sz w:val="14"/>
                <w:szCs w:val="14"/>
                <w:color w:val="auto"/>
              </w:rPr>
            </w:pPr>
          </w:p>
        </w:tc>
        <w:tc>
          <w:tcPr>
            <w:tcW w:w="820" w:type="dxa"/>
            <w:vAlign w:val="bottom"/>
            <w:shd w:val="clear" w:color="auto" w:fill="CCEEFF"/>
          </w:tcPr>
          <w:p>
            <w:pPr>
              <w:jc w:val="right"/>
              <w:ind w:right="712"/>
              <w:spacing w:after="0"/>
              <w:rPr>
                <w:sz w:val="20"/>
                <w:szCs w:val="20"/>
                <w:color w:val="auto"/>
              </w:rPr>
            </w:pPr>
            <w:r>
              <w:rPr>
                <w:rFonts w:ascii="Arial" w:cs="Arial" w:eastAsia="Arial" w:hAnsi="Arial"/>
                <w:sz w:val="10"/>
                <w:szCs w:val="10"/>
                <w:color w:val="auto"/>
                <w:w w:val="71"/>
              </w:rPr>
              <w:t>$</w:t>
            </w:r>
          </w:p>
        </w:tc>
        <w:tc>
          <w:tcPr>
            <w:tcW w:w="32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(8)</w:t>
            </w:r>
          </w:p>
        </w:tc>
        <w:tc>
          <w:tcPr>
            <w:tcW w:w="100" w:type="dxa"/>
            <w:vAlign w:val="bottom"/>
            <w:shd w:val="clear" w:color="auto" w:fill="CCEEFF"/>
          </w:tcPr>
          <w:p>
            <w:pPr>
              <w:spacing w:after="0"/>
              <w:rPr>
                <w:sz w:val="14"/>
                <w:szCs w:val="14"/>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2,453</w:t>
            </w:r>
          </w:p>
        </w:tc>
        <w:tc>
          <w:tcPr>
            <w:tcW w:w="380" w:type="dxa"/>
            <w:vAlign w:val="bottom"/>
            <w:gridSpan w:val="3"/>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9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(10)</w:t>
            </w:r>
          </w:p>
        </w:tc>
      </w:tr>
      <w:tr>
        <w:trPr>
          <w:trHeight w:val="172"/>
        </w:trPr>
        <w:tc>
          <w:tcPr>
            <w:tcW w:w="4020" w:type="dxa"/>
            <w:vAlign w:val="bottom"/>
            <w:gridSpan w:val="2"/>
          </w:tcPr>
          <w:p>
            <w:pPr>
              <w:ind w:left="20"/>
              <w:spacing w:after="0"/>
              <w:rPr>
                <w:sz w:val="20"/>
                <w:szCs w:val="20"/>
                <w:color w:val="auto"/>
              </w:rPr>
            </w:pPr>
            <w:r>
              <w:rPr>
                <w:rFonts w:ascii="Arial" w:cs="Arial" w:eastAsia="Arial" w:hAnsi="Arial"/>
                <w:sz w:val="10"/>
                <w:szCs w:val="10"/>
                <w:color w:val="auto"/>
              </w:rPr>
              <w:t>December 31, 2015</w:t>
            </w: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1000" w:type="dxa"/>
            <w:vAlign w:val="bottom"/>
          </w:tcPr>
          <w:p>
            <w:pPr>
              <w:jc w:val="right"/>
              <w:ind w:right="72"/>
              <w:spacing w:after="0"/>
              <w:rPr>
                <w:sz w:val="20"/>
                <w:szCs w:val="20"/>
                <w:color w:val="auto"/>
              </w:rPr>
            </w:pPr>
            <w:r>
              <w:rPr>
                <w:rFonts w:ascii="Arial" w:cs="Arial" w:eastAsia="Arial" w:hAnsi="Arial"/>
                <w:sz w:val="10"/>
                <w:szCs w:val="10"/>
                <w:color w:val="auto"/>
              </w:rPr>
              <w:t>24,035</w:t>
            </w:r>
          </w:p>
        </w:tc>
        <w:tc>
          <w:tcPr>
            <w:tcW w:w="120" w:type="dxa"/>
            <w:vAlign w:val="bottom"/>
          </w:tcPr>
          <w:p>
            <w:pPr>
              <w:spacing w:after="0"/>
              <w:rPr>
                <w:sz w:val="14"/>
                <w:szCs w:val="14"/>
                <w:color w:val="auto"/>
              </w:rPr>
            </w:pPr>
          </w:p>
        </w:tc>
        <w:tc>
          <w:tcPr>
            <w:tcW w:w="840" w:type="dxa"/>
            <w:vAlign w:val="bottom"/>
          </w:tcPr>
          <w:p>
            <w:pPr>
              <w:jc w:val="right"/>
              <w:ind w:right="732"/>
              <w:spacing w:after="0"/>
              <w:rPr>
                <w:sz w:val="20"/>
                <w:szCs w:val="20"/>
                <w:color w:val="auto"/>
              </w:rPr>
            </w:pPr>
            <w:r>
              <w:rPr>
                <w:rFonts w:ascii="Arial" w:cs="Arial" w:eastAsia="Arial" w:hAnsi="Arial"/>
                <w:sz w:val="10"/>
                <w:szCs w:val="10"/>
                <w:color w:val="auto"/>
                <w:w w:val="71"/>
              </w:rPr>
              <w:t>$</w:t>
            </w:r>
          </w:p>
        </w:tc>
        <w:tc>
          <w:tcPr>
            <w:tcW w:w="320" w:type="dxa"/>
            <w:vAlign w:val="bottom"/>
          </w:tcPr>
          <w:p>
            <w:pPr>
              <w:jc w:val="right"/>
              <w:ind w:right="32"/>
              <w:spacing w:after="0"/>
              <w:rPr>
                <w:sz w:val="20"/>
                <w:szCs w:val="20"/>
                <w:color w:val="auto"/>
              </w:rPr>
            </w:pPr>
            <w:r>
              <w:rPr>
                <w:rFonts w:ascii="Arial" w:cs="Arial" w:eastAsia="Arial" w:hAnsi="Arial"/>
                <w:sz w:val="10"/>
                <w:szCs w:val="10"/>
                <w:color w:val="auto"/>
                <w:w w:val="94"/>
              </w:rPr>
              <w:t>(200)</w:t>
            </w:r>
          </w:p>
        </w:tc>
        <w:tc>
          <w:tcPr>
            <w:tcW w:w="120" w:type="dxa"/>
            <w:vAlign w:val="bottom"/>
          </w:tcPr>
          <w:p>
            <w:pPr>
              <w:spacing w:after="0"/>
              <w:rPr>
                <w:sz w:val="14"/>
                <w:szCs w:val="14"/>
                <w:color w:val="auto"/>
              </w:rPr>
            </w:pPr>
          </w:p>
        </w:tc>
        <w:tc>
          <w:tcPr>
            <w:tcW w:w="800" w:type="dxa"/>
            <w:vAlign w:val="bottom"/>
          </w:tcPr>
          <w:p>
            <w:pPr>
              <w:jc w:val="right"/>
              <w:ind w:right="692"/>
              <w:spacing w:after="0"/>
              <w:rPr>
                <w:sz w:val="20"/>
                <w:szCs w:val="20"/>
                <w:color w:val="auto"/>
              </w:rPr>
            </w:pPr>
            <w:r>
              <w:rPr>
                <w:rFonts w:ascii="Arial" w:cs="Arial" w:eastAsia="Arial" w:hAnsi="Arial"/>
                <w:sz w:val="10"/>
                <w:szCs w:val="10"/>
                <w:color w:val="auto"/>
                <w:w w:val="71"/>
              </w:rPr>
              <w:t>$</w:t>
            </w:r>
          </w:p>
        </w:tc>
        <w:tc>
          <w:tcPr>
            <w:tcW w:w="360" w:type="dxa"/>
            <w:vAlign w:val="bottom"/>
          </w:tcPr>
          <w:p>
            <w:pPr>
              <w:ind w:left="20"/>
              <w:spacing w:after="0"/>
              <w:rPr>
                <w:sz w:val="20"/>
                <w:szCs w:val="20"/>
                <w:color w:val="auto"/>
              </w:rPr>
            </w:pPr>
            <w:r>
              <w:rPr>
                <w:rFonts w:ascii="Arial" w:cs="Arial" w:eastAsia="Arial" w:hAnsi="Arial"/>
                <w:sz w:val="10"/>
                <w:szCs w:val="10"/>
                <w:color w:val="auto"/>
              </w:rPr>
              <w:t>6,793</w:t>
            </w:r>
          </w:p>
        </w:tc>
        <w:tc>
          <w:tcPr>
            <w:tcW w:w="120" w:type="dxa"/>
            <w:vAlign w:val="bottom"/>
          </w:tcPr>
          <w:p>
            <w:pPr>
              <w:spacing w:after="0"/>
              <w:rPr>
                <w:sz w:val="14"/>
                <w:szCs w:val="14"/>
                <w:color w:val="auto"/>
              </w:rPr>
            </w:pPr>
          </w:p>
        </w:tc>
        <w:tc>
          <w:tcPr>
            <w:tcW w:w="820" w:type="dxa"/>
            <w:vAlign w:val="bottom"/>
          </w:tcPr>
          <w:p>
            <w:pPr>
              <w:jc w:val="right"/>
              <w:ind w:right="712"/>
              <w:spacing w:after="0"/>
              <w:rPr>
                <w:sz w:val="20"/>
                <w:szCs w:val="20"/>
                <w:color w:val="auto"/>
              </w:rPr>
            </w:pPr>
            <w:r>
              <w:rPr>
                <w:rFonts w:ascii="Arial" w:cs="Arial" w:eastAsia="Arial" w:hAnsi="Arial"/>
                <w:sz w:val="10"/>
                <w:szCs w:val="10"/>
                <w:color w:val="auto"/>
                <w:w w:val="71"/>
              </w:rPr>
              <w:t>$</w:t>
            </w:r>
          </w:p>
        </w:tc>
        <w:tc>
          <w:tcPr>
            <w:tcW w:w="320" w:type="dxa"/>
            <w:vAlign w:val="bottom"/>
          </w:tcPr>
          <w:p>
            <w:pPr>
              <w:jc w:val="right"/>
              <w:ind w:right="32"/>
              <w:spacing w:after="0"/>
              <w:rPr>
                <w:sz w:val="20"/>
                <w:szCs w:val="20"/>
                <w:color w:val="auto"/>
              </w:rPr>
            </w:pPr>
            <w:r>
              <w:rPr>
                <w:rFonts w:ascii="Arial" w:cs="Arial" w:eastAsia="Arial" w:hAnsi="Arial"/>
                <w:sz w:val="10"/>
                <w:szCs w:val="10"/>
                <w:color w:val="auto"/>
                <w:w w:val="94"/>
              </w:rPr>
              <w:t>(195)</w:t>
            </w:r>
          </w:p>
        </w:tc>
        <w:tc>
          <w:tcPr>
            <w:tcW w:w="100" w:type="dxa"/>
            <w:vAlign w:val="bottom"/>
          </w:tcPr>
          <w:p>
            <w:pPr>
              <w:spacing w:after="0"/>
              <w:rPr>
                <w:sz w:val="14"/>
                <w:szCs w:val="14"/>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30,828</w:t>
            </w:r>
          </w:p>
        </w:tc>
        <w:tc>
          <w:tcPr>
            <w:tcW w:w="380" w:type="dxa"/>
            <w:vAlign w:val="bottom"/>
            <w:gridSpan w:val="3"/>
          </w:tcPr>
          <w:p>
            <w:pPr>
              <w:jc w:val="right"/>
              <w:ind w:right="140"/>
              <w:spacing w:after="0"/>
              <w:rPr>
                <w:sz w:val="20"/>
                <w:szCs w:val="20"/>
                <w:color w:val="auto"/>
              </w:rPr>
            </w:pPr>
            <w:r>
              <w:rPr>
                <w:rFonts w:ascii="Arial" w:cs="Arial" w:eastAsia="Arial" w:hAnsi="Arial"/>
                <w:sz w:val="10"/>
                <w:szCs w:val="10"/>
                <w:color w:val="auto"/>
              </w:rPr>
              <w:t>$</w:t>
            </w:r>
          </w:p>
        </w:tc>
        <w:tc>
          <w:tcPr>
            <w:tcW w:w="940" w:type="dxa"/>
            <w:vAlign w:val="bottom"/>
          </w:tcPr>
          <w:p>
            <w:pPr>
              <w:jc w:val="right"/>
              <w:ind w:right="32"/>
              <w:spacing w:after="0"/>
              <w:rPr>
                <w:sz w:val="20"/>
                <w:szCs w:val="20"/>
                <w:color w:val="auto"/>
              </w:rPr>
            </w:pPr>
            <w:r>
              <w:rPr>
                <w:rFonts w:ascii="Arial" w:cs="Arial" w:eastAsia="Arial" w:hAnsi="Arial"/>
                <w:sz w:val="10"/>
                <w:szCs w:val="10"/>
                <w:color w:val="auto"/>
              </w:rPr>
              <w:t>(395)</w:t>
            </w:r>
          </w:p>
        </w:tc>
      </w:tr>
    </w:tbl>
    <w:p>
      <w:pPr>
        <w:spacing w:after="0" w:line="143"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2"/>
          <w:szCs w:val="12"/>
          <w:color w:val="auto"/>
        </w:rPr>
        <w:t>We did not recognize any OTTI charges on our investment securities for the nine months ended September 30, 2016 and 2015. As of the end of each respective reporting period, a decision had not been made to sell any of our securities in an unrealized loss position and we did not believe it was more likely than not that we would be required to sell such securities before recovery of their amortized cost basis. The unrealized losses on our securities were not due to credit losses given the GSE guarantees and credit enhancements on our non-agency securities, but rather were due to changes in interest rates and prepayment expectations. However, as we continue to actively manage our portfolio, we may recognize additional realized losses on our investment securities upon selecting specific securities to sell.</w:t>
      </w:r>
    </w:p>
    <w:p>
      <w:pPr>
        <w:spacing w:after="0" w:line="143"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Gains and Losses on Sale of Mortgage-Backed Securities</w:t>
      </w:r>
    </w:p>
    <w:p>
      <w:pPr>
        <w:spacing w:after="0" w:line="60"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The following table is a summary of our net gain (loss) from the sale of securities classified as available-for-sale for the three and nine months ended September 30, 2016 and 2015 (in millions). Please refer to Note 9 for a summary of changes in accumulated OCI for the same periods</w:t>
      </w:r>
      <w:r>
        <w:rPr>
          <w:rFonts w:ascii="Arial" w:cs="Arial" w:eastAsia="Arial" w:hAnsi="Arial"/>
          <w:sz w:val="10"/>
          <w:szCs w:val="10"/>
          <w:color w:val="auto"/>
        </w:rPr>
        <w:t>.</w:t>
      </w:r>
    </w:p>
    <w:p>
      <w:pPr>
        <w:spacing w:after="0" w:line="118" w:lineRule="exact"/>
        <w:rPr>
          <w:sz w:val="20"/>
          <w:szCs w:val="20"/>
          <w:color w:val="auto"/>
        </w:rPr>
      </w:pPr>
    </w:p>
    <w:tbl>
      <w:tblPr>
        <w:tblLayout w:type="fixed"/>
        <w:tblInd w:w="1480" w:type="dxa"/>
        <w:tblCellMar>
          <w:top w:w="0" w:type="dxa"/>
          <w:left w:w="0" w:type="dxa"/>
          <w:bottom w:w="0" w:type="dxa"/>
          <w:right w:w="0" w:type="dxa"/>
        </w:tblCellMar>
      </w:tblPr>
      <w:tr>
        <w:trPr>
          <w:trHeight w:val="128"/>
        </w:trPr>
        <w:tc>
          <w:tcPr>
            <w:tcW w:w="44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900" w:type="dxa"/>
            <w:vAlign w:val="bottom"/>
            <w:gridSpan w:val="5"/>
          </w:tcPr>
          <w:p>
            <w:pPr>
              <w:ind w:left="100"/>
              <w:spacing w:after="0"/>
              <w:rPr>
                <w:sz w:val="20"/>
                <w:szCs w:val="20"/>
                <w:color w:val="auto"/>
              </w:rPr>
            </w:pPr>
            <w:r>
              <w:rPr>
                <w:rFonts w:ascii="Arial" w:cs="Arial" w:eastAsia="Arial" w:hAnsi="Arial"/>
                <w:sz w:val="10"/>
                <w:szCs w:val="10"/>
                <w:b w:val="1"/>
                <w:bCs w:val="1"/>
                <w:color w:val="auto"/>
              </w:rPr>
              <w:t>Three Months Ended September 30,</w:t>
            </w:r>
          </w:p>
        </w:tc>
        <w:tc>
          <w:tcPr>
            <w:tcW w:w="160" w:type="dxa"/>
            <w:vAlign w:val="bottom"/>
          </w:tcPr>
          <w:p>
            <w:pPr>
              <w:spacing w:after="0"/>
              <w:rPr>
                <w:sz w:val="11"/>
                <w:szCs w:val="11"/>
                <w:color w:val="auto"/>
              </w:rPr>
            </w:pPr>
          </w:p>
        </w:tc>
        <w:tc>
          <w:tcPr>
            <w:tcW w:w="1780" w:type="dxa"/>
            <w:vAlign w:val="bottom"/>
            <w:gridSpan w:val="4"/>
          </w:tcPr>
          <w:p>
            <w:pPr>
              <w:jc w:val="right"/>
              <w:ind w:right="192"/>
              <w:spacing w:after="0"/>
              <w:rPr>
                <w:sz w:val="20"/>
                <w:szCs w:val="20"/>
                <w:color w:val="auto"/>
              </w:rPr>
            </w:pPr>
            <w:r>
              <w:rPr>
                <w:rFonts w:ascii="Arial" w:cs="Arial" w:eastAsia="Arial" w:hAnsi="Arial"/>
                <w:sz w:val="10"/>
                <w:szCs w:val="10"/>
                <w:b w:val="1"/>
                <w:bCs w:val="1"/>
                <w:color w:val="auto"/>
                <w:w w:val="92"/>
              </w:rPr>
              <w:t>Nine Months Ended September 30,</w:t>
            </w:r>
          </w:p>
        </w:tc>
      </w:tr>
      <w:tr>
        <w:trPr>
          <w:trHeight w:val="169"/>
        </w:trPr>
        <w:tc>
          <w:tcPr>
            <w:tcW w:w="442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Securities Classified as Available-for-Sale</w:t>
            </w:r>
          </w:p>
        </w:tc>
        <w:tc>
          <w:tcPr>
            <w:tcW w:w="100" w:type="dxa"/>
            <w:vAlign w:val="bottom"/>
            <w:tcBorders>
              <w:bottom w:val="single" w:sz="8" w:color="CCEEFF"/>
            </w:tcBorders>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800" w:type="dxa"/>
            <w:vAlign w:val="bottom"/>
            <w:tcBorders>
              <w:top w:val="single" w:sz="8" w:color="auto"/>
              <w:bottom w:val="single" w:sz="8" w:color="auto"/>
            </w:tcBorders>
          </w:tcPr>
          <w:p>
            <w:pPr>
              <w:jc w:val="right"/>
              <w:ind w:right="352"/>
              <w:spacing w:after="0"/>
              <w:rPr>
                <w:sz w:val="20"/>
                <w:szCs w:val="20"/>
                <w:color w:val="auto"/>
              </w:rPr>
            </w:pPr>
            <w:r>
              <w:rPr>
                <w:rFonts w:ascii="Arial" w:cs="Arial" w:eastAsia="Arial" w:hAnsi="Arial"/>
                <w:sz w:val="10"/>
                <w:szCs w:val="10"/>
                <w:b w:val="1"/>
                <w:bCs w:val="1"/>
                <w:color w:val="auto"/>
              </w:rPr>
              <w:t>2016</w:t>
            </w:r>
          </w:p>
        </w:tc>
        <w:tc>
          <w:tcPr>
            <w:tcW w:w="80" w:type="dxa"/>
            <w:vAlign w:val="bottom"/>
            <w:tcBorders>
              <w:top w:val="single" w:sz="8" w:color="auto"/>
              <w:bottom w:val="single" w:sz="8" w:color="CCEEFF"/>
            </w:tcBorders>
          </w:tcPr>
          <w:p>
            <w:pPr>
              <w:spacing w:after="0"/>
              <w:rPr>
                <w:sz w:val="14"/>
                <w:szCs w:val="14"/>
                <w:color w:val="auto"/>
              </w:rPr>
            </w:pPr>
          </w:p>
        </w:tc>
        <w:tc>
          <w:tcPr>
            <w:tcW w:w="220" w:type="dxa"/>
            <w:vAlign w:val="bottom"/>
            <w:tcBorders>
              <w:top w:val="single" w:sz="8" w:color="auto"/>
              <w:bottom w:val="single" w:sz="8" w:color="auto"/>
            </w:tcBorders>
          </w:tcPr>
          <w:p>
            <w:pPr>
              <w:spacing w:after="0"/>
              <w:rPr>
                <w:sz w:val="14"/>
                <w:szCs w:val="14"/>
                <w:color w:val="auto"/>
              </w:rPr>
            </w:pPr>
          </w:p>
        </w:tc>
        <w:tc>
          <w:tcPr>
            <w:tcW w:w="720" w:type="dxa"/>
            <w:vAlign w:val="bottom"/>
            <w:tcBorders>
              <w:top w:val="single" w:sz="8" w:color="auto"/>
              <w:bottom w:val="single" w:sz="8" w:color="auto"/>
            </w:tcBorders>
          </w:tcPr>
          <w:p>
            <w:pPr>
              <w:jc w:val="right"/>
              <w:ind w:right="332"/>
              <w:spacing w:after="0"/>
              <w:rPr>
                <w:sz w:val="20"/>
                <w:szCs w:val="20"/>
                <w:color w:val="auto"/>
              </w:rPr>
            </w:pPr>
            <w:r>
              <w:rPr>
                <w:rFonts w:ascii="Arial" w:cs="Arial" w:eastAsia="Arial" w:hAnsi="Arial"/>
                <w:sz w:val="10"/>
                <w:szCs w:val="10"/>
                <w:b w:val="1"/>
                <w:bCs w:val="1"/>
                <w:color w:val="auto"/>
              </w:rPr>
              <w:t>2015</w:t>
            </w:r>
          </w:p>
        </w:tc>
        <w:tc>
          <w:tcPr>
            <w:tcW w:w="80" w:type="dxa"/>
            <w:vAlign w:val="bottom"/>
            <w:tcBorders>
              <w:bottom w:val="single" w:sz="8" w:color="CCEEFF"/>
            </w:tcBorders>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780" w:type="dxa"/>
            <w:vAlign w:val="bottom"/>
            <w:tcBorders>
              <w:top w:val="single" w:sz="8" w:color="auto"/>
              <w:bottom w:val="single" w:sz="8" w:color="auto"/>
            </w:tcBorders>
          </w:tcPr>
          <w:p>
            <w:pPr>
              <w:jc w:val="right"/>
              <w:ind w:right="332"/>
              <w:spacing w:after="0"/>
              <w:rPr>
                <w:sz w:val="20"/>
                <w:szCs w:val="20"/>
                <w:color w:val="auto"/>
              </w:rPr>
            </w:pPr>
            <w:r>
              <w:rPr>
                <w:rFonts w:ascii="Arial" w:cs="Arial" w:eastAsia="Arial" w:hAnsi="Arial"/>
                <w:sz w:val="10"/>
                <w:szCs w:val="10"/>
                <w:b w:val="1"/>
                <w:bCs w:val="1"/>
                <w:color w:val="auto"/>
              </w:rPr>
              <w:t>2016</w:t>
            </w:r>
          </w:p>
        </w:tc>
        <w:tc>
          <w:tcPr>
            <w:tcW w:w="8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720" w:type="dxa"/>
            <w:vAlign w:val="bottom"/>
            <w:tcBorders>
              <w:top w:val="single" w:sz="8" w:color="auto"/>
              <w:bottom w:val="single" w:sz="8" w:color="auto"/>
            </w:tcBorders>
          </w:tcPr>
          <w:p>
            <w:pPr>
              <w:jc w:val="right"/>
              <w:ind w:right="332"/>
              <w:spacing w:after="0"/>
              <w:rPr>
                <w:sz w:val="20"/>
                <w:szCs w:val="20"/>
                <w:color w:val="auto"/>
              </w:rPr>
            </w:pPr>
            <w:r>
              <w:rPr>
                <w:rFonts w:ascii="Arial" w:cs="Arial" w:eastAsia="Arial" w:hAnsi="Arial"/>
                <w:sz w:val="10"/>
                <w:szCs w:val="10"/>
                <w:b w:val="1"/>
                <w:bCs w:val="1"/>
                <w:color w:val="auto"/>
              </w:rPr>
              <w:t>2015</w:t>
            </w:r>
          </w:p>
        </w:tc>
      </w:tr>
      <w:tr>
        <w:trPr>
          <w:trHeight w:val="164"/>
        </w:trPr>
        <w:tc>
          <w:tcPr>
            <w:tcW w:w="45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MBS sold, at cost</w:t>
            </w: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(6,123)</w:t>
            </w: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(4,575)</w:t>
            </w: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(17,146)</w:t>
            </w:r>
          </w:p>
        </w:tc>
        <w:tc>
          <w:tcPr>
            <w:tcW w:w="8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(22,548)</w:t>
            </w:r>
          </w:p>
        </w:tc>
      </w:tr>
      <w:tr>
        <w:trPr>
          <w:trHeight w:val="176"/>
        </w:trPr>
        <w:tc>
          <w:tcPr>
            <w:tcW w:w="452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 xml:space="preserve">Proceeds from MBS sold </w:t>
            </w:r>
            <w:r>
              <w:rPr>
                <w:rFonts w:ascii="Arial" w:cs="Arial" w:eastAsia="Arial" w:hAnsi="Arial"/>
                <w:sz w:val="5"/>
                <w:szCs w:val="5"/>
                <w:color w:val="auto"/>
              </w:rPr>
              <w:t>1</w:t>
            </w:r>
          </w:p>
        </w:tc>
        <w:tc>
          <w:tcPr>
            <w:tcW w:w="160" w:type="dxa"/>
            <w:vAlign w:val="bottom"/>
            <w:tcBorders>
              <w:bottom w:val="single" w:sz="8" w:color="auto"/>
            </w:tcBorders>
          </w:tcPr>
          <w:p>
            <w:pPr>
              <w:spacing w:after="0"/>
              <w:rPr>
                <w:sz w:val="15"/>
                <w:szCs w:val="15"/>
                <w:color w:val="auto"/>
              </w:rPr>
            </w:pPr>
          </w:p>
        </w:tc>
        <w:tc>
          <w:tcPr>
            <w:tcW w:w="8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6,184</w:t>
            </w:r>
          </w:p>
        </w:tc>
        <w:tc>
          <w:tcPr>
            <w:tcW w:w="8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4,536</w:t>
            </w:r>
          </w:p>
        </w:tc>
        <w:tc>
          <w:tcPr>
            <w:tcW w:w="8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78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17,260</w:t>
            </w:r>
          </w:p>
        </w:tc>
        <w:tc>
          <w:tcPr>
            <w:tcW w:w="8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22,523</w:t>
            </w:r>
          </w:p>
        </w:tc>
      </w:tr>
      <w:tr>
        <w:trPr>
          <w:trHeight w:val="162"/>
        </w:trPr>
        <w:tc>
          <w:tcPr>
            <w:tcW w:w="45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Net gain (loss) on sale of MBS</w:t>
            </w: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61</w:t>
            </w:r>
          </w:p>
        </w:tc>
        <w:tc>
          <w:tcPr>
            <w:tcW w:w="8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(39)</w:t>
            </w:r>
          </w:p>
        </w:tc>
        <w:tc>
          <w:tcPr>
            <w:tcW w:w="80" w:type="dxa"/>
            <w:vAlign w:val="bottom"/>
            <w:tcBorders>
              <w:bottom w:val="single" w:sz="8" w:color="CCEEFF"/>
            </w:tcBorders>
            <w:shd w:val="clear" w:color="auto" w:fill="CCEEFF"/>
          </w:tcPr>
          <w:p>
            <w:pPr>
              <w:spacing w:after="0"/>
              <w:rPr>
                <w:sz w:val="14"/>
                <w:szCs w:val="14"/>
                <w:color w:val="auto"/>
              </w:rPr>
            </w:pP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8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114</w:t>
            </w:r>
          </w:p>
        </w:tc>
        <w:tc>
          <w:tcPr>
            <w:tcW w:w="8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(25)</w:t>
            </w:r>
          </w:p>
        </w:tc>
      </w:tr>
      <w:tr>
        <w:trPr>
          <w:trHeight w:val="216"/>
        </w:trPr>
        <w:tc>
          <w:tcPr>
            <w:tcW w:w="44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20" w:type="dxa"/>
            <w:vAlign w:val="bottom"/>
          </w:tcPr>
          <w:p>
            <w:pPr>
              <w:spacing w:after="0"/>
              <w:rPr>
                <w:sz w:val="18"/>
                <w:szCs w:val="18"/>
                <w:color w:val="auto"/>
              </w:rPr>
            </w:pPr>
          </w:p>
        </w:tc>
      </w:tr>
      <w:tr>
        <w:trPr>
          <w:trHeight w:val="180"/>
        </w:trPr>
        <w:tc>
          <w:tcPr>
            <w:tcW w:w="45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Gross gain on sale of MBS</w:t>
            </w: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62</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2</w:t>
            </w:r>
          </w:p>
        </w:tc>
        <w:tc>
          <w:tcPr>
            <w:tcW w:w="80" w:type="dxa"/>
            <w:vAlign w:val="bottom"/>
            <w:shd w:val="clear" w:color="auto" w:fill="CCEEFF"/>
          </w:tcPr>
          <w:p>
            <w:pPr>
              <w:spacing w:after="0"/>
              <w:rPr>
                <w:sz w:val="15"/>
                <w:szCs w:val="15"/>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122</w:t>
            </w: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81</w:t>
            </w:r>
          </w:p>
        </w:tc>
      </w:tr>
      <w:tr>
        <w:trPr>
          <w:trHeight w:val="176"/>
        </w:trPr>
        <w:tc>
          <w:tcPr>
            <w:tcW w:w="452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Gross loss on sale of MBS</w:t>
            </w:r>
          </w:p>
        </w:tc>
        <w:tc>
          <w:tcPr>
            <w:tcW w:w="160" w:type="dxa"/>
            <w:vAlign w:val="bottom"/>
            <w:tcBorders>
              <w:bottom w:val="single" w:sz="8" w:color="auto"/>
            </w:tcBorders>
          </w:tcPr>
          <w:p>
            <w:pPr>
              <w:spacing w:after="0"/>
              <w:rPr>
                <w:sz w:val="15"/>
                <w:szCs w:val="15"/>
                <w:color w:val="auto"/>
              </w:rPr>
            </w:pPr>
          </w:p>
        </w:tc>
        <w:tc>
          <w:tcPr>
            <w:tcW w:w="80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(1)</w:t>
            </w:r>
          </w:p>
        </w:tc>
        <w:tc>
          <w:tcPr>
            <w:tcW w:w="8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(41)</w:t>
            </w:r>
          </w:p>
        </w:tc>
        <w:tc>
          <w:tcPr>
            <w:tcW w:w="8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78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(8)</w:t>
            </w:r>
          </w:p>
        </w:tc>
        <w:tc>
          <w:tcPr>
            <w:tcW w:w="8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(106)</w:t>
            </w:r>
          </w:p>
        </w:tc>
      </w:tr>
      <w:tr>
        <w:trPr>
          <w:trHeight w:val="162"/>
        </w:trPr>
        <w:tc>
          <w:tcPr>
            <w:tcW w:w="45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Net gain (loss) on sale of MBS</w:t>
            </w: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61</w:t>
            </w:r>
          </w:p>
        </w:tc>
        <w:tc>
          <w:tcPr>
            <w:tcW w:w="8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(39)</w:t>
            </w:r>
          </w:p>
        </w:tc>
        <w:tc>
          <w:tcPr>
            <w:tcW w:w="80" w:type="dxa"/>
            <w:vAlign w:val="bottom"/>
            <w:tcBorders>
              <w:bottom w:val="single" w:sz="8" w:color="CCEEFF"/>
            </w:tcBorders>
            <w:shd w:val="clear" w:color="auto" w:fill="CCEEFF"/>
          </w:tcPr>
          <w:p>
            <w:pPr>
              <w:spacing w:after="0"/>
              <w:rPr>
                <w:sz w:val="14"/>
                <w:szCs w:val="14"/>
                <w:color w:val="auto"/>
              </w:rPr>
            </w:pP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8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114</w:t>
            </w:r>
          </w:p>
        </w:tc>
        <w:tc>
          <w:tcPr>
            <w:tcW w:w="8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(25)</w:t>
            </w:r>
          </w:p>
        </w:tc>
      </w:tr>
    </w:tbl>
    <w:p>
      <w:pPr>
        <w:ind w:left="60"/>
        <w:spacing w:after="0"/>
        <w:rPr>
          <w:sz w:val="20"/>
          <w:szCs w:val="20"/>
          <w:color w:val="auto"/>
        </w:rPr>
      </w:pPr>
      <w:r>
        <w:rPr>
          <w:rFonts w:ascii="Arial" w:cs="Arial" w:eastAsia="Arial" w:hAnsi="Arial"/>
          <w:sz w:val="12"/>
          <w:szCs w:val="12"/>
          <w:color w:val="auto"/>
        </w:rPr>
        <w:t>________________________</w:t>
      </w:r>
    </w:p>
    <w:p>
      <w:pPr>
        <w:ind w:left="420" w:hanging="212"/>
        <w:spacing w:after="0"/>
        <w:tabs>
          <w:tab w:leader="none" w:pos="420" w:val="left"/>
        </w:tabs>
        <w:numPr>
          <w:ilvl w:val="0"/>
          <w:numId w:val="4"/>
        </w:numPr>
        <w:rPr>
          <w:rFonts w:ascii="Arial" w:cs="Arial" w:eastAsia="Arial" w:hAnsi="Arial"/>
          <w:sz w:val="10"/>
          <w:szCs w:val="10"/>
          <w:color w:val="auto"/>
        </w:rPr>
      </w:pPr>
      <w:r>
        <w:rPr>
          <w:rFonts w:ascii="Arial" w:cs="Arial" w:eastAsia="Arial" w:hAnsi="Arial"/>
          <w:sz w:val="10"/>
          <w:szCs w:val="10"/>
          <w:color w:val="auto"/>
        </w:rPr>
        <w:t>Proceeds include cash received during the period, plus receivable for MBS sold during the period as of period end.</w:t>
      </w:r>
    </w:p>
    <w:p>
      <w:pPr>
        <w:spacing w:after="0" w:line="98"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For the three and nine months ended September 30, 2016, we recognized a net unrealized loss of $6 million and an unrealized gain of $5 million, respectively, and for the three and nine months ended September 30, 2015 we recognized a net unrealized gain of $10 million and $14 million, respectively, for the change in value of investments in interest and principal-only securities in gain (loss) on derivative instruments and other securities, net in our consolidated statements of comprehensive income. Over the same periods, we did not recognize any realized gains or losses on our interest or principal-only securities.</w:t>
      </w:r>
    </w:p>
    <w:p>
      <w:pPr>
        <w:spacing w:after="0" w:line="87"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Securitizations and Variable Interest Entities</w:t>
      </w:r>
    </w:p>
    <w:p>
      <w:pPr>
        <w:spacing w:after="0" w:line="60" w:lineRule="exact"/>
        <w:rPr>
          <w:sz w:val="20"/>
          <w:szCs w:val="20"/>
          <w:color w:val="auto"/>
        </w:rPr>
      </w:pPr>
    </w:p>
    <w:p>
      <w:pPr>
        <w:jc w:val="both"/>
        <w:ind w:firstLine="288"/>
        <w:spacing w:after="0" w:line="290" w:lineRule="auto"/>
        <w:rPr>
          <w:sz w:val="20"/>
          <w:szCs w:val="20"/>
          <w:color w:val="auto"/>
        </w:rPr>
      </w:pPr>
      <w:r>
        <w:rPr>
          <w:rFonts w:ascii="Arial" w:cs="Arial" w:eastAsia="Arial" w:hAnsi="Arial"/>
          <w:sz w:val="11"/>
          <w:szCs w:val="11"/>
          <w:color w:val="auto"/>
        </w:rPr>
        <w:t>As of September 30, 2016 and December 31, 2015, we held investments in CMO trusts, which are variable interest entities ("VIEs"). We have consolidated certain of these CMO trusts in our consolidated financial statements where we have determined we are the primary beneficiary of the trusts. All of our CMO securities are backed by fixed or adjustable-rate agency MBS. Fannie Mae or Freddie Mac guarantees the payment of interest and principal and acts as the trustee and administrator of their respective securitization trusts. Accordingly, we are not required to provide the beneficial interest holders of the CMO securities any financial or other support. Our maximum exposure to loss related to our involvement with CMO trusts is the fair value of the CMO securities and interest and principal-only securities held by us, less principal amounts guaranteed by Fannie Mae and Freddie Mac.</w:t>
      </w:r>
    </w:p>
    <w:p>
      <w:pPr>
        <w:spacing w:after="0" w:line="73"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In connection with our consolidated CMO trusts, we recognized agency securities with a total fair value of $0.9 billion and $1.0 billion as of September 30, 2016 and December 31, 2015, respectively, and debt with a total fair value of $494 million and $595 million, respectively, in our accompanying consolidated balance sheets. As of September 30, 2016 and December 31, 2015, the agency securities had an aggregate unpaid principal balance of $0.8 billion and $1.0 billion, respectively, and the debt had an</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13</w:t>
      </w:r>
    </w:p>
    <w:p>
      <w:pPr>
        <w:sectPr>
          <w:pgSz w:w="11900" w:h="16838" w:orient="portrait"/>
          <w:cols w:equalWidth="0" w:num="1">
            <w:col w:w="11480"/>
          </w:cols>
          <w:pgMar w:left="220" w:top="437" w:right="199" w:bottom="1440" w:gutter="0" w:footer="0" w:header="0"/>
        </w:sectPr>
      </w:pPr>
    </w:p>
    <w:bookmarkStart w:id="14" w:name="page15"/>
    <w:bookmarkEnd w:id="14"/>
    <w:p>
      <w:pPr>
        <w:jc w:val="both"/>
        <w:spacing w:after="0" w:line="259" w:lineRule="auto"/>
        <w:rPr>
          <w:sz w:val="20"/>
          <w:szCs w:val="20"/>
          <w:color w:val="auto"/>
        </w:rPr>
      </w:pPr>
      <w:r>
        <w:rPr>
          <w:rFonts w:ascii="Arial" w:cs="Arial" w:eastAsia="Arial" w:hAnsi="Arial"/>
          <w:sz w:val="12"/>
          <w:szCs w:val="12"/>
          <w:color w:val="auto"/>
        </w:rPr>
        <w:t>aggregate unpaid principal balance of $488 million and $587 million, respectively. We re-measure our consolidated debt at fair value through earnings in gain (loss) on derivative instruments and other securities, net in our consolidated statements of comprehensive income. For the three and nine months ended September 30, 2016, we recorded a loss of $2 million and $8 million, respectively, associated with our consolidated debt. For the three and nine months ended September 30, 2015, we recorded a gain of $7 million and $16 million, respectively, associated with our consolidated debt. Our involvement with the consolidated trusts is limited to the agency securities transferred by us upon the formation of the trusts and the CMO securities subsequently held by us. There are no arrangements that could require us to provide financial support to the trusts.</w:t>
      </w:r>
    </w:p>
    <w:p>
      <w:pPr>
        <w:spacing w:after="0" w:line="35"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As of September 30, 2016 and December 31, 2015, the fair value of our CMO securities and interest and principal-only securities was $1.2 billion and $1.3 billion, respectively, excluding the consolidated CMO trusts discussed above, or $1.6 billion and $1.8 billion, respectively, including the net asset value of our consolidated CMO trusts. Our maximum exposure to loss related to our CMO securities and interest and principal-only securities, including our consolidated CMO trusts, was $222 million and $238 million as of September 30, 2016 and December 31, 2015, respectively.</w:t>
      </w:r>
    </w:p>
    <w:p>
      <w:pPr>
        <w:spacing w:after="0" w:line="119"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5. Repurchase Agreements and Other Secured Borrowings</w:t>
      </w:r>
    </w:p>
    <w:p>
      <w:pPr>
        <w:spacing w:after="0" w:line="118" w:lineRule="exact"/>
        <w:rPr>
          <w:sz w:val="20"/>
          <w:szCs w:val="20"/>
          <w:color w:val="auto"/>
        </w:rPr>
      </w:pPr>
    </w:p>
    <w:p>
      <w:pPr>
        <w:jc w:val="both"/>
        <w:ind w:firstLine="288"/>
        <w:spacing w:after="0" w:line="257" w:lineRule="auto"/>
        <w:rPr>
          <w:sz w:val="20"/>
          <w:szCs w:val="20"/>
          <w:color w:val="auto"/>
        </w:rPr>
      </w:pPr>
      <w:r>
        <w:rPr>
          <w:rFonts w:ascii="Arial" w:cs="Arial" w:eastAsia="Arial" w:hAnsi="Arial"/>
          <w:sz w:val="12"/>
          <w:szCs w:val="12"/>
          <w:color w:val="auto"/>
        </w:rPr>
        <w:t>We pledge certain of our securities as collateral under our repurchase agreements with financial institutions and under our secured borrowing facility with the Federal Home Loan Bank ("FHLB") of Des Moines. Interest rates on our borrowings are generally based on LIBOR plus or minus a margin and amounts available to be borrowed are dependent upon the fair value of the securities pledged as collateral, which fluctuates with changes in interest rates, type of security and liquidity conditions within the banking, mortgage finance and real estate industries. If the fair value of our pledged securities declines, lenders will typically require us to post additional collateral or pay down borrowings to re-establish agreed upon collateral requirements, referred to as "margin calls." Similarly, if the fair value of our pledged securities increases, lenders may release collateral back to us. As of September 30, 2016, we had met all margin call requirements. For additional information regarding our pledged assets, please refer to Note 7.</w:t>
      </w:r>
    </w:p>
    <w:p>
      <w:pPr>
        <w:spacing w:after="0" w:line="90"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Repurchase Agreements</w:t>
      </w:r>
    </w:p>
    <w:p>
      <w:pPr>
        <w:spacing w:after="0" w:line="114" w:lineRule="exact"/>
        <w:rPr>
          <w:sz w:val="20"/>
          <w:szCs w:val="20"/>
          <w:color w:val="auto"/>
        </w:rPr>
      </w:pPr>
    </w:p>
    <w:p>
      <w:pPr>
        <w:jc w:val="both"/>
        <w:ind w:firstLine="270"/>
        <w:spacing w:after="0" w:line="298" w:lineRule="auto"/>
        <w:rPr>
          <w:sz w:val="20"/>
          <w:szCs w:val="20"/>
          <w:color w:val="auto"/>
        </w:rPr>
      </w:pPr>
      <w:r>
        <w:rPr>
          <w:rFonts w:ascii="Arial" w:cs="Arial" w:eastAsia="Arial" w:hAnsi="Arial"/>
          <w:sz w:val="11"/>
          <w:szCs w:val="11"/>
          <w:color w:val="auto"/>
        </w:rPr>
        <w:t>As of September 30, 2016 and December 31, 2015, we had $37.7 billion and $41.8 billion, respectively, of repurchase agreements outstanding. The terms and conditions of our repurchase agreements are typically negotiated on a transaction-by-transaction basis. Our repurchase agreements with original maturities greater than 90 days have floating interest rates based on an index plus or minus a fixed spread. Substantially all of our repurchase agreements were used to fund purchases of agency securities ("agency repo"). The remainder of our repurchase agreements were used to fund temporary holdings of U.S. Treasury securities ("U.S. Treasury repo").</w:t>
      </w:r>
    </w:p>
    <w:p>
      <w:pPr>
        <w:spacing w:after="0" w:line="69"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our borrowings under repurchase agreements by their remaining maturities as of September 30, 2016 and December 31, 2015 (dollars in millions):</w:t>
      </w:r>
    </w:p>
    <w:p>
      <w:pPr>
        <w:spacing w:after="0" w:line="262" w:lineRule="exact"/>
        <w:rPr>
          <w:sz w:val="20"/>
          <w:szCs w:val="20"/>
          <w:color w:val="auto"/>
        </w:rPr>
      </w:pPr>
    </w:p>
    <w:tbl>
      <w:tblPr>
        <w:tblLayout w:type="fixed"/>
        <w:tblInd w:w="40" w:type="dxa"/>
        <w:tblCellMar>
          <w:top w:w="0" w:type="dxa"/>
          <w:left w:w="0" w:type="dxa"/>
          <w:bottom w:w="0" w:type="dxa"/>
          <w:right w:w="0" w:type="dxa"/>
        </w:tblCellMar>
      </w:tblPr>
      <w:tr>
        <w:trPr>
          <w:trHeight w:val="128"/>
        </w:trPr>
        <w:tc>
          <w:tcPr>
            <w:tcW w:w="252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380" w:type="dxa"/>
            <w:vAlign w:val="bottom"/>
            <w:tcBorders>
              <w:bottom w:val="single" w:sz="8" w:color="auto"/>
            </w:tcBorders>
            <w:gridSpan w:val="2"/>
          </w:tcPr>
          <w:p>
            <w:pPr>
              <w:jc w:val="center"/>
              <w:ind w:right="100"/>
              <w:spacing w:after="0"/>
              <w:rPr>
                <w:sz w:val="20"/>
                <w:szCs w:val="20"/>
                <w:color w:val="auto"/>
              </w:rPr>
            </w:pPr>
            <w:r>
              <w:rPr>
                <w:rFonts w:ascii="Arial" w:cs="Arial" w:eastAsia="Arial" w:hAnsi="Arial"/>
                <w:sz w:val="10"/>
                <w:szCs w:val="10"/>
                <w:b w:val="1"/>
                <w:bCs w:val="1"/>
                <w:color w:val="auto"/>
                <w:w w:val="85"/>
              </w:rPr>
              <w:t>September 30, 2016</w:t>
            </w:r>
          </w:p>
        </w:tc>
        <w:tc>
          <w:tcPr>
            <w:tcW w:w="1260" w:type="dxa"/>
            <w:vAlign w:val="bottom"/>
            <w:tcBorders>
              <w:bottom w:val="single" w:sz="8" w:color="auto"/>
            </w:tcBorders>
          </w:tcPr>
          <w:p>
            <w:pPr>
              <w:spacing w:after="0"/>
              <w:rPr>
                <w:sz w:val="11"/>
                <w:szCs w:val="11"/>
                <w:color w:val="auto"/>
              </w:rPr>
            </w:pPr>
          </w:p>
        </w:tc>
        <w:tc>
          <w:tcPr>
            <w:tcW w:w="46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340" w:type="dxa"/>
            <w:vAlign w:val="bottom"/>
            <w:tcBorders>
              <w:bottom w:val="single" w:sz="8" w:color="auto"/>
            </w:tcBorders>
            <w:gridSpan w:val="2"/>
          </w:tcPr>
          <w:p>
            <w:pPr>
              <w:jc w:val="center"/>
              <w:ind w:right="80"/>
              <w:spacing w:after="0"/>
              <w:rPr>
                <w:sz w:val="20"/>
                <w:szCs w:val="20"/>
                <w:color w:val="auto"/>
              </w:rPr>
            </w:pPr>
            <w:r>
              <w:rPr>
                <w:rFonts w:ascii="Arial" w:cs="Arial" w:eastAsia="Arial" w:hAnsi="Arial"/>
                <w:sz w:val="10"/>
                <w:szCs w:val="10"/>
                <w:b w:val="1"/>
                <w:bCs w:val="1"/>
                <w:color w:val="auto"/>
                <w:w w:val="86"/>
              </w:rPr>
              <w:t>December 31, 2015</w:t>
            </w:r>
          </w:p>
        </w:tc>
        <w:tc>
          <w:tcPr>
            <w:tcW w:w="1260" w:type="dxa"/>
            <w:vAlign w:val="bottom"/>
            <w:tcBorders>
              <w:bottom w:val="single" w:sz="8" w:color="auto"/>
            </w:tcBorders>
          </w:tcPr>
          <w:p>
            <w:pPr>
              <w:spacing w:after="0"/>
              <w:rPr>
                <w:sz w:val="11"/>
                <w:szCs w:val="11"/>
                <w:color w:val="auto"/>
              </w:rPr>
            </w:pPr>
          </w:p>
        </w:tc>
      </w:tr>
      <w:tr>
        <w:trPr>
          <w:trHeight w:val="96"/>
        </w:trPr>
        <w:tc>
          <w:tcPr>
            <w:tcW w:w="2520" w:type="dxa"/>
            <w:vAlign w:val="bottom"/>
          </w:tcPr>
          <w:p>
            <w:pPr>
              <w:spacing w:after="0"/>
              <w:rPr>
                <w:sz w:val="8"/>
                <w:szCs w:val="8"/>
                <w:color w:val="auto"/>
              </w:rPr>
            </w:pPr>
          </w:p>
        </w:tc>
        <w:tc>
          <w:tcPr>
            <w:tcW w:w="4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8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8"/>
              </w:rPr>
              <w:t>Weighted</w:t>
            </w:r>
          </w:p>
        </w:tc>
        <w:tc>
          <w:tcPr>
            <w:tcW w:w="1260" w:type="dxa"/>
            <w:vAlign w:val="bottom"/>
          </w:tcPr>
          <w:p>
            <w:pPr>
              <w:spacing w:after="0"/>
              <w:rPr>
                <w:sz w:val="8"/>
                <w:szCs w:val="8"/>
                <w:color w:val="auto"/>
              </w:rPr>
            </w:pPr>
          </w:p>
        </w:tc>
        <w:tc>
          <w:tcPr>
            <w:tcW w:w="4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34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8"/>
              </w:rPr>
              <w:t>Weighted</w:t>
            </w:r>
          </w:p>
        </w:tc>
        <w:tc>
          <w:tcPr>
            <w:tcW w:w="1260" w:type="dxa"/>
            <w:vAlign w:val="bottom"/>
          </w:tcPr>
          <w:p>
            <w:pPr>
              <w:spacing w:after="0"/>
              <w:rPr>
                <w:sz w:val="8"/>
                <w:szCs w:val="8"/>
                <w:color w:val="auto"/>
              </w:rPr>
            </w:pPr>
          </w:p>
        </w:tc>
      </w:tr>
      <w:tr>
        <w:trPr>
          <w:trHeight w:val="99"/>
        </w:trPr>
        <w:tc>
          <w:tcPr>
            <w:tcW w:w="2520" w:type="dxa"/>
            <w:vAlign w:val="bottom"/>
          </w:tcPr>
          <w:p>
            <w:pPr>
              <w:spacing w:after="0"/>
              <w:rPr>
                <w:sz w:val="8"/>
                <w:szCs w:val="8"/>
                <w:color w:val="auto"/>
              </w:rPr>
            </w:pPr>
          </w:p>
        </w:tc>
        <w:tc>
          <w:tcPr>
            <w:tcW w:w="4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8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0"/>
              </w:rPr>
              <w:t>Average</w:t>
            </w:r>
          </w:p>
        </w:tc>
        <w:tc>
          <w:tcPr>
            <w:tcW w:w="1720" w:type="dxa"/>
            <w:vAlign w:val="bottom"/>
            <w:gridSpan w:val="2"/>
          </w:tcPr>
          <w:p>
            <w:pPr>
              <w:jc w:val="center"/>
              <w:ind w:right="440"/>
              <w:spacing w:after="0" w:line="99" w:lineRule="exact"/>
              <w:rPr>
                <w:sz w:val="20"/>
                <w:szCs w:val="20"/>
                <w:color w:val="auto"/>
              </w:rPr>
            </w:pPr>
            <w:r>
              <w:rPr>
                <w:rFonts w:ascii="Arial" w:cs="Arial" w:eastAsia="Arial" w:hAnsi="Arial"/>
                <w:sz w:val="10"/>
                <w:szCs w:val="10"/>
                <w:b w:val="1"/>
                <w:bCs w:val="1"/>
                <w:color w:val="auto"/>
                <w:w w:val="88"/>
              </w:rPr>
              <w:t>Weighted</w:t>
            </w:r>
          </w:p>
        </w:tc>
        <w:tc>
          <w:tcPr>
            <w:tcW w:w="10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34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0"/>
              </w:rPr>
              <w:t>Average</w:t>
            </w:r>
          </w:p>
        </w:tc>
        <w:tc>
          <w:tcPr>
            <w:tcW w:w="126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4"/>
              </w:rPr>
              <w:t>Weighted</w:t>
            </w:r>
          </w:p>
        </w:tc>
      </w:tr>
      <w:tr>
        <w:trPr>
          <w:trHeight w:val="99"/>
        </w:trPr>
        <w:tc>
          <w:tcPr>
            <w:tcW w:w="2520" w:type="dxa"/>
            <w:vAlign w:val="bottom"/>
          </w:tcPr>
          <w:p>
            <w:pPr>
              <w:spacing w:after="0"/>
              <w:rPr>
                <w:sz w:val="8"/>
                <w:szCs w:val="8"/>
                <w:color w:val="auto"/>
              </w:rPr>
            </w:pPr>
          </w:p>
        </w:tc>
        <w:tc>
          <w:tcPr>
            <w:tcW w:w="4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8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8"/>
              </w:rPr>
              <w:t>Interest</w:t>
            </w:r>
          </w:p>
        </w:tc>
        <w:tc>
          <w:tcPr>
            <w:tcW w:w="1720" w:type="dxa"/>
            <w:vAlign w:val="bottom"/>
            <w:gridSpan w:val="2"/>
          </w:tcPr>
          <w:p>
            <w:pPr>
              <w:jc w:val="center"/>
              <w:ind w:right="440"/>
              <w:spacing w:after="0" w:line="99" w:lineRule="exact"/>
              <w:rPr>
                <w:sz w:val="20"/>
                <w:szCs w:val="20"/>
                <w:color w:val="auto"/>
              </w:rPr>
            </w:pPr>
            <w:r>
              <w:rPr>
                <w:rFonts w:ascii="Arial" w:cs="Arial" w:eastAsia="Arial" w:hAnsi="Arial"/>
                <w:sz w:val="10"/>
                <w:szCs w:val="10"/>
                <w:b w:val="1"/>
                <w:bCs w:val="1"/>
                <w:color w:val="auto"/>
                <w:w w:val="84"/>
              </w:rPr>
              <w:t>Average Days</w:t>
            </w:r>
          </w:p>
        </w:tc>
        <w:tc>
          <w:tcPr>
            <w:tcW w:w="10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34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8"/>
              </w:rPr>
              <w:t>Interest</w:t>
            </w:r>
          </w:p>
        </w:tc>
        <w:tc>
          <w:tcPr>
            <w:tcW w:w="126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4"/>
              </w:rPr>
              <w:t>Average Days</w:t>
            </w:r>
          </w:p>
        </w:tc>
      </w:tr>
      <w:tr>
        <w:trPr>
          <w:trHeight w:val="128"/>
        </w:trPr>
        <w:tc>
          <w:tcPr>
            <w:tcW w:w="252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Remaining Maturity</w:t>
            </w:r>
          </w:p>
        </w:tc>
        <w:tc>
          <w:tcPr>
            <w:tcW w:w="44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jc w:val="right"/>
              <w:ind w:right="86"/>
              <w:spacing w:after="0"/>
              <w:rPr>
                <w:sz w:val="20"/>
                <w:szCs w:val="20"/>
                <w:color w:val="auto"/>
              </w:rPr>
            </w:pPr>
            <w:r>
              <w:rPr>
                <w:rFonts w:ascii="Arial" w:cs="Arial" w:eastAsia="Arial" w:hAnsi="Arial"/>
                <w:sz w:val="10"/>
                <w:szCs w:val="10"/>
                <w:b w:val="1"/>
                <w:bCs w:val="1"/>
                <w:color w:val="auto"/>
                <w:w w:val="84"/>
              </w:rPr>
              <w:t>Repurchase Agreements</w:t>
            </w:r>
          </w:p>
        </w:tc>
        <w:tc>
          <w:tcPr>
            <w:tcW w:w="100" w:type="dxa"/>
            <w:vAlign w:val="bottom"/>
            <w:tcBorders>
              <w:bottom w:val="single" w:sz="8" w:color="CCEEFF"/>
            </w:tcBorders>
          </w:tcPr>
          <w:p>
            <w:pPr>
              <w:spacing w:after="0"/>
              <w:rPr>
                <w:sz w:val="11"/>
                <w:szCs w:val="11"/>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2"/>
              </w:rPr>
              <w:t>Rate</w:t>
            </w:r>
          </w:p>
        </w:tc>
        <w:tc>
          <w:tcPr>
            <w:tcW w:w="120" w:type="dxa"/>
            <w:vAlign w:val="bottom"/>
            <w:tcBorders>
              <w:bottom w:val="single" w:sz="8" w:color="CCEEFF"/>
            </w:tcBorders>
          </w:tcPr>
          <w:p>
            <w:pPr>
              <w:spacing w:after="0"/>
              <w:rPr>
                <w:sz w:val="11"/>
                <w:szCs w:val="11"/>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3"/>
              </w:rPr>
              <w:t>to Maturity</w:t>
            </w:r>
          </w:p>
        </w:tc>
        <w:tc>
          <w:tcPr>
            <w:tcW w:w="46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tcPr>
          <w:p>
            <w:pPr>
              <w:jc w:val="right"/>
              <w:ind w:right="66"/>
              <w:spacing w:after="0"/>
              <w:rPr>
                <w:sz w:val="20"/>
                <w:szCs w:val="20"/>
                <w:color w:val="auto"/>
              </w:rPr>
            </w:pPr>
            <w:r>
              <w:rPr>
                <w:rFonts w:ascii="Arial" w:cs="Arial" w:eastAsia="Arial" w:hAnsi="Arial"/>
                <w:sz w:val="10"/>
                <w:szCs w:val="10"/>
                <w:b w:val="1"/>
                <w:bCs w:val="1"/>
                <w:color w:val="auto"/>
                <w:w w:val="84"/>
              </w:rPr>
              <w:t>Repurchase Agreements</w:t>
            </w:r>
          </w:p>
        </w:tc>
        <w:tc>
          <w:tcPr>
            <w:tcW w:w="120" w:type="dxa"/>
            <w:vAlign w:val="bottom"/>
            <w:tcBorders>
              <w:bottom w:val="single" w:sz="8" w:color="CCEEFF"/>
            </w:tcBorders>
          </w:tcPr>
          <w:p>
            <w:pPr>
              <w:spacing w:after="0"/>
              <w:rPr>
                <w:sz w:val="11"/>
                <w:szCs w:val="11"/>
                <w:color w:val="auto"/>
              </w:rPr>
            </w:pPr>
          </w:p>
        </w:tc>
        <w:tc>
          <w:tcPr>
            <w:tcW w:w="12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2"/>
              </w:rPr>
              <w:t>Rate</w:t>
            </w:r>
          </w:p>
        </w:tc>
        <w:tc>
          <w:tcPr>
            <w:tcW w:w="100" w:type="dxa"/>
            <w:vAlign w:val="bottom"/>
            <w:tcBorders>
              <w:bottom w:val="single" w:sz="8" w:color="CCEEFF"/>
            </w:tcBorders>
          </w:tcPr>
          <w:p>
            <w:pPr>
              <w:spacing w:after="0"/>
              <w:rPr>
                <w:sz w:val="11"/>
                <w:szCs w:val="11"/>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to Maturity</w:t>
            </w:r>
          </w:p>
        </w:tc>
      </w:tr>
      <w:tr>
        <w:trPr>
          <w:trHeight w:val="153"/>
        </w:trPr>
        <w:tc>
          <w:tcPr>
            <w:tcW w:w="29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Agency repo:</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spacing w:after="0"/>
              <w:rPr>
                <w:sz w:val="13"/>
                <w:szCs w:val="13"/>
                <w:color w:val="auto"/>
              </w:rPr>
            </w:pPr>
          </w:p>
        </w:tc>
        <w:tc>
          <w:tcPr>
            <w:tcW w:w="4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124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spacing w:after="0"/>
              <w:rPr>
                <w:sz w:val="13"/>
                <w:szCs w:val="13"/>
                <w:color w:val="auto"/>
              </w:rPr>
            </w:pPr>
          </w:p>
        </w:tc>
      </w:tr>
      <w:tr>
        <w:trPr>
          <w:trHeight w:val="158"/>
        </w:trPr>
        <w:tc>
          <w:tcPr>
            <w:tcW w:w="2960" w:type="dxa"/>
            <w:vAlign w:val="bottom"/>
            <w:gridSpan w:val="2"/>
          </w:tcPr>
          <w:p>
            <w:pPr>
              <w:ind w:left="60"/>
              <w:spacing w:after="0"/>
              <w:rPr>
                <w:sz w:val="20"/>
                <w:szCs w:val="20"/>
                <w:color w:val="auto"/>
              </w:rPr>
            </w:pPr>
            <w:r>
              <w:rPr>
                <w:rFonts w:ascii="Arial" w:cs="Arial" w:eastAsia="Arial" w:hAnsi="Arial"/>
                <w:sz w:val="11"/>
                <w:szCs w:val="11"/>
                <w:color w:val="auto"/>
              </w:rPr>
              <w:t>≤ 1 month</w:t>
            </w:r>
          </w:p>
        </w:tc>
        <w:tc>
          <w:tcPr>
            <w:tcW w:w="120" w:type="dxa"/>
            <w:vAlign w:val="bottom"/>
          </w:tcPr>
          <w:p>
            <w:pPr>
              <w:jc w:val="right"/>
              <w:spacing w:after="0"/>
              <w:rPr>
                <w:sz w:val="20"/>
                <w:szCs w:val="20"/>
                <w:color w:val="auto"/>
              </w:rPr>
            </w:pPr>
            <w:r>
              <w:rPr>
                <w:rFonts w:ascii="Arial" w:cs="Arial" w:eastAsia="Arial" w:hAnsi="Arial"/>
                <w:sz w:val="11"/>
                <w:szCs w:val="11"/>
                <w:color w:val="auto"/>
                <w:w w:val="97"/>
              </w:rPr>
              <w:t>$</w:t>
            </w: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17,198</w:t>
            </w:r>
          </w:p>
        </w:tc>
        <w:tc>
          <w:tcPr>
            <w:tcW w:w="100" w:type="dxa"/>
            <w:vAlign w:val="bottom"/>
          </w:tcPr>
          <w:p>
            <w:pPr>
              <w:spacing w:after="0"/>
              <w:rPr>
                <w:sz w:val="13"/>
                <w:szCs w:val="13"/>
                <w:color w:val="auto"/>
              </w:rPr>
            </w:pPr>
          </w:p>
        </w:tc>
        <w:tc>
          <w:tcPr>
            <w:tcW w:w="1260" w:type="dxa"/>
            <w:vAlign w:val="bottom"/>
          </w:tcPr>
          <w:p>
            <w:pPr>
              <w:jc w:val="right"/>
              <w:spacing w:after="0"/>
              <w:rPr>
                <w:sz w:val="20"/>
                <w:szCs w:val="20"/>
                <w:color w:val="auto"/>
              </w:rPr>
            </w:pPr>
            <w:r>
              <w:rPr>
                <w:rFonts w:ascii="Arial" w:cs="Arial" w:eastAsia="Arial" w:hAnsi="Arial"/>
                <w:sz w:val="11"/>
                <w:szCs w:val="11"/>
                <w:color w:val="auto"/>
              </w:rPr>
              <w:t>0.72%</w:t>
            </w:r>
          </w:p>
        </w:tc>
        <w:tc>
          <w:tcPr>
            <w:tcW w:w="12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11</w:t>
            </w:r>
          </w:p>
        </w:tc>
        <w:tc>
          <w:tcPr>
            <w:tcW w:w="460" w:type="dxa"/>
            <w:vAlign w:val="bottom"/>
          </w:tcPr>
          <w:p>
            <w:pPr>
              <w:spacing w:after="0"/>
              <w:rPr>
                <w:sz w:val="13"/>
                <w:szCs w:val="13"/>
                <w:color w:val="auto"/>
              </w:rPr>
            </w:pPr>
          </w:p>
        </w:tc>
        <w:tc>
          <w:tcPr>
            <w:tcW w:w="100" w:type="dxa"/>
            <w:vAlign w:val="bottom"/>
          </w:tcPr>
          <w:p>
            <w:pPr>
              <w:jc w:val="right"/>
              <w:spacing w:after="0"/>
              <w:rPr>
                <w:sz w:val="20"/>
                <w:szCs w:val="20"/>
                <w:color w:val="auto"/>
              </w:rPr>
            </w:pPr>
            <w:r>
              <w:rPr>
                <w:rFonts w:ascii="Arial" w:cs="Arial" w:eastAsia="Arial" w:hAnsi="Arial"/>
                <w:sz w:val="11"/>
                <w:szCs w:val="11"/>
                <w:color w:val="auto"/>
                <w:w w:val="97"/>
              </w:rPr>
              <w:t>$</w:t>
            </w:r>
          </w:p>
        </w:tc>
        <w:tc>
          <w:tcPr>
            <w:tcW w:w="1140" w:type="dxa"/>
            <w:vAlign w:val="bottom"/>
          </w:tcPr>
          <w:p>
            <w:pPr>
              <w:jc w:val="right"/>
              <w:ind w:right="46"/>
              <w:spacing w:after="0"/>
              <w:rPr>
                <w:sz w:val="20"/>
                <w:szCs w:val="20"/>
                <w:color w:val="auto"/>
              </w:rPr>
            </w:pPr>
            <w:r>
              <w:rPr>
                <w:rFonts w:ascii="Arial" w:cs="Arial" w:eastAsia="Arial" w:hAnsi="Arial"/>
                <w:sz w:val="11"/>
                <w:szCs w:val="11"/>
                <w:color w:val="auto"/>
              </w:rPr>
              <w:t>17,579</w:t>
            </w:r>
          </w:p>
        </w:tc>
        <w:tc>
          <w:tcPr>
            <w:tcW w:w="120" w:type="dxa"/>
            <w:vAlign w:val="bottom"/>
          </w:tcPr>
          <w:p>
            <w:pPr>
              <w:spacing w:after="0"/>
              <w:rPr>
                <w:sz w:val="13"/>
                <w:szCs w:val="13"/>
                <w:color w:val="auto"/>
              </w:rPr>
            </w:pPr>
          </w:p>
        </w:tc>
        <w:tc>
          <w:tcPr>
            <w:tcW w:w="1240" w:type="dxa"/>
            <w:vAlign w:val="bottom"/>
          </w:tcPr>
          <w:p>
            <w:pPr>
              <w:jc w:val="right"/>
              <w:spacing w:after="0"/>
              <w:rPr>
                <w:sz w:val="20"/>
                <w:szCs w:val="20"/>
                <w:color w:val="auto"/>
              </w:rPr>
            </w:pPr>
            <w:r>
              <w:rPr>
                <w:rFonts w:ascii="Arial" w:cs="Arial" w:eastAsia="Arial" w:hAnsi="Arial"/>
                <w:sz w:val="11"/>
                <w:szCs w:val="11"/>
                <w:color w:val="auto"/>
              </w:rPr>
              <w:t>0.54%</w:t>
            </w:r>
          </w:p>
        </w:tc>
        <w:tc>
          <w:tcPr>
            <w:tcW w:w="10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14</w:t>
            </w:r>
          </w:p>
        </w:tc>
      </w:tr>
      <w:tr>
        <w:trPr>
          <w:trHeight w:val="22"/>
        </w:trPr>
        <w:tc>
          <w:tcPr>
            <w:tcW w:w="25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160"/>
        </w:trPr>
        <w:tc>
          <w:tcPr>
            <w:tcW w:w="296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&gt; 1 to ≤ 3 months</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9,318</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0.79%</w:t>
            </w:r>
          </w:p>
        </w:tc>
        <w:tc>
          <w:tcPr>
            <w:tcW w:w="12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50</w:t>
            </w:r>
          </w:p>
        </w:tc>
        <w:tc>
          <w:tcPr>
            <w:tcW w:w="4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14,283</w:t>
            </w:r>
          </w:p>
        </w:tc>
        <w:tc>
          <w:tcPr>
            <w:tcW w:w="120" w:type="dxa"/>
            <w:vAlign w:val="bottom"/>
            <w:tcBorders>
              <w:bottom w:val="single" w:sz="8" w:color="CCEEFF"/>
            </w:tcBorders>
            <w:shd w:val="clear" w:color="auto" w:fill="CCEEFF"/>
          </w:tcPr>
          <w:p>
            <w:pPr>
              <w:spacing w:after="0"/>
              <w:rPr>
                <w:sz w:val="13"/>
                <w:szCs w:val="13"/>
                <w:color w:val="auto"/>
              </w:rPr>
            </w:pPr>
          </w:p>
        </w:tc>
        <w:tc>
          <w:tcPr>
            <w:tcW w:w="1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0.64%</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58</w:t>
            </w:r>
          </w:p>
        </w:tc>
      </w:tr>
      <w:tr>
        <w:trPr>
          <w:trHeight w:val="158"/>
        </w:trPr>
        <w:tc>
          <w:tcPr>
            <w:tcW w:w="2960" w:type="dxa"/>
            <w:vAlign w:val="bottom"/>
            <w:gridSpan w:val="2"/>
          </w:tcPr>
          <w:p>
            <w:pPr>
              <w:ind w:left="60"/>
              <w:spacing w:after="0"/>
              <w:rPr>
                <w:sz w:val="20"/>
                <w:szCs w:val="20"/>
                <w:color w:val="auto"/>
              </w:rPr>
            </w:pPr>
            <w:r>
              <w:rPr>
                <w:rFonts w:ascii="Arial" w:cs="Arial" w:eastAsia="Arial" w:hAnsi="Arial"/>
                <w:sz w:val="11"/>
                <w:szCs w:val="11"/>
                <w:color w:val="auto"/>
              </w:rPr>
              <w:t>&gt; 3 to ≤ 6 months</w:t>
            </w:r>
          </w:p>
        </w:tc>
        <w:tc>
          <w:tcPr>
            <w:tcW w:w="120" w:type="dxa"/>
            <w:vAlign w:val="bottom"/>
          </w:tcPr>
          <w:p>
            <w:pPr>
              <w:spacing w:after="0"/>
              <w:rPr>
                <w:sz w:val="13"/>
                <w:szCs w:val="13"/>
                <w:color w:val="auto"/>
              </w:rPr>
            </w:pP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3,617</w:t>
            </w:r>
          </w:p>
        </w:tc>
        <w:tc>
          <w:tcPr>
            <w:tcW w:w="100" w:type="dxa"/>
            <w:vAlign w:val="bottom"/>
          </w:tcPr>
          <w:p>
            <w:pPr>
              <w:spacing w:after="0"/>
              <w:rPr>
                <w:sz w:val="13"/>
                <w:szCs w:val="13"/>
                <w:color w:val="auto"/>
              </w:rPr>
            </w:pPr>
          </w:p>
        </w:tc>
        <w:tc>
          <w:tcPr>
            <w:tcW w:w="1260" w:type="dxa"/>
            <w:vAlign w:val="bottom"/>
          </w:tcPr>
          <w:p>
            <w:pPr>
              <w:jc w:val="right"/>
              <w:spacing w:after="0"/>
              <w:rPr>
                <w:sz w:val="20"/>
                <w:szCs w:val="20"/>
                <w:color w:val="auto"/>
              </w:rPr>
            </w:pPr>
            <w:r>
              <w:rPr>
                <w:rFonts w:ascii="Arial" w:cs="Arial" w:eastAsia="Arial" w:hAnsi="Arial"/>
                <w:sz w:val="11"/>
                <w:szCs w:val="11"/>
                <w:color w:val="auto"/>
              </w:rPr>
              <w:t>0.90%</w:t>
            </w:r>
          </w:p>
        </w:tc>
        <w:tc>
          <w:tcPr>
            <w:tcW w:w="12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126</w:t>
            </w:r>
          </w:p>
        </w:tc>
        <w:tc>
          <w:tcPr>
            <w:tcW w:w="4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40" w:type="dxa"/>
            <w:vAlign w:val="bottom"/>
          </w:tcPr>
          <w:p>
            <w:pPr>
              <w:jc w:val="right"/>
              <w:ind w:right="46"/>
              <w:spacing w:after="0"/>
              <w:rPr>
                <w:sz w:val="20"/>
                <w:szCs w:val="20"/>
                <w:color w:val="auto"/>
              </w:rPr>
            </w:pPr>
            <w:r>
              <w:rPr>
                <w:rFonts w:ascii="Arial" w:cs="Arial" w:eastAsia="Arial" w:hAnsi="Arial"/>
                <w:sz w:val="11"/>
                <w:szCs w:val="11"/>
                <w:color w:val="auto"/>
              </w:rPr>
              <w:t>3,154</w:t>
            </w:r>
          </w:p>
        </w:tc>
        <w:tc>
          <w:tcPr>
            <w:tcW w:w="120" w:type="dxa"/>
            <w:vAlign w:val="bottom"/>
          </w:tcPr>
          <w:p>
            <w:pPr>
              <w:spacing w:after="0"/>
              <w:rPr>
                <w:sz w:val="13"/>
                <w:szCs w:val="13"/>
                <w:color w:val="auto"/>
              </w:rPr>
            </w:pPr>
          </w:p>
        </w:tc>
        <w:tc>
          <w:tcPr>
            <w:tcW w:w="1240" w:type="dxa"/>
            <w:vAlign w:val="bottom"/>
          </w:tcPr>
          <w:p>
            <w:pPr>
              <w:jc w:val="right"/>
              <w:spacing w:after="0"/>
              <w:rPr>
                <w:sz w:val="20"/>
                <w:szCs w:val="20"/>
                <w:color w:val="auto"/>
              </w:rPr>
            </w:pPr>
            <w:r>
              <w:rPr>
                <w:rFonts w:ascii="Arial" w:cs="Arial" w:eastAsia="Arial" w:hAnsi="Arial"/>
                <w:sz w:val="11"/>
                <w:szCs w:val="11"/>
                <w:color w:val="auto"/>
              </w:rPr>
              <w:t>0.61%</w:t>
            </w:r>
          </w:p>
        </w:tc>
        <w:tc>
          <w:tcPr>
            <w:tcW w:w="10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121</w:t>
            </w:r>
          </w:p>
        </w:tc>
      </w:tr>
      <w:tr>
        <w:trPr>
          <w:trHeight w:val="22"/>
        </w:trPr>
        <w:tc>
          <w:tcPr>
            <w:tcW w:w="25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160"/>
        </w:trPr>
        <w:tc>
          <w:tcPr>
            <w:tcW w:w="296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&gt; 6 to ≤ 9 months</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765</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0.85%</w:t>
            </w:r>
          </w:p>
        </w:tc>
        <w:tc>
          <w:tcPr>
            <w:tcW w:w="12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221</w:t>
            </w:r>
          </w:p>
        </w:tc>
        <w:tc>
          <w:tcPr>
            <w:tcW w:w="4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589</w:t>
            </w:r>
          </w:p>
        </w:tc>
        <w:tc>
          <w:tcPr>
            <w:tcW w:w="120" w:type="dxa"/>
            <w:vAlign w:val="bottom"/>
            <w:tcBorders>
              <w:bottom w:val="single" w:sz="8" w:color="CCEEFF"/>
            </w:tcBorders>
            <w:shd w:val="clear" w:color="auto" w:fill="CCEEFF"/>
          </w:tcPr>
          <w:p>
            <w:pPr>
              <w:spacing w:after="0"/>
              <w:rPr>
                <w:sz w:val="13"/>
                <w:szCs w:val="13"/>
                <w:color w:val="auto"/>
              </w:rPr>
            </w:pPr>
          </w:p>
        </w:tc>
        <w:tc>
          <w:tcPr>
            <w:tcW w:w="1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0.65%</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199</w:t>
            </w:r>
          </w:p>
        </w:tc>
      </w:tr>
      <w:tr>
        <w:trPr>
          <w:trHeight w:val="158"/>
        </w:trPr>
        <w:tc>
          <w:tcPr>
            <w:tcW w:w="2960" w:type="dxa"/>
            <w:vAlign w:val="bottom"/>
            <w:gridSpan w:val="2"/>
          </w:tcPr>
          <w:p>
            <w:pPr>
              <w:ind w:left="60"/>
              <w:spacing w:after="0"/>
              <w:rPr>
                <w:sz w:val="20"/>
                <w:szCs w:val="20"/>
                <w:color w:val="auto"/>
              </w:rPr>
            </w:pPr>
            <w:r>
              <w:rPr>
                <w:rFonts w:ascii="Arial" w:cs="Arial" w:eastAsia="Arial" w:hAnsi="Arial"/>
                <w:sz w:val="11"/>
                <w:szCs w:val="11"/>
                <w:color w:val="auto"/>
              </w:rPr>
              <w:t>&gt; 9 to ≤ 12 months</w:t>
            </w:r>
          </w:p>
        </w:tc>
        <w:tc>
          <w:tcPr>
            <w:tcW w:w="120" w:type="dxa"/>
            <w:vAlign w:val="bottom"/>
          </w:tcPr>
          <w:p>
            <w:pPr>
              <w:spacing w:after="0"/>
              <w:rPr>
                <w:sz w:val="13"/>
                <w:szCs w:val="13"/>
                <w:color w:val="auto"/>
              </w:rPr>
            </w:pP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615</w:t>
            </w:r>
          </w:p>
        </w:tc>
        <w:tc>
          <w:tcPr>
            <w:tcW w:w="100" w:type="dxa"/>
            <w:vAlign w:val="bottom"/>
          </w:tcPr>
          <w:p>
            <w:pPr>
              <w:spacing w:after="0"/>
              <w:rPr>
                <w:sz w:val="13"/>
                <w:szCs w:val="13"/>
                <w:color w:val="auto"/>
              </w:rPr>
            </w:pPr>
          </w:p>
        </w:tc>
        <w:tc>
          <w:tcPr>
            <w:tcW w:w="1260" w:type="dxa"/>
            <w:vAlign w:val="bottom"/>
          </w:tcPr>
          <w:p>
            <w:pPr>
              <w:jc w:val="right"/>
              <w:spacing w:after="0"/>
              <w:rPr>
                <w:sz w:val="20"/>
                <w:szCs w:val="20"/>
                <w:color w:val="auto"/>
              </w:rPr>
            </w:pPr>
            <w:r>
              <w:rPr>
                <w:rFonts w:ascii="Arial" w:cs="Arial" w:eastAsia="Arial" w:hAnsi="Arial"/>
                <w:sz w:val="11"/>
                <w:szCs w:val="11"/>
                <w:color w:val="auto"/>
              </w:rPr>
              <w:t>0.95%</w:t>
            </w:r>
          </w:p>
        </w:tc>
        <w:tc>
          <w:tcPr>
            <w:tcW w:w="12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309</w:t>
            </w:r>
          </w:p>
        </w:tc>
        <w:tc>
          <w:tcPr>
            <w:tcW w:w="4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40" w:type="dxa"/>
            <w:vAlign w:val="bottom"/>
          </w:tcPr>
          <w:p>
            <w:pPr>
              <w:jc w:val="right"/>
              <w:ind w:right="46"/>
              <w:spacing w:after="0"/>
              <w:rPr>
                <w:sz w:val="20"/>
                <w:szCs w:val="20"/>
                <w:color w:val="auto"/>
              </w:rPr>
            </w:pPr>
            <w:r>
              <w:rPr>
                <w:rFonts w:ascii="Arial" w:cs="Arial" w:eastAsia="Arial" w:hAnsi="Arial"/>
                <w:sz w:val="11"/>
                <w:szCs w:val="11"/>
                <w:color w:val="auto"/>
              </w:rPr>
              <w:t>1,201</w:t>
            </w:r>
          </w:p>
        </w:tc>
        <w:tc>
          <w:tcPr>
            <w:tcW w:w="120" w:type="dxa"/>
            <w:vAlign w:val="bottom"/>
          </w:tcPr>
          <w:p>
            <w:pPr>
              <w:spacing w:after="0"/>
              <w:rPr>
                <w:sz w:val="13"/>
                <w:szCs w:val="13"/>
                <w:color w:val="auto"/>
              </w:rPr>
            </w:pPr>
          </w:p>
        </w:tc>
        <w:tc>
          <w:tcPr>
            <w:tcW w:w="1240" w:type="dxa"/>
            <w:vAlign w:val="bottom"/>
          </w:tcPr>
          <w:p>
            <w:pPr>
              <w:jc w:val="right"/>
              <w:spacing w:after="0"/>
              <w:rPr>
                <w:sz w:val="20"/>
                <w:szCs w:val="20"/>
                <w:color w:val="auto"/>
              </w:rPr>
            </w:pPr>
            <w:r>
              <w:rPr>
                <w:rFonts w:ascii="Arial" w:cs="Arial" w:eastAsia="Arial" w:hAnsi="Arial"/>
                <w:sz w:val="11"/>
                <w:szCs w:val="11"/>
                <w:color w:val="auto"/>
              </w:rPr>
              <w:t>0.65%</w:t>
            </w:r>
          </w:p>
        </w:tc>
        <w:tc>
          <w:tcPr>
            <w:tcW w:w="10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307</w:t>
            </w:r>
          </w:p>
        </w:tc>
      </w:tr>
      <w:tr>
        <w:trPr>
          <w:trHeight w:val="22"/>
        </w:trPr>
        <w:tc>
          <w:tcPr>
            <w:tcW w:w="25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160"/>
        </w:trPr>
        <w:tc>
          <w:tcPr>
            <w:tcW w:w="296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&gt; 12 to ≤ 24 months</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1,985</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1.09%</w:t>
            </w:r>
          </w:p>
        </w:tc>
        <w:tc>
          <w:tcPr>
            <w:tcW w:w="12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495</w:t>
            </w:r>
          </w:p>
        </w:tc>
        <w:tc>
          <w:tcPr>
            <w:tcW w:w="4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1,473</w:t>
            </w:r>
          </w:p>
        </w:tc>
        <w:tc>
          <w:tcPr>
            <w:tcW w:w="120" w:type="dxa"/>
            <w:vAlign w:val="bottom"/>
            <w:tcBorders>
              <w:bottom w:val="single" w:sz="8" w:color="CCEEFF"/>
            </w:tcBorders>
            <w:shd w:val="clear" w:color="auto" w:fill="CCEEFF"/>
          </w:tcPr>
          <w:p>
            <w:pPr>
              <w:spacing w:after="0"/>
              <w:rPr>
                <w:sz w:val="13"/>
                <w:szCs w:val="13"/>
                <w:color w:val="auto"/>
              </w:rPr>
            </w:pPr>
          </w:p>
        </w:tc>
        <w:tc>
          <w:tcPr>
            <w:tcW w:w="1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0.73%</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600</w:t>
            </w:r>
          </w:p>
        </w:tc>
      </w:tr>
      <w:tr>
        <w:trPr>
          <w:trHeight w:val="158"/>
        </w:trPr>
        <w:tc>
          <w:tcPr>
            <w:tcW w:w="2960" w:type="dxa"/>
            <w:vAlign w:val="bottom"/>
            <w:gridSpan w:val="2"/>
          </w:tcPr>
          <w:p>
            <w:pPr>
              <w:ind w:left="60"/>
              <w:spacing w:after="0"/>
              <w:rPr>
                <w:sz w:val="20"/>
                <w:szCs w:val="20"/>
                <w:color w:val="auto"/>
              </w:rPr>
            </w:pPr>
            <w:r>
              <w:rPr>
                <w:rFonts w:ascii="Arial" w:cs="Arial" w:eastAsia="Arial" w:hAnsi="Arial"/>
                <w:sz w:val="11"/>
                <w:szCs w:val="11"/>
                <w:color w:val="auto"/>
              </w:rPr>
              <w:t>&gt; 24 to ≤ 36 months</w:t>
            </w:r>
          </w:p>
        </w:tc>
        <w:tc>
          <w:tcPr>
            <w:tcW w:w="120" w:type="dxa"/>
            <w:vAlign w:val="bottom"/>
          </w:tcPr>
          <w:p>
            <w:pPr>
              <w:spacing w:after="0"/>
              <w:rPr>
                <w:sz w:val="13"/>
                <w:szCs w:val="13"/>
                <w:color w:val="auto"/>
              </w:rPr>
            </w:pP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1,100</w:t>
            </w:r>
          </w:p>
        </w:tc>
        <w:tc>
          <w:tcPr>
            <w:tcW w:w="100" w:type="dxa"/>
            <w:vAlign w:val="bottom"/>
          </w:tcPr>
          <w:p>
            <w:pPr>
              <w:spacing w:after="0"/>
              <w:rPr>
                <w:sz w:val="13"/>
                <w:szCs w:val="13"/>
                <w:color w:val="auto"/>
              </w:rPr>
            </w:pPr>
          </w:p>
        </w:tc>
        <w:tc>
          <w:tcPr>
            <w:tcW w:w="1260" w:type="dxa"/>
            <w:vAlign w:val="bottom"/>
          </w:tcPr>
          <w:p>
            <w:pPr>
              <w:jc w:val="right"/>
              <w:spacing w:after="0"/>
              <w:rPr>
                <w:sz w:val="20"/>
                <w:szCs w:val="20"/>
                <w:color w:val="auto"/>
              </w:rPr>
            </w:pPr>
            <w:r>
              <w:rPr>
                <w:rFonts w:ascii="Arial" w:cs="Arial" w:eastAsia="Arial" w:hAnsi="Arial"/>
                <w:sz w:val="11"/>
                <w:szCs w:val="11"/>
                <w:color w:val="auto"/>
              </w:rPr>
              <w:t>1.21%</w:t>
            </w:r>
          </w:p>
        </w:tc>
        <w:tc>
          <w:tcPr>
            <w:tcW w:w="12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926</w:t>
            </w:r>
          </w:p>
        </w:tc>
        <w:tc>
          <w:tcPr>
            <w:tcW w:w="4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40" w:type="dxa"/>
            <w:vAlign w:val="bottom"/>
          </w:tcPr>
          <w:p>
            <w:pPr>
              <w:jc w:val="right"/>
              <w:ind w:right="46"/>
              <w:spacing w:after="0"/>
              <w:rPr>
                <w:sz w:val="20"/>
                <w:szCs w:val="20"/>
                <w:color w:val="auto"/>
              </w:rPr>
            </w:pPr>
            <w:r>
              <w:rPr>
                <w:rFonts w:ascii="Arial" w:cs="Arial" w:eastAsia="Arial" w:hAnsi="Arial"/>
                <w:sz w:val="11"/>
                <w:szCs w:val="11"/>
                <w:color w:val="auto"/>
              </w:rPr>
              <w:t>650</w:t>
            </w:r>
          </w:p>
        </w:tc>
        <w:tc>
          <w:tcPr>
            <w:tcW w:w="120" w:type="dxa"/>
            <w:vAlign w:val="bottom"/>
          </w:tcPr>
          <w:p>
            <w:pPr>
              <w:spacing w:after="0"/>
              <w:rPr>
                <w:sz w:val="13"/>
                <w:szCs w:val="13"/>
                <w:color w:val="auto"/>
              </w:rPr>
            </w:pPr>
          </w:p>
        </w:tc>
        <w:tc>
          <w:tcPr>
            <w:tcW w:w="1240" w:type="dxa"/>
            <w:vAlign w:val="bottom"/>
          </w:tcPr>
          <w:p>
            <w:pPr>
              <w:jc w:val="right"/>
              <w:spacing w:after="0"/>
              <w:rPr>
                <w:sz w:val="20"/>
                <w:szCs w:val="20"/>
                <w:color w:val="auto"/>
              </w:rPr>
            </w:pPr>
            <w:r>
              <w:rPr>
                <w:rFonts w:ascii="Arial" w:cs="Arial" w:eastAsia="Arial" w:hAnsi="Arial"/>
                <w:sz w:val="11"/>
                <w:szCs w:val="11"/>
                <w:color w:val="auto"/>
              </w:rPr>
              <w:t>0.81%</w:t>
            </w:r>
          </w:p>
        </w:tc>
        <w:tc>
          <w:tcPr>
            <w:tcW w:w="10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901</w:t>
            </w:r>
          </w:p>
        </w:tc>
      </w:tr>
      <w:tr>
        <w:trPr>
          <w:trHeight w:val="22"/>
        </w:trPr>
        <w:tc>
          <w:tcPr>
            <w:tcW w:w="25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160"/>
        </w:trPr>
        <w:tc>
          <w:tcPr>
            <w:tcW w:w="296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&gt; 36 to ≤ 48 months</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2,100</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1.15%</w:t>
            </w:r>
          </w:p>
        </w:tc>
        <w:tc>
          <w:tcPr>
            <w:tcW w:w="12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1,216</w:t>
            </w:r>
          </w:p>
        </w:tc>
        <w:tc>
          <w:tcPr>
            <w:tcW w:w="4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1,300</w:t>
            </w:r>
          </w:p>
        </w:tc>
        <w:tc>
          <w:tcPr>
            <w:tcW w:w="120" w:type="dxa"/>
            <w:vAlign w:val="bottom"/>
            <w:tcBorders>
              <w:bottom w:val="single" w:sz="8" w:color="CCEEFF"/>
            </w:tcBorders>
            <w:shd w:val="clear" w:color="auto" w:fill="CCEEFF"/>
          </w:tcPr>
          <w:p>
            <w:pPr>
              <w:spacing w:after="0"/>
              <w:rPr>
                <w:sz w:val="13"/>
                <w:szCs w:val="13"/>
                <w:color w:val="auto"/>
              </w:rPr>
            </w:pPr>
          </w:p>
        </w:tc>
        <w:tc>
          <w:tcPr>
            <w:tcW w:w="1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0.86%</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1,231</w:t>
            </w:r>
          </w:p>
        </w:tc>
      </w:tr>
      <w:tr>
        <w:trPr>
          <w:trHeight w:val="158"/>
        </w:trPr>
        <w:tc>
          <w:tcPr>
            <w:tcW w:w="2960" w:type="dxa"/>
            <w:vAlign w:val="bottom"/>
            <w:gridSpan w:val="2"/>
          </w:tcPr>
          <w:p>
            <w:pPr>
              <w:ind w:left="60"/>
              <w:spacing w:after="0"/>
              <w:rPr>
                <w:sz w:val="20"/>
                <w:szCs w:val="20"/>
                <w:color w:val="auto"/>
              </w:rPr>
            </w:pPr>
            <w:r>
              <w:rPr>
                <w:rFonts w:ascii="Arial" w:cs="Arial" w:eastAsia="Arial" w:hAnsi="Arial"/>
                <w:sz w:val="11"/>
                <w:szCs w:val="11"/>
                <w:color w:val="auto"/>
              </w:rPr>
              <w:t>&gt; 48 to &lt; 60 months</w:t>
            </w:r>
          </w:p>
        </w:tc>
        <w:tc>
          <w:tcPr>
            <w:tcW w:w="120" w:type="dxa"/>
            <w:vAlign w:val="bottom"/>
          </w:tcPr>
          <w:p>
            <w:pPr>
              <w:spacing w:after="0"/>
              <w:rPr>
                <w:sz w:val="13"/>
                <w:szCs w:val="13"/>
                <w:color w:val="auto"/>
              </w:rPr>
            </w:pPr>
          </w:p>
        </w:tc>
        <w:tc>
          <w:tcPr>
            <w:tcW w:w="1160" w:type="dxa"/>
            <w:vAlign w:val="bottom"/>
          </w:tcPr>
          <w:p>
            <w:pPr>
              <w:jc w:val="right"/>
              <w:ind w:right="66"/>
              <w:spacing w:after="0"/>
              <w:rPr>
                <w:sz w:val="20"/>
                <w:szCs w:val="20"/>
                <w:color w:val="auto"/>
              </w:rPr>
            </w:pPr>
            <w:r>
              <w:rPr>
                <w:rFonts w:ascii="Arial" w:cs="Arial" w:eastAsia="Arial" w:hAnsi="Arial"/>
                <w:sz w:val="11"/>
                <w:szCs w:val="11"/>
                <w:color w:val="auto"/>
              </w:rPr>
              <w:t>925</w:t>
            </w:r>
          </w:p>
        </w:tc>
        <w:tc>
          <w:tcPr>
            <w:tcW w:w="100" w:type="dxa"/>
            <w:vAlign w:val="bottom"/>
          </w:tcPr>
          <w:p>
            <w:pPr>
              <w:spacing w:after="0"/>
              <w:rPr>
                <w:sz w:val="13"/>
                <w:szCs w:val="13"/>
                <w:color w:val="auto"/>
              </w:rPr>
            </w:pPr>
          </w:p>
        </w:tc>
        <w:tc>
          <w:tcPr>
            <w:tcW w:w="1260" w:type="dxa"/>
            <w:vAlign w:val="bottom"/>
          </w:tcPr>
          <w:p>
            <w:pPr>
              <w:jc w:val="right"/>
              <w:spacing w:after="0"/>
              <w:rPr>
                <w:sz w:val="20"/>
                <w:szCs w:val="20"/>
                <w:color w:val="auto"/>
              </w:rPr>
            </w:pPr>
            <w:r>
              <w:rPr>
                <w:rFonts w:ascii="Arial" w:cs="Arial" w:eastAsia="Arial" w:hAnsi="Arial"/>
                <w:sz w:val="11"/>
                <w:szCs w:val="11"/>
                <w:color w:val="auto"/>
              </w:rPr>
              <w:t>1.23%</w:t>
            </w:r>
          </w:p>
        </w:tc>
        <w:tc>
          <w:tcPr>
            <w:tcW w:w="12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1,559</w:t>
            </w:r>
          </w:p>
        </w:tc>
        <w:tc>
          <w:tcPr>
            <w:tcW w:w="4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40" w:type="dxa"/>
            <w:vAlign w:val="bottom"/>
          </w:tcPr>
          <w:p>
            <w:pPr>
              <w:jc w:val="right"/>
              <w:ind w:right="46"/>
              <w:spacing w:after="0"/>
              <w:rPr>
                <w:sz w:val="20"/>
                <w:szCs w:val="20"/>
                <w:color w:val="auto"/>
              </w:rPr>
            </w:pPr>
            <w:r>
              <w:rPr>
                <w:rFonts w:ascii="Arial" w:cs="Arial" w:eastAsia="Arial" w:hAnsi="Arial"/>
                <w:sz w:val="11"/>
                <w:szCs w:val="11"/>
                <w:color w:val="auto"/>
              </w:rPr>
              <w:t>1,500</w:t>
            </w:r>
          </w:p>
        </w:tc>
        <w:tc>
          <w:tcPr>
            <w:tcW w:w="120" w:type="dxa"/>
            <w:vAlign w:val="bottom"/>
          </w:tcPr>
          <w:p>
            <w:pPr>
              <w:spacing w:after="0"/>
              <w:rPr>
                <w:sz w:val="13"/>
                <w:szCs w:val="13"/>
                <w:color w:val="auto"/>
              </w:rPr>
            </w:pPr>
          </w:p>
        </w:tc>
        <w:tc>
          <w:tcPr>
            <w:tcW w:w="1240" w:type="dxa"/>
            <w:vAlign w:val="bottom"/>
          </w:tcPr>
          <w:p>
            <w:pPr>
              <w:jc w:val="right"/>
              <w:spacing w:after="0"/>
              <w:rPr>
                <w:sz w:val="20"/>
                <w:szCs w:val="20"/>
                <w:color w:val="auto"/>
              </w:rPr>
            </w:pPr>
            <w:r>
              <w:rPr>
                <w:rFonts w:ascii="Arial" w:cs="Arial" w:eastAsia="Arial" w:hAnsi="Arial"/>
                <w:sz w:val="11"/>
                <w:szCs w:val="11"/>
                <w:color w:val="auto"/>
              </w:rPr>
              <w:t>0.76%</w:t>
            </w:r>
          </w:p>
        </w:tc>
        <w:tc>
          <w:tcPr>
            <w:tcW w:w="100" w:type="dxa"/>
            <w:vAlign w:val="bottom"/>
          </w:tcPr>
          <w:p>
            <w:pPr>
              <w:spacing w:after="0"/>
              <w:rPr>
                <w:sz w:val="13"/>
                <w:szCs w:val="13"/>
                <w:color w:val="auto"/>
              </w:rPr>
            </w:pPr>
          </w:p>
        </w:tc>
        <w:tc>
          <w:tcPr>
            <w:tcW w:w="1260" w:type="dxa"/>
            <w:vAlign w:val="bottom"/>
          </w:tcPr>
          <w:p>
            <w:pPr>
              <w:jc w:val="right"/>
              <w:ind w:right="67"/>
              <w:spacing w:after="0"/>
              <w:rPr>
                <w:sz w:val="20"/>
                <w:szCs w:val="20"/>
                <w:color w:val="auto"/>
              </w:rPr>
            </w:pPr>
            <w:r>
              <w:rPr>
                <w:rFonts w:ascii="Arial" w:cs="Arial" w:eastAsia="Arial" w:hAnsi="Arial"/>
                <w:sz w:val="11"/>
                <w:szCs w:val="11"/>
                <w:color w:val="auto"/>
              </w:rPr>
              <w:t>1,477</w:t>
            </w:r>
          </w:p>
        </w:tc>
      </w:tr>
      <w:tr>
        <w:trPr>
          <w:trHeight w:val="22"/>
        </w:trPr>
        <w:tc>
          <w:tcPr>
            <w:tcW w:w="252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r>
      <w:tr>
        <w:trPr>
          <w:trHeight w:val="160"/>
        </w:trPr>
        <w:tc>
          <w:tcPr>
            <w:tcW w:w="2960" w:type="dxa"/>
            <w:vAlign w:val="bottom"/>
            <w:tcBorders>
              <w:bottom w:val="single" w:sz="8" w:color="CCEEFF"/>
            </w:tcBorders>
            <w:gridSpan w:val="2"/>
            <w:shd w:val="clear" w:color="auto" w:fill="CCEEFF"/>
          </w:tcPr>
          <w:p>
            <w:pPr>
              <w:ind w:left="240"/>
              <w:spacing w:after="0"/>
              <w:rPr>
                <w:sz w:val="20"/>
                <w:szCs w:val="20"/>
                <w:color w:val="auto"/>
              </w:rPr>
            </w:pPr>
            <w:r>
              <w:rPr>
                <w:rFonts w:ascii="Arial" w:cs="Arial" w:eastAsia="Arial" w:hAnsi="Arial"/>
                <w:sz w:val="11"/>
                <w:szCs w:val="11"/>
                <w:color w:val="auto"/>
              </w:rPr>
              <w:t>Total agency repo</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37,623</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0.83%</w:t>
            </w:r>
          </w:p>
        </w:tc>
        <w:tc>
          <w:tcPr>
            <w:tcW w:w="12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199</w:t>
            </w:r>
          </w:p>
        </w:tc>
        <w:tc>
          <w:tcPr>
            <w:tcW w:w="4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41,729</w:t>
            </w:r>
          </w:p>
        </w:tc>
        <w:tc>
          <w:tcPr>
            <w:tcW w:w="120" w:type="dxa"/>
            <w:vAlign w:val="bottom"/>
            <w:tcBorders>
              <w:bottom w:val="single" w:sz="8" w:color="CCEEFF"/>
            </w:tcBorders>
            <w:shd w:val="clear" w:color="auto" w:fill="CCEEFF"/>
          </w:tcPr>
          <w:p>
            <w:pPr>
              <w:spacing w:after="0"/>
              <w:rPr>
                <w:sz w:val="13"/>
                <w:szCs w:val="13"/>
                <w:color w:val="auto"/>
              </w:rPr>
            </w:pPr>
          </w:p>
        </w:tc>
        <w:tc>
          <w:tcPr>
            <w:tcW w:w="1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0.61%</w:t>
            </w:r>
          </w:p>
        </w:tc>
        <w:tc>
          <w:tcPr>
            <w:tcW w:w="10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173</w:t>
            </w:r>
          </w:p>
        </w:tc>
      </w:tr>
      <w:tr>
        <w:trPr>
          <w:trHeight w:val="147"/>
        </w:trPr>
        <w:tc>
          <w:tcPr>
            <w:tcW w:w="2960" w:type="dxa"/>
            <w:vAlign w:val="bottom"/>
            <w:gridSpan w:val="2"/>
          </w:tcPr>
          <w:p>
            <w:pPr>
              <w:ind w:left="20"/>
              <w:spacing w:after="0"/>
              <w:rPr>
                <w:sz w:val="20"/>
                <w:szCs w:val="20"/>
                <w:color w:val="auto"/>
              </w:rPr>
            </w:pPr>
            <w:r>
              <w:rPr>
                <w:rFonts w:ascii="Arial" w:cs="Arial" w:eastAsia="Arial" w:hAnsi="Arial"/>
                <w:sz w:val="11"/>
                <w:szCs w:val="11"/>
                <w:color w:val="auto"/>
              </w:rPr>
              <w:t>U.S. Treasury repo:</w:t>
            </w:r>
          </w:p>
        </w:tc>
        <w:tc>
          <w:tcPr>
            <w:tcW w:w="120" w:type="dxa"/>
            <w:vAlign w:val="bottom"/>
            <w:tcBorders>
              <w:top w:val="single" w:sz="8" w:color="auto"/>
            </w:tcBorders>
          </w:tcPr>
          <w:p>
            <w:pPr>
              <w:spacing w:after="0"/>
              <w:rPr>
                <w:sz w:val="12"/>
                <w:szCs w:val="12"/>
                <w:color w:val="auto"/>
              </w:rPr>
            </w:pPr>
          </w:p>
        </w:tc>
        <w:tc>
          <w:tcPr>
            <w:tcW w:w="11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26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1260" w:type="dxa"/>
            <w:vAlign w:val="bottom"/>
            <w:tcBorders>
              <w:top w:val="single" w:sz="8" w:color="auto"/>
            </w:tcBorders>
          </w:tcPr>
          <w:p>
            <w:pPr>
              <w:spacing w:after="0"/>
              <w:rPr>
                <w:sz w:val="12"/>
                <w:szCs w:val="12"/>
                <w:color w:val="auto"/>
              </w:rPr>
            </w:pPr>
          </w:p>
        </w:tc>
        <w:tc>
          <w:tcPr>
            <w:tcW w:w="4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114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12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260" w:type="dxa"/>
            <w:vAlign w:val="bottom"/>
            <w:tcBorders>
              <w:top w:val="single" w:sz="8" w:color="auto"/>
            </w:tcBorders>
          </w:tcPr>
          <w:p>
            <w:pPr>
              <w:spacing w:after="0"/>
              <w:rPr>
                <w:sz w:val="12"/>
                <w:szCs w:val="12"/>
                <w:color w:val="auto"/>
              </w:rPr>
            </w:pPr>
          </w:p>
        </w:tc>
      </w:tr>
      <w:tr>
        <w:trPr>
          <w:trHeight w:val="22"/>
        </w:trPr>
        <w:tc>
          <w:tcPr>
            <w:tcW w:w="25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180"/>
        </w:trPr>
        <w:tc>
          <w:tcPr>
            <w:tcW w:w="296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1 day</w:t>
            </w:r>
          </w:p>
        </w:tc>
        <w:tc>
          <w:tcPr>
            <w:tcW w:w="120" w:type="dxa"/>
            <w:vAlign w:val="bottom"/>
            <w:tcBorders>
              <w:bottom w:val="single" w:sz="8" w:color="CCEEFF"/>
            </w:tcBorders>
            <w:shd w:val="clear" w:color="auto" w:fill="CCEEFF"/>
          </w:tcPr>
          <w:p>
            <w:pPr>
              <w:spacing w:after="0"/>
              <w:rPr>
                <w:sz w:val="15"/>
                <w:szCs w:val="15"/>
                <w:color w:val="auto"/>
              </w:rPr>
            </w:pPr>
          </w:p>
        </w:tc>
        <w:tc>
          <w:tcPr>
            <w:tcW w:w="116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45</w:t>
            </w:r>
          </w:p>
        </w:tc>
        <w:tc>
          <w:tcPr>
            <w:tcW w:w="100" w:type="dxa"/>
            <w:vAlign w:val="bottom"/>
            <w:tcBorders>
              <w:bottom w:val="single" w:sz="8" w:color="CCEEFF"/>
            </w:tcBorders>
            <w:shd w:val="clear" w:color="auto" w:fill="CCEEFF"/>
          </w:tcPr>
          <w:p>
            <w:pPr>
              <w:spacing w:after="0"/>
              <w:rPr>
                <w:sz w:val="15"/>
                <w:szCs w:val="15"/>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0.85%</w:t>
            </w:r>
          </w:p>
        </w:tc>
        <w:tc>
          <w:tcPr>
            <w:tcW w:w="120" w:type="dxa"/>
            <w:vAlign w:val="bottom"/>
            <w:tcBorders>
              <w:bottom w:val="single" w:sz="8" w:color="CCEEFF"/>
            </w:tcBorders>
            <w:shd w:val="clear" w:color="auto" w:fill="CCEEFF"/>
          </w:tcPr>
          <w:p>
            <w:pPr>
              <w:spacing w:after="0"/>
              <w:rPr>
                <w:sz w:val="15"/>
                <w:szCs w:val="15"/>
                <w:color w:val="auto"/>
              </w:rPr>
            </w:pP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3</w:t>
            </w:r>
          </w:p>
        </w:tc>
        <w:tc>
          <w:tcPr>
            <w:tcW w:w="46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114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25</w:t>
            </w:r>
          </w:p>
        </w:tc>
        <w:tc>
          <w:tcPr>
            <w:tcW w:w="120" w:type="dxa"/>
            <w:vAlign w:val="bottom"/>
            <w:tcBorders>
              <w:bottom w:val="single" w:sz="8" w:color="CCEEFF"/>
            </w:tcBorders>
            <w:shd w:val="clear" w:color="auto" w:fill="CCEEFF"/>
          </w:tcPr>
          <w:p>
            <w:pPr>
              <w:spacing w:after="0"/>
              <w:rPr>
                <w:sz w:val="15"/>
                <w:szCs w:val="15"/>
                <w:color w:val="auto"/>
              </w:rPr>
            </w:pPr>
          </w:p>
        </w:tc>
        <w:tc>
          <w:tcPr>
            <w:tcW w:w="134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w:t>
            </w:r>
          </w:p>
        </w:tc>
        <w:tc>
          <w:tcPr>
            <w:tcW w:w="12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w:t>
            </w:r>
          </w:p>
        </w:tc>
      </w:tr>
      <w:tr>
        <w:trPr>
          <w:trHeight w:val="167"/>
        </w:trPr>
        <w:tc>
          <w:tcPr>
            <w:tcW w:w="2960" w:type="dxa"/>
            <w:vAlign w:val="bottom"/>
            <w:gridSpan w:val="2"/>
          </w:tcPr>
          <w:p>
            <w:pPr>
              <w:ind w:left="20"/>
              <w:spacing w:after="0"/>
              <w:rPr>
                <w:sz w:val="20"/>
                <w:szCs w:val="20"/>
                <w:color w:val="auto"/>
              </w:rPr>
            </w:pPr>
            <w:r>
              <w:rPr>
                <w:rFonts w:ascii="Arial" w:cs="Arial" w:eastAsia="Arial" w:hAnsi="Arial"/>
                <w:sz w:val="11"/>
                <w:szCs w:val="11"/>
                <w:color w:val="auto"/>
              </w:rPr>
              <w:t>Total</w:t>
            </w: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w w:val="97"/>
              </w:rPr>
              <w:t>$</w:t>
            </w:r>
          </w:p>
        </w:tc>
        <w:tc>
          <w:tcPr>
            <w:tcW w:w="1160" w:type="dxa"/>
            <w:vAlign w:val="bottom"/>
            <w:tcBorders>
              <w:top w:val="single" w:sz="8" w:color="auto"/>
              <w:bottom w:val="single" w:sz="8" w:color="auto"/>
            </w:tcBorders>
          </w:tcPr>
          <w:p>
            <w:pPr>
              <w:jc w:val="right"/>
              <w:ind w:right="66"/>
              <w:spacing w:after="0"/>
              <w:rPr>
                <w:sz w:val="20"/>
                <w:szCs w:val="20"/>
                <w:color w:val="auto"/>
              </w:rPr>
            </w:pPr>
            <w:r>
              <w:rPr>
                <w:rFonts w:ascii="Arial" w:cs="Arial" w:eastAsia="Arial" w:hAnsi="Arial"/>
                <w:sz w:val="11"/>
                <w:szCs w:val="11"/>
                <w:color w:val="auto"/>
              </w:rPr>
              <w:t>37,668</w:t>
            </w:r>
          </w:p>
        </w:tc>
        <w:tc>
          <w:tcPr>
            <w:tcW w:w="100" w:type="dxa"/>
            <w:vAlign w:val="bottom"/>
          </w:tcPr>
          <w:p>
            <w:pPr>
              <w:spacing w:after="0"/>
              <w:rPr>
                <w:sz w:val="14"/>
                <w:szCs w:val="14"/>
                <w:color w:val="auto"/>
              </w:rPr>
            </w:pPr>
          </w:p>
        </w:tc>
        <w:tc>
          <w:tcPr>
            <w:tcW w:w="1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0.83%</w:t>
            </w:r>
          </w:p>
        </w:tc>
        <w:tc>
          <w:tcPr>
            <w:tcW w:w="120" w:type="dxa"/>
            <w:vAlign w:val="bottom"/>
          </w:tcPr>
          <w:p>
            <w:pPr>
              <w:spacing w:after="0"/>
              <w:rPr>
                <w:sz w:val="14"/>
                <w:szCs w:val="14"/>
                <w:color w:val="auto"/>
              </w:rPr>
            </w:pPr>
          </w:p>
        </w:tc>
        <w:tc>
          <w:tcPr>
            <w:tcW w:w="1260" w:type="dxa"/>
            <w:vAlign w:val="bottom"/>
            <w:tcBorders>
              <w:top w:val="single" w:sz="8" w:color="auto"/>
              <w:bottom w:val="single" w:sz="8" w:color="auto"/>
            </w:tcBorders>
          </w:tcPr>
          <w:p>
            <w:pPr>
              <w:jc w:val="right"/>
              <w:ind w:right="67"/>
              <w:spacing w:after="0"/>
              <w:rPr>
                <w:sz w:val="20"/>
                <w:szCs w:val="20"/>
                <w:color w:val="auto"/>
              </w:rPr>
            </w:pPr>
            <w:r>
              <w:rPr>
                <w:rFonts w:ascii="Arial" w:cs="Arial" w:eastAsia="Arial" w:hAnsi="Arial"/>
                <w:sz w:val="11"/>
                <w:szCs w:val="11"/>
                <w:color w:val="auto"/>
              </w:rPr>
              <w:t>198</w:t>
            </w:r>
          </w:p>
        </w:tc>
        <w:tc>
          <w:tcPr>
            <w:tcW w:w="460" w:type="dxa"/>
            <w:vAlign w:val="bottom"/>
          </w:tcPr>
          <w:p>
            <w:pPr>
              <w:spacing w:after="0"/>
              <w:rPr>
                <w:sz w:val="14"/>
                <w:szCs w:val="14"/>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w w:val="97"/>
              </w:rPr>
              <w:t>$</w:t>
            </w:r>
          </w:p>
        </w:tc>
        <w:tc>
          <w:tcPr>
            <w:tcW w:w="1140" w:type="dxa"/>
            <w:vAlign w:val="bottom"/>
            <w:tcBorders>
              <w:top w:val="single" w:sz="8" w:color="auto"/>
              <w:bottom w:val="single" w:sz="8" w:color="auto"/>
            </w:tcBorders>
          </w:tcPr>
          <w:p>
            <w:pPr>
              <w:jc w:val="right"/>
              <w:ind w:right="46"/>
              <w:spacing w:after="0"/>
              <w:rPr>
                <w:sz w:val="20"/>
                <w:szCs w:val="20"/>
                <w:color w:val="auto"/>
              </w:rPr>
            </w:pPr>
            <w:r>
              <w:rPr>
                <w:rFonts w:ascii="Arial" w:cs="Arial" w:eastAsia="Arial" w:hAnsi="Arial"/>
                <w:sz w:val="11"/>
                <w:szCs w:val="11"/>
                <w:color w:val="auto"/>
              </w:rPr>
              <w:t>41,754</w:t>
            </w:r>
          </w:p>
        </w:tc>
        <w:tc>
          <w:tcPr>
            <w:tcW w:w="120" w:type="dxa"/>
            <w:vAlign w:val="bottom"/>
          </w:tcPr>
          <w:p>
            <w:pPr>
              <w:spacing w:after="0"/>
              <w:rPr>
                <w:sz w:val="14"/>
                <w:szCs w:val="14"/>
                <w:color w:val="auto"/>
              </w:rPr>
            </w:pPr>
          </w:p>
        </w:tc>
        <w:tc>
          <w:tcPr>
            <w:tcW w:w="1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0.61%</w:t>
            </w:r>
          </w:p>
        </w:tc>
        <w:tc>
          <w:tcPr>
            <w:tcW w:w="100" w:type="dxa"/>
            <w:vAlign w:val="bottom"/>
          </w:tcPr>
          <w:p>
            <w:pPr>
              <w:spacing w:after="0"/>
              <w:rPr>
                <w:sz w:val="14"/>
                <w:szCs w:val="14"/>
                <w:color w:val="auto"/>
              </w:rPr>
            </w:pPr>
          </w:p>
        </w:tc>
        <w:tc>
          <w:tcPr>
            <w:tcW w:w="1260" w:type="dxa"/>
            <w:vAlign w:val="bottom"/>
            <w:tcBorders>
              <w:top w:val="single" w:sz="8" w:color="auto"/>
              <w:bottom w:val="single" w:sz="8" w:color="auto"/>
            </w:tcBorders>
          </w:tcPr>
          <w:p>
            <w:pPr>
              <w:jc w:val="right"/>
              <w:ind w:right="67"/>
              <w:spacing w:after="0"/>
              <w:rPr>
                <w:sz w:val="20"/>
                <w:szCs w:val="20"/>
                <w:color w:val="auto"/>
              </w:rPr>
            </w:pPr>
            <w:r>
              <w:rPr>
                <w:rFonts w:ascii="Arial" w:cs="Arial" w:eastAsia="Arial" w:hAnsi="Arial"/>
                <w:sz w:val="11"/>
                <w:szCs w:val="11"/>
                <w:color w:val="auto"/>
              </w:rPr>
              <w:t>173</w:t>
            </w:r>
          </w:p>
        </w:tc>
      </w:tr>
    </w:tbl>
    <w:p>
      <w:pPr>
        <w:spacing w:after="0" w:line="15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14</w:t>
      </w:r>
    </w:p>
    <w:p>
      <w:pPr>
        <w:sectPr>
          <w:pgSz w:w="11900" w:h="16838" w:orient="portrait"/>
          <w:cols w:equalWidth="0" w:num="1">
            <w:col w:w="11480"/>
          </w:cols>
          <w:pgMar w:left="220" w:top="545" w:right="199" w:bottom="1440" w:gutter="0" w:footer="0" w:header="0"/>
        </w:sectPr>
      </w:pPr>
    </w:p>
    <w:bookmarkStart w:id="15" w:name="page16"/>
    <w:bookmarkEnd w:id="15"/>
    <w:p>
      <w:pPr>
        <w:spacing w:after="0"/>
        <w:rPr>
          <w:sz w:val="20"/>
          <w:szCs w:val="20"/>
          <w:color w:val="auto"/>
        </w:rPr>
      </w:pPr>
      <w:r>
        <w:rPr>
          <w:rFonts w:ascii="Arial" w:cs="Arial" w:eastAsia="Arial" w:hAnsi="Arial"/>
          <w:sz w:val="12"/>
          <w:szCs w:val="12"/>
          <w:b w:val="1"/>
          <w:bCs w:val="1"/>
          <w:i w:val="1"/>
          <w:iCs w:val="1"/>
          <w:color w:val="auto"/>
        </w:rPr>
        <w:t>Federal Home Loan Bank Advances</w:t>
      </w:r>
    </w:p>
    <w:p>
      <w:pPr>
        <w:spacing w:after="0" w:line="150" w:lineRule="exact"/>
        <w:rPr>
          <w:sz w:val="20"/>
          <w:szCs w:val="20"/>
          <w:color w:val="auto"/>
        </w:rPr>
      </w:pPr>
    </w:p>
    <w:p>
      <w:pPr>
        <w:jc w:val="both"/>
        <w:ind w:right="20" w:firstLine="270"/>
        <w:spacing w:after="0" w:line="298" w:lineRule="auto"/>
        <w:rPr>
          <w:sz w:val="20"/>
          <w:szCs w:val="20"/>
          <w:color w:val="auto"/>
        </w:rPr>
      </w:pPr>
      <w:r>
        <w:rPr>
          <w:rFonts w:ascii="Arial" w:cs="Arial" w:eastAsia="Arial" w:hAnsi="Arial"/>
          <w:sz w:val="11"/>
          <w:szCs w:val="11"/>
          <w:color w:val="auto"/>
        </w:rPr>
        <w:t>On January 12, 2016, the Federal Housing Finance Agency ("FHFA") released its final rule on FHLB membership, which requires the termination of our wholly-owned captive insurance subsidiary's FHLB membership and repayment of all FHLB advances after a one year period ending in February 2017. As of September 30, 2016 and December 31, 2015, we had $3.0 billion and $3.8 billion, respectively, of outstanding secured FHLB advances, with a weighted average borrowing rate of 0.63% and 0.53%, respectively, and a weighted average remaining term to maturity of 123 and 141 days, respectively, consisting of 30 day and longer-term floating rate advances:</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252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380" w:type="dxa"/>
            <w:vAlign w:val="bottom"/>
            <w:tcBorders>
              <w:bottom w:val="single" w:sz="8" w:color="auto"/>
            </w:tcBorders>
            <w:gridSpan w:val="2"/>
          </w:tcPr>
          <w:p>
            <w:pPr>
              <w:jc w:val="center"/>
              <w:ind w:right="100"/>
              <w:spacing w:after="0"/>
              <w:rPr>
                <w:sz w:val="20"/>
                <w:szCs w:val="20"/>
                <w:color w:val="auto"/>
              </w:rPr>
            </w:pPr>
            <w:r>
              <w:rPr>
                <w:rFonts w:ascii="Arial" w:cs="Arial" w:eastAsia="Arial" w:hAnsi="Arial"/>
                <w:sz w:val="10"/>
                <w:szCs w:val="10"/>
                <w:b w:val="1"/>
                <w:bCs w:val="1"/>
                <w:color w:val="auto"/>
                <w:w w:val="85"/>
              </w:rPr>
              <w:t>September 30, 2016</w:t>
            </w:r>
          </w:p>
        </w:tc>
        <w:tc>
          <w:tcPr>
            <w:tcW w:w="1280" w:type="dxa"/>
            <w:vAlign w:val="bottom"/>
            <w:tcBorders>
              <w:bottom w:val="single" w:sz="8" w:color="auto"/>
            </w:tcBorders>
          </w:tcPr>
          <w:p>
            <w:pPr>
              <w:spacing w:after="0"/>
              <w:rPr>
                <w:sz w:val="11"/>
                <w:szCs w:val="11"/>
                <w:color w:val="auto"/>
              </w:rPr>
            </w:pPr>
          </w:p>
        </w:tc>
        <w:tc>
          <w:tcPr>
            <w:tcW w:w="460" w:type="dxa"/>
            <w:vAlign w:val="bottom"/>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360" w:type="dxa"/>
            <w:vAlign w:val="bottom"/>
            <w:tcBorders>
              <w:bottom w:val="single" w:sz="8" w:color="auto"/>
            </w:tcBorders>
            <w:gridSpan w:val="2"/>
          </w:tcPr>
          <w:p>
            <w:pPr>
              <w:jc w:val="center"/>
              <w:ind w:right="80"/>
              <w:spacing w:after="0"/>
              <w:rPr>
                <w:sz w:val="20"/>
                <w:szCs w:val="20"/>
                <w:color w:val="auto"/>
              </w:rPr>
            </w:pPr>
            <w:r>
              <w:rPr>
                <w:rFonts w:ascii="Arial" w:cs="Arial" w:eastAsia="Arial" w:hAnsi="Arial"/>
                <w:sz w:val="10"/>
                <w:szCs w:val="10"/>
                <w:b w:val="1"/>
                <w:bCs w:val="1"/>
                <w:color w:val="auto"/>
                <w:w w:val="84"/>
              </w:rPr>
              <w:t>December 31, 2015</w:t>
            </w:r>
          </w:p>
        </w:tc>
        <w:tc>
          <w:tcPr>
            <w:tcW w:w="1260" w:type="dxa"/>
            <w:vAlign w:val="bottom"/>
            <w:tcBorders>
              <w:bottom w:val="single" w:sz="8" w:color="auto"/>
            </w:tcBorders>
          </w:tcPr>
          <w:p>
            <w:pPr>
              <w:spacing w:after="0"/>
              <w:rPr>
                <w:sz w:val="11"/>
                <w:szCs w:val="11"/>
                <w:color w:val="auto"/>
              </w:rPr>
            </w:pPr>
          </w:p>
        </w:tc>
      </w:tr>
      <w:tr>
        <w:trPr>
          <w:trHeight w:val="96"/>
        </w:trPr>
        <w:tc>
          <w:tcPr>
            <w:tcW w:w="2520" w:type="dxa"/>
            <w:vAlign w:val="bottom"/>
          </w:tcPr>
          <w:p>
            <w:pPr>
              <w:spacing w:after="0"/>
              <w:rPr>
                <w:sz w:val="8"/>
                <w:szCs w:val="8"/>
                <w:color w:val="auto"/>
              </w:rPr>
            </w:pPr>
          </w:p>
        </w:tc>
        <w:tc>
          <w:tcPr>
            <w:tcW w:w="48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380" w:type="dxa"/>
            <w:vAlign w:val="bottom"/>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84"/>
              </w:rPr>
              <w:t>Weighted</w:t>
            </w:r>
          </w:p>
        </w:tc>
        <w:tc>
          <w:tcPr>
            <w:tcW w:w="1280" w:type="dxa"/>
            <w:vAlign w:val="bottom"/>
          </w:tcPr>
          <w:p>
            <w:pPr>
              <w:spacing w:after="0"/>
              <w:rPr>
                <w:sz w:val="8"/>
                <w:szCs w:val="8"/>
                <w:color w:val="auto"/>
              </w:rPr>
            </w:pPr>
          </w:p>
        </w:tc>
        <w:tc>
          <w:tcPr>
            <w:tcW w:w="46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6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4"/>
              </w:rPr>
              <w:t>Weighted</w:t>
            </w:r>
          </w:p>
        </w:tc>
        <w:tc>
          <w:tcPr>
            <w:tcW w:w="1260" w:type="dxa"/>
            <w:vAlign w:val="bottom"/>
          </w:tcPr>
          <w:p>
            <w:pPr>
              <w:spacing w:after="0"/>
              <w:rPr>
                <w:sz w:val="8"/>
                <w:szCs w:val="8"/>
                <w:color w:val="auto"/>
              </w:rPr>
            </w:pPr>
          </w:p>
        </w:tc>
      </w:tr>
      <w:tr>
        <w:trPr>
          <w:trHeight w:val="99"/>
        </w:trPr>
        <w:tc>
          <w:tcPr>
            <w:tcW w:w="2520" w:type="dxa"/>
            <w:vAlign w:val="bottom"/>
          </w:tcPr>
          <w:p>
            <w:pPr>
              <w:spacing w:after="0"/>
              <w:rPr>
                <w:sz w:val="8"/>
                <w:szCs w:val="8"/>
                <w:color w:val="auto"/>
              </w:rPr>
            </w:pPr>
          </w:p>
        </w:tc>
        <w:tc>
          <w:tcPr>
            <w:tcW w:w="48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38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86"/>
              </w:rPr>
              <w:t>Average</w:t>
            </w:r>
          </w:p>
        </w:tc>
        <w:tc>
          <w:tcPr>
            <w:tcW w:w="1740" w:type="dxa"/>
            <w:vAlign w:val="bottom"/>
            <w:gridSpan w:val="2"/>
          </w:tcPr>
          <w:p>
            <w:pPr>
              <w:jc w:val="center"/>
              <w:ind w:right="460"/>
              <w:spacing w:after="0" w:line="99" w:lineRule="exact"/>
              <w:rPr>
                <w:sz w:val="20"/>
                <w:szCs w:val="20"/>
                <w:color w:val="auto"/>
              </w:rPr>
            </w:pPr>
            <w:r>
              <w:rPr>
                <w:rFonts w:ascii="Arial" w:cs="Arial" w:eastAsia="Arial" w:hAnsi="Arial"/>
                <w:sz w:val="10"/>
                <w:szCs w:val="10"/>
                <w:b w:val="1"/>
                <w:bCs w:val="1"/>
                <w:color w:val="auto"/>
                <w:w w:val="88"/>
              </w:rPr>
              <w:t>Weighted</w:t>
            </w:r>
          </w:p>
        </w:tc>
        <w:tc>
          <w:tcPr>
            <w:tcW w:w="1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6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6"/>
              </w:rPr>
              <w:t>Average</w:t>
            </w:r>
          </w:p>
        </w:tc>
        <w:tc>
          <w:tcPr>
            <w:tcW w:w="126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4"/>
              </w:rPr>
              <w:t>Weighted</w:t>
            </w:r>
          </w:p>
        </w:tc>
      </w:tr>
      <w:tr>
        <w:trPr>
          <w:trHeight w:val="99"/>
        </w:trPr>
        <w:tc>
          <w:tcPr>
            <w:tcW w:w="2520" w:type="dxa"/>
            <w:vAlign w:val="bottom"/>
          </w:tcPr>
          <w:p>
            <w:pPr>
              <w:spacing w:after="0"/>
              <w:rPr>
                <w:sz w:val="8"/>
                <w:szCs w:val="8"/>
                <w:color w:val="auto"/>
              </w:rPr>
            </w:pPr>
          </w:p>
        </w:tc>
        <w:tc>
          <w:tcPr>
            <w:tcW w:w="48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38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8"/>
              </w:rPr>
              <w:t>Interest</w:t>
            </w:r>
          </w:p>
        </w:tc>
        <w:tc>
          <w:tcPr>
            <w:tcW w:w="1740" w:type="dxa"/>
            <w:vAlign w:val="bottom"/>
            <w:gridSpan w:val="2"/>
          </w:tcPr>
          <w:p>
            <w:pPr>
              <w:jc w:val="center"/>
              <w:ind w:right="460"/>
              <w:spacing w:after="0" w:line="99" w:lineRule="exact"/>
              <w:rPr>
                <w:sz w:val="20"/>
                <w:szCs w:val="20"/>
                <w:color w:val="auto"/>
              </w:rPr>
            </w:pPr>
            <w:r>
              <w:rPr>
                <w:rFonts w:ascii="Arial" w:cs="Arial" w:eastAsia="Arial" w:hAnsi="Arial"/>
                <w:sz w:val="10"/>
                <w:szCs w:val="10"/>
                <w:b w:val="1"/>
                <w:bCs w:val="1"/>
                <w:color w:val="auto"/>
                <w:w w:val="84"/>
              </w:rPr>
              <w:t>Average Days</w:t>
            </w:r>
          </w:p>
        </w:tc>
        <w:tc>
          <w:tcPr>
            <w:tcW w:w="1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36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2"/>
              </w:rPr>
              <w:t>Interest</w:t>
            </w:r>
          </w:p>
        </w:tc>
        <w:tc>
          <w:tcPr>
            <w:tcW w:w="126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7"/>
              </w:rPr>
              <w:t>Average Days</w:t>
            </w:r>
          </w:p>
        </w:tc>
      </w:tr>
      <w:tr>
        <w:trPr>
          <w:trHeight w:val="128"/>
        </w:trPr>
        <w:tc>
          <w:tcPr>
            <w:tcW w:w="252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Remaining Maturity</w:t>
            </w:r>
          </w:p>
        </w:tc>
        <w:tc>
          <w:tcPr>
            <w:tcW w:w="48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tcPr>
          <w:p>
            <w:pPr>
              <w:jc w:val="right"/>
              <w:ind w:right="247"/>
              <w:spacing w:after="0"/>
              <w:rPr>
                <w:sz w:val="20"/>
                <w:szCs w:val="20"/>
                <w:color w:val="auto"/>
              </w:rPr>
            </w:pPr>
            <w:r>
              <w:rPr>
                <w:rFonts w:ascii="Arial" w:cs="Arial" w:eastAsia="Arial" w:hAnsi="Arial"/>
                <w:sz w:val="10"/>
                <w:szCs w:val="10"/>
                <w:b w:val="1"/>
                <w:bCs w:val="1"/>
                <w:color w:val="auto"/>
                <w:w w:val="99"/>
              </w:rPr>
              <w:t>FHLB Advances</w:t>
            </w:r>
          </w:p>
        </w:tc>
        <w:tc>
          <w:tcPr>
            <w:tcW w:w="120" w:type="dxa"/>
            <w:vAlign w:val="bottom"/>
            <w:tcBorders>
              <w:bottom w:val="single" w:sz="8" w:color="CCEEFF"/>
            </w:tcBorders>
          </w:tcPr>
          <w:p>
            <w:pPr>
              <w:spacing w:after="0"/>
              <w:rPr>
                <w:sz w:val="11"/>
                <w:szCs w:val="11"/>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Rate</w:t>
            </w:r>
          </w:p>
        </w:tc>
        <w:tc>
          <w:tcPr>
            <w:tcW w:w="120" w:type="dxa"/>
            <w:vAlign w:val="bottom"/>
            <w:tcBorders>
              <w:bottom w:val="single" w:sz="8" w:color="CCEEFF"/>
            </w:tcBorders>
          </w:tcPr>
          <w:p>
            <w:pPr>
              <w:spacing w:after="0"/>
              <w:rPr>
                <w:sz w:val="11"/>
                <w:szCs w:val="11"/>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3"/>
              </w:rPr>
              <w:t>to Maturity</w:t>
            </w:r>
          </w:p>
        </w:tc>
        <w:tc>
          <w:tcPr>
            <w:tcW w:w="46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tcPr>
          <w:p>
            <w:pPr>
              <w:jc w:val="right"/>
              <w:ind w:right="247"/>
              <w:spacing w:after="0"/>
              <w:rPr>
                <w:sz w:val="20"/>
                <w:szCs w:val="20"/>
                <w:color w:val="auto"/>
              </w:rPr>
            </w:pPr>
            <w:r>
              <w:rPr>
                <w:rFonts w:ascii="Arial" w:cs="Arial" w:eastAsia="Arial" w:hAnsi="Arial"/>
                <w:sz w:val="10"/>
                <w:szCs w:val="10"/>
                <w:b w:val="1"/>
                <w:bCs w:val="1"/>
                <w:color w:val="auto"/>
                <w:w w:val="99"/>
              </w:rPr>
              <w:t>FHLB Advances</w:t>
            </w:r>
          </w:p>
        </w:tc>
        <w:tc>
          <w:tcPr>
            <w:tcW w:w="100" w:type="dxa"/>
            <w:vAlign w:val="bottom"/>
            <w:tcBorders>
              <w:bottom w:val="single" w:sz="8" w:color="CCEEFF"/>
            </w:tcBorders>
          </w:tcPr>
          <w:p>
            <w:pPr>
              <w:spacing w:after="0"/>
              <w:rPr>
                <w:sz w:val="11"/>
                <w:szCs w:val="11"/>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Rate</w:t>
            </w:r>
          </w:p>
        </w:tc>
        <w:tc>
          <w:tcPr>
            <w:tcW w:w="100" w:type="dxa"/>
            <w:vAlign w:val="bottom"/>
            <w:tcBorders>
              <w:bottom w:val="single" w:sz="8" w:color="CCEEFF"/>
            </w:tcBorders>
          </w:tcPr>
          <w:p>
            <w:pPr>
              <w:spacing w:after="0"/>
              <w:rPr>
                <w:sz w:val="11"/>
                <w:szCs w:val="11"/>
                <w:color w:val="auto"/>
              </w:rPr>
            </w:pPr>
          </w:p>
        </w:tc>
        <w:tc>
          <w:tcPr>
            <w:tcW w:w="126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to Maturity</w:t>
            </w:r>
          </w:p>
        </w:tc>
      </w:tr>
      <w:tr>
        <w:trPr>
          <w:trHeight w:val="144"/>
        </w:trPr>
        <w:tc>
          <w:tcPr>
            <w:tcW w:w="300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 1 month</w:t>
            </w:r>
          </w:p>
        </w:tc>
        <w:tc>
          <w:tcPr>
            <w:tcW w:w="180" w:type="dxa"/>
            <w:vAlign w:val="bottom"/>
            <w:tcBorders>
              <w:bottom w:val="single" w:sz="8" w:color="CCEEFF"/>
            </w:tcBorders>
            <w:shd w:val="clear" w:color="auto" w:fill="CCEEFF"/>
          </w:tcPr>
          <w:p>
            <w:pPr>
              <w:jc w:val="right"/>
              <w:ind w:right="71"/>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1"/>
                <w:szCs w:val="11"/>
                <w:color w:val="auto"/>
              </w:rPr>
              <w:t>—</w:t>
            </w:r>
          </w:p>
        </w:tc>
        <w:tc>
          <w:tcPr>
            <w:tcW w:w="13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w:t>
            </w:r>
          </w:p>
        </w:tc>
        <w:tc>
          <w:tcPr>
            <w:tcW w:w="1740" w:type="dxa"/>
            <w:vAlign w:val="bottom"/>
            <w:tcBorders>
              <w:bottom w:val="single" w:sz="8" w:color="CCEEFF"/>
            </w:tcBorders>
            <w:gridSpan w:val="2"/>
            <w:shd w:val="clear" w:color="auto" w:fill="CCEEFF"/>
          </w:tcPr>
          <w:p>
            <w:pPr>
              <w:jc w:val="right"/>
              <w:ind w:right="580"/>
              <w:spacing w:after="0"/>
              <w:rPr>
                <w:sz w:val="20"/>
                <w:szCs w:val="20"/>
                <w:color w:val="auto"/>
              </w:rPr>
            </w:pPr>
            <w:r>
              <w:rPr>
                <w:rFonts w:ascii="Arial" w:cs="Arial" w:eastAsia="Arial" w:hAnsi="Arial"/>
                <w:sz w:val="11"/>
                <w:szCs w:val="11"/>
                <w:color w:val="auto"/>
              </w:rPr>
              <w:t>—</w:t>
            </w:r>
          </w:p>
        </w:tc>
        <w:tc>
          <w:tcPr>
            <w:tcW w:w="18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w w:val="97"/>
              </w:rPr>
              <w:t>$</w:t>
            </w:r>
          </w:p>
        </w:tc>
        <w:tc>
          <w:tcPr>
            <w:tcW w:w="108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1,952</w:t>
            </w:r>
          </w:p>
        </w:tc>
        <w:tc>
          <w:tcPr>
            <w:tcW w:w="100" w:type="dxa"/>
            <w:vAlign w:val="bottom"/>
            <w:tcBorders>
              <w:bottom w:val="single" w:sz="8" w:color="CCEEFF"/>
            </w:tcBorders>
            <w:shd w:val="clear" w:color="auto" w:fill="CCEEFF"/>
          </w:tcPr>
          <w:p>
            <w:pPr>
              <w:spacing w:after="0"/>
              <w:rPr>
                <w:sz w:val="12"/>
                <w:szCs w:val="12"/>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0.47%</w:t>
            </w:r>
          </w:p>
        </w:tc>
        <w:tc>
          <w:tcPr>
            <w:tcW w:w="100" w:type="dxa"/>
            <w:vAlign w:val="bottom"/>
            <w:tcBorders>
              <w:bottom w:val="single" w:sz="8" w:color="CCEEFF"/>
            </w:tcBorders>
            <w:shd w:val="clear" w:color="auto" w:fill="CCEEFF"/>
          </w:tcPr>
          <w:p>
            <w:pPr>
              <w:spacing w:after="0"/>
              <w:rPr>
                <w:sz w:val="12"/>
                <w:szCs w:val="12"/>
                <w:color w:val="auto"/>
              </w:rPr>
            </w:pPr>
          </w:p>
        </w:tc>
        <w:tc>
          <w:tcPr>
            <w:tcW w:w="126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14</w:t>
            </w:r>
          </w:p>
        </w:tc>
      </w:tr>
      <w:tr>
        <w:trPr>
          <w:trHeight w:val="158"/>
        </w:trPr>
        <w:tc>
          <w:tcPr>
            <w:tcW w:w="3000" w:type="dxa"/>
            <w:vAlign w:val="bottom"/>
            <w:gridSpan w:val="2"/>
          </w:tcPr>
          <w:p>
            <w:pPr>
              <w:ind w:left="60"/>
              <w:spacing w:after="0"/>
              <w:rPr>
                <w:sz w:val="20"/>
                <w:szCs w:val="20"/>
                <w:color w:val="auto"/>
              </w:rPr>
            </w:pPr>
            <w:r>
              <w:rPr>
                <w:rFonts w:ascii="Arial" w:cs="Arial" w:eastAsia="Arial" w:hAnsi="Arial"/>
                <w:sz w:val="11"/>
                <w:szCs w:val="11"/>
                <w:color w:val="auto"/>
              </w:rPr>
              <w:t>&gt; 1 to ≤ 3 months</w:t>
            </w:r>
          </w:p>
        </w:tc>
        <w:tc>
          <w:tcPr>
            <w:tcW w:w="180" w:type="dxa"/>
            <w:vAlign w:val="bottom"/>
          </w:tcPr>
          <w:p>
            <w:pPr>
              <w:spacing w:after="0"/>
              <w:rPr>
                <w:sz w:val="13"/>
                <w:szCs w:val="13"/>
                <w:color w:val="auto"/>
              </w:rPr>
            </w:pPr>
          </w:p>
        </w:tc>
        <w:tc>
          <w:tcPr>
            <w:tcW w:w="1200" w:type="dxa"/>
            <w:vAlign w:val="bottom"/>
            <w:gridSpan w:val="2"/>
          </w:tcPr>
          <w:p>
            <w:pPr>
              <w:jc w:val="right"/>
              <w:ind w:right="240"/>
              <w:spacing w:after="0"/>
              <w:rPr>
                <w:sz w:val="20"/>
                <w:szCs w:val="20"/>
                <w:color w:val="auto"/>
              </w:rPr>
            </w:pPr>
            <w:r>
              <w:rPr>
                <w:rFonts w:ascii="Arial" w:cs="Arial" w:eastAsia="Arial" w:hAnsi="Arial"/>
                <w:sz w:val="11"/>
                <w:szCs w:val="11"/>
                <w:color w:val="auto"/>
              </w:rPr>
              <w:t>—</w:t>
            </w:r>
          </w:p>
        </w:tc>
        <w:tc>
          <w:tcPr>
            <w:tcW w:w="1380" w:type="dxa"/>
            <w:vAlign w:val="bottom"/>
            <w:gridSpan w:val="2"/>
          </w:tcPr>
          <w:p>
            <w:pPr>
              <w:jc w:val="right"/>
              <w:ind w:right="140"/>
              <w:spacing w:after="0"/>
              <w:rPr>
                <w:sz w:val="20"/>
                <w:szCs w:val="20"/>
                <w:color w:val="auto"/>
              </w:rPr>
            </w:pPr>
            <w:r>
              <w:rPr>
                <w:rFonts w:ascii="Arial" w:cs="Arial" w:eastAsia="Arial" w:hAnsi="Arial"/>
                <w:sz w:val="11"/>
                <w:szCs w:val="11"/>
                <w:color w:val="auto"/>
              </w:rPr>
              <w:t>—%</w:t>
            </w:r>
          </w:p>
        </w:tc>
        <w:tc>
          <w:tcPr>
            <w:tcW w:w="1740" w:type="dxa"/>
            <w:vAlign w:val="bottom"/>
            <w:gridSpan w:val="2"/>
          </w:tcPr>
          <w:p>
            <w:pPr>
              <w:jc w:val="right"/>
              <w:ind w:right="580"/>
              <w:spacing w:after="0"/>
              <w:rPr>
                <w:sz w:val="20"/>
                <w:szCs w:val="20"/>
                <w:color w:val="auto"/>
              </w:rPr>
            </w:pPr>
            <w:r>
              <w:rPr>
                <w:rFonts w:ascii="Arial" w:cs="Arial" w:eastAsia="Arial" w:hAnsi="Arial"/>
                <w:sz w:val="11"/>
                <w:szCs w:val="11"/>
                <w:color w:val="auto"/>
              </w:rPr>
              <w:t>—</w:t>
            </w:r>
          </w:p>
        </w:tc>
        <w:tc>
          <w:tcPr>
            <w:tcW w:w="180" w:type="dxa"/>
            <w:vAlign w:val="bottom"/>
          </w:tcPr>
          <w:p>
            <w:pPr>
              <w:spacing w:after="0"/>
              <w:rPr>
                <w:sz w:val="13"/>
                <w:szCs w:val="13"/>
                <w:color w:val="auto"/>
              </w:rPr>
            </w:pPr>
          </w:p>
        </w:tc>
        <w:tc>
          <w:tcPr>
            <w:tcW w:w="1080" w:type="dxa"/>
            <w:vAlign w:val="bottom"/>
          </w:tcPr>
          <w:p>
            <w:pPr>
              <w:jc w:val="right"/>
              <w:ind w:right="67"/>
              <w:spacing w:after="0"/>
              <w:rPr>
                <w:sz w:val="20"/>
                <w:szCs w:val="20"/>
                <w:color w:val="auto"/>
              </w:rPr>
            </w:pPr>
            <w:r>
              <w:rPr>
                <w:rFonts w:ascii="Arial" w:cs="Arial" w:eastAsia="Arial" w:hAnsi="Arial"/>
                <w:sz w:val="11"/>
                <w:szCs w:val="11"/>
                <w:color w:val="auto"/>
              </w:rPr>
              <w:t>681</w:t>
            </w:r>
          </w:p>
        </w:tc>
        <w:tc>
          <w:tcPr>
            <w:tcW w:w="100" w:type="dxa"/>
            <w:vAlign w:val="bottom"/>
          </w:tcPr>
          <w:p>
            <w:pPr>
              <w:spacing w:after="0"/>
              <w:rPr>
                <w:sz w:val="13"/>
                <w:szCs w:val="13"/>
                <w:color w:val="auto"/>
              </w:rPr>
            </w:pPr>
          </w:p>
        </w:tc>
        <w:tc>
          <w:tcPr>
            <w:tcW w:w="1260" w:type="dxa"/>
            <w:vAlign w:val="bottom"/>
          </w:tcPr>
          <w:p>
            <w:pPr>
              <w:jc w:val="right"/>
              <w:spacing w:after="0"/>
              <w:rPr>
                <w:sz w:val="20"/>
                <w:szCs w:val="20"/>
                <w:color w:val="auto"/>
              </w:rPr>
            </w:pPr>
            <w:r>
              <w:rPr>
                <w:rFonts w:ascii="Arial" w:cs="Arial" w:eastAsia="Arial" w:hAnsi="Arial"/>
                <w:sz w:val="11"/>
                <w:szCs w:val="11"/>
                <w:color w:val="auto"/>
              </w:rPr>
              <w:t>0.60%</w:t>
            </w:r>
          </w:p>
        </w:tc>
        <w:tc>
          <w:tcPr>
            <w:tcW w:w="100" w:type="dxa"/>
            <w:vAlign w:val="bottom"/>
          </w:tcPr>
          <w:p>
            <w:pPr>
              <w:spacing w:after="0"/>
              <w:rPr>
                <w:sz w:val="13"/>
                <w:szCs w:val="13"/>
                <w:color w:val="auto"/>
              </w:rPr>
            </w:pPr>
          </w:p>
        </w:tc>
        <w:tc>
          <w:tcPr>
            <w:tcW w:w="1260" w:type="dxa"/>
            <w:vAlign w:val="bottom"/>
          </w:tcPr>
          <w:p>
            <w:pPr>
              <w:jc w:val="right"/>
              <w:ind w:right="68"/>
              <w:spacing w:after="0"/>
              <w:rPr>
                <w:sz w:val="20"/>
                <w:szCs w:val="20"/>
                <w:color w:val="auto"/>
              </w:rPr>
            </w:pPr>
            <w:r>
              <w:rPr>
                <w:rFonts w:ascii="Arial" w:cs="Arial" w:eastAsia="Arial" w:hAnsi="Arial"/>
                <w:sz w:val="11"/>
                <w:szCs w:val="11"/>
                <w:color w:val="auto"/>
              </w:rPr>
              <w:t>84</w:t>
            </w:r>
          </w:p>
        </w:tc>
      </w:tr>
      <w:tr>
        <w:trPr>
          <w:trHeight w:val="22"/>
        </w:trPr>
        <w:tc>
          <w:tcPr>
            <w:tcW w:w="25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160"/>
        </w:trPr>
        <w:tc>
          <w:tcPr>
            <w:tcW w:w="300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&gt; 4 to ≤ 6 months</w:t>
            </w:r>
          </w:p>
        </w:tc>
        <w:tc>
          <w:tcPr>
            <w:tcW w:w="180" w:type="dxa"/>
            <w:vAlign w:val="bottom"/>
            <w:tcBorders>
              <w:bottom w:val="single" w:sz="8" w:color="CCEEFF"/>
            </w:tcBorders>
            <w:shd w:val="clear" w:color="auto" w:fill="CCEEFF"/>
          </w:tcPr>
          <w:p>
            <w:pPr>
              <w:spacing w:after="0"/>
              <w:rPr>
                <w:sz w:val="13"/>
                <w:szCs w:val="13"/>
                <w:color w:val="auto"/>
              </w:rPr>
            </w:pPr>
          </w:p>
        </w:tc>
        <w:tc>
          <w:tcPr>
            <w:tcW w:w="108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3,037</w:t>
            </w:r>
          </w:p>
        </w:tc>
        <w:tc>
          <w:tcPr>
            <w:tcW w:w="12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0.63%</w:t>
            </w:r>
          </w:p>
        </w:tc>
        <w:tc>
          <w:tcPr>
            <w:tcW w:w="120" w:type="dxa"/>
            <w:vAlign w:val="bottom"/>
            <w:tcBorders>
              <w:bottom w:val="single" w:sz="8" w:color="CCEEFF"/>
            </w:tcBorders>
            <w:shd w:val="clear" w:color="auto" w:fill="CCEEFF"/>
          </w:tcPr>
          <w:p>
            <w:pPr>
              <w:spacing w:after="0"/>
              <w:rPr>
                <w:sz w:val="13"/>
                <w:szCs w:val="13"/>
                <w:color w:val="auto"/>
              </w:rPr>
            </w:pPr>
          </w:p>
        </w:tc>
        <w:tc>
          <w:tcPr>
            <w:tcW w:w="128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123</w:t>
            </w:r>
          </w:p>
        </w:tc>
        <w:tc>
          <w:tcPr>
            <w:tcW w:w="460" w:type="dxa"/>
            <w:vAlign w:val="bottom"/>
            <w:tcBorders>
              <w:bottom w:val="single" w:sz="8" w:color="CCEEFF"/>
            </w:tcBorders>
            <w:shd w:val="clear" w:color="auto" w:fill="CCEEFF"/>
          </w:tcPr>
          <w:p>
            <w:pPr>
              <w:spacing w:after="0"/>
              <w:rPr>
                <w:sz w:val="13"/>
                <w:szCs w:val="13"/>
                <w:color w:val="auto"/>
              </w:rPr>
            </w:pPr>
          </w:p>
        </w:tc>
        <w:tc>
          <w:tcPr>
            <w:tcW w:w="180" w:type="dxa"/>
            <w:vAlign w:val="bottom"/>
            <w:tcBorders>
              <w:bottom w:val="single" w:sz="8" w:color="CCEEFF"/>
            </w:tcBorders>
            <w:shd w:val="clear" w:color="auto" w:fill="CCEEFF"/>
          </w:tcPr>
          <w:p>
            <w:pPr>
              <w:spacing w:after="0"/>
              <w:rPr>
                <w:sz w:val="13"/>
                <w:szCs w:val="13"/>
                <w:color w:val="auto"/>
              </w:rPr>
            </w:pPr>
          </w:p>
        </w:tc>
        <w:tc>
          <w:tcPr>
            <w:tcW w:w="11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1"/>
                <w:szCs w:val="11"/>
                <w:color w:val="auto"/>
              </w:rPr>
              <w:t>—</w:t>
            </w:r>
          </w:p>
        </w:tc>
        <w:tc>
          <w:tcPr>
            <w:tcW w:w="13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w:t>
            </w:r>
          </w:p>
        </w:tc>
        <w:tc>
          <w:tcPr>
            <w:tcW w:w="126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w:t>
            </w:r>
          </w:p>
        </w:tc>
      </w:tr>
      <w:tr>
        <w:trPr>
          <w:trHeight w:val="158"/>
        </w:trPr>
        <w:tc>
          <w:tcPr>
            <w:tcW w:w="3000" w:type="dxa"/>
            <w:vAlign w:val="bottom"/>
            <w:gridSpan w:val="2"/>
          </w:tcPr>
          <w:p>
            <w:pPr>
              <w:ind w:left="60"/>
              <w:spacing w:after="0"/>
              <w:rPr>
                <w:sz w:val="20"/>
                <w:szCs w:val="20"/>
                <w:color w:val="auto"/>
              </w:rPr>
            </w:pPr>
            <w:r>
              <w:rPr>
                <w:rFonts w:ascii="Arial" w:cs="Arial" w:eastAsia="Arial" w:hAnsi="Arial"/>
                <w:sz w:val="11"/>
                <w:szCs w:val="11"/>
                <w:color w:val="auto"/>
              </w:rPr>
              <w:t>13 months</w:t>
            </w:r>
          </w:p>
        </w:tc>
        <w:tc>
          <w:tcPr>
            <w:tcW w:w="180" w:type="dxa"/>
            <w:vAlign w:val="bottom"/>
          </w:tcPr>
          <w:p>
            <w:pPr>
              <w:spacing w:after="0"/>
              <w:rPr>
                <w:sz w:val="13"/>
                <w:szCs w:val="13"/>
                <w:color w:val="auto"/>
              </w:rPr>
            </w:pPr>
          </w:p>
        </w:tc>
        <w:tc>
          <w:tcPr>
            <w:tcW w:w="1200" w:type="dxa"/>
            <w:vAlign w:val="bottom"/>
            <w:gridSpan w:val="2"/>
          </w:tcPr>
          <w:p>
            <w:pPr>
              <w:jc w:val="right"/>
              <w:ind w:right="240"/>
              <w:spacing w:after="0"/>
              <w:rPr>
                <w:sz w:val="20"/>
                <w:szCs w:val="20"/>
                <w:color w:val="auto"/>
              </w:rPr>
            </w:pPr>
            <w:r>
              <w:rPr>
                <w:rFonts w:ascii="Arial" w:cs="Arial" w:eastAsia="Arial" w:hAnsi="Arial"/>
                <w:sz w:val="11"/>
                <w:szCs w:val="11"/>
                <w:color w:val="auto"/>
              </w:rPr>
              <w:t>—</w:t>
            </w:r>
          </w:p>
        </w:tc>
        <w:tc>
          <w:tcPr>
            <w:tcW w:w="1380" w:type="dxa"/>
            <w:vAlign w:val="bottom"/>
            <w:gridSpan w:val="2"/>
          </w:tcPr>
          <w:p>
            <w:pPr>
              <w:jc w:val="right"/>
              <w:ind w:right="140"/>
              <w:spacing w:after="0"/>
              <w:rPr>
                <w:sz w:val="20"/>
                <w:szCs w:val="20"/>
                <w:color w:val="auto"/>
              </w:rPr>
            </w:pPr>
            <w:r>
              <w:rPr>
                <w:rFonts w:ascii="Arial" w:cs="Arial" w:eastAsia="Arial" w:hAnsi="Arial"/>
                <w:sz w:val="11"/>
                <w:szCs w:val="11"/>
                <w:color w:val="auto"/>
              </w:rPr>
              <w:t>—%</w:t>
            </w:r>
          </w:p>
        </w:tc>
        <w:tc>
          <w:tcPr>
            <w:tcW w:w="1740" w:type="dxa"/>
            <w:vAlign w:val="bottom"/>
            <w:gridSpan w:val="2"/>
          </w:tcPr>
          <w:p>
            <w:pPr>
              <w:jc w:val="right"/>
              <w:ind w:right="580"/>
              <w:spacing w:after="0"/>
              <w:rPr>
                <w:sz w:val="20"/>
                <w:szCs w:val="20"/>
                <w:color w:val="auto"/>
              </w:rPr>
            </w:pPr>
            <w:r>
              <w:rPr>
                <w:rFonts w:ascii="Arial" w:cs="Arial" w:eastAsia="Arial" w:hAnsi="Arial"/>
                <w:sz w:val="11"/>
                <w:szCs w:val="11"/>
                <w:color w:val="auto"/>
              </w:rPr>
              <w:t>—</w:t>
            </w:r>
          </w:p>
        </w:tc>
        <w:tc>
          <w:tcPr>
            <w:tcW w:w="180" w:type="dxa"/>
            <w:vAlign w:val="bottom"/>
          </w:tcPr>
          <w:p>
            <w:pPr>
              <w:spacing w:after="0"/>
              <w:rPr>
                <w:sz w:val="13"/>
                <w:szCs w:val="13"/>
                <w:color w:val="auto"/>
              </w:rPr>
            </w:pPr>
          </w:p>
        </w:tc>
        <w:tc>
          <w:tcPr>
            <w:tcW w:w="1080" w:type="dxa"/>
            <w:vAlign w:val="bottom"/>
          </w:tcPr>
          <w:p>
            <w:pPr>
              <w:jc w:val="right"/>
              <w:ind w:right="67"/>
              <w:spacing w:after="0"/>
              <w:rPr>
                <w:sz w:val="20"/>
                <w:szCs w:val="20"/>
                <w:color w:val="auto"/>
              </w:rPr>
            </w:pPr>
            <w:r>
              <w:rPr>
                <w:rFonts w:ascii="Arial" w:cs="Arial" w:eastAsia="Arial" w:hAnsi="Arial"/>
                <w:sz w:val="11"/>
                <w:szCs w:val="11"/>
                <w:color w:val="auto"/>
              </w:rPr>
              <w:t>1,120</w:t>
            </w:r>
          </w:p>
        </w:tc>
        <w:tc>
          <w:tcPr>
            <w:tcW w:w="100" w:type="dxa"/>
            <w:vAlign w:val="bottom"/>
          </w:tcPr>
          <w:p>
            <w:pPr>
              <w:spacing w:after="0"/>
              <w:rPr>
                <w:sz w:val="13"/>
                <w:szCs w:val="13"/>
                <w:color w:val="auto"/>
              </w:rPr>
            </w:pPr>
          </w:p>
        </w:tc>
        <w:tc>
          <w:tcPr>
            <w:tcW w:w="1260" w:type="dxa"/>
            <w:vAlign w:val="bottom"/>
          </w:tcPr>
          <w:p>
            <w:pPr>
              <w:jc w:val="right"/>
              <w:spacing w:after="0"/>
              <w:rPr>
                <w:sz w:val="20"/>
                <w:szCs w:val="20"/>
                <w:color w:val="auto"/>
              </w:rPr>
            </w:pPr>
            <w:r>
              <w:rPr>
                <w:rFonts w:ascii="Arial" w:cs="Arial" w:eastAsia="Arial" w:hAnsi="Arial"/>
                <w:sz w:val="11"/>
                <w:szCs w:val="11"/>
                <w:color w:val="auto"/>
              </w:rPr>
              <w:t>0.58%</w:t>
            </w:r>
          </w:p>
        </w:tc>
        <w:tc>
          <w:tcPr>
            <w:tcW w:w="100" w:type="dxa"/>
            <w:vAlign w:val="bottom"/>
          </w:tcPr>
          <w:p>
            <w:pPr>
              <w:spacing w:after="0"/>
              <w:rPr>
                <w:sz w:val="13"/>
                <w:szCs w:val="13"/>
                <w:color w:val="auto"/>
              </w:rPr>
            </w:pPr>
          </w:p>
        </w:tc>
        <w:tc>
          <w:tcPr>
            <w:tcW w:w="1260" w:type="dxa"/>
            <w:vAlign w:val="bottom"/>
          </w:tcPr>
          <w:p>
            <w:pPr>
              <w:jc w:val="right"/>
              <w:ind w:right="68"/>
              <w:spacing w:after="0"/>
              <w:rPr>
                <w:sz w:val="20"/>
                <w:szCs w:val="20"/>
                <w:color w:val="auto"/>
              </w:rPr>
            </w:pPr>
            <w:r>
              <w:rPr>
                <w:rFonts w:ascii="Arial" w:cs="Arial" w:eastAsia="Arial" w:hAnsi="Arial"/>
                <w:sz w:val="11"/>
                <w:szCs w:val="11"/>
                <w:color w:val="auto"/>
              </w:rPr>
              <w:t>397</w:t>
            </w:r>
          </w:p>
        </w:tc>
      </w:tr>
      <w:tr>
        <w:trPr>
          <w:trHeight w:val="22"/>
        </w:trPr>
        <w:tc>
          <w:tcPr>
            <w:tcW w:w="2520" w:type="dxa"/>
            <w:vAlign w:val="bottom"/>
            <w:tcBorders>
              <w:bottom w:val="single" w:sz="8" w:color="CCEEFF"/>
            </w:tcBorders>
          </w:tcPr>
          <w:p>
            <w:pPr>
              <w:spacing w:after="0" w:line="20" w:lineRule="exact"/>
              <w:rPr>
                <w:sz w:val="1"/>
                <w:szCs w:val="1"/>
                <w:color w:val="auto"/>
              </w:rPr>
            </w:pPr>
          </w:p>
        </w:tc>
        <w:tc>
          <w:tcPr>
            <w:tcW w:w="48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r>
      <w:tr>
        <w:trPr>
          <w:trHeight w:val="167"/>
        </w:trPr>
        <w:tc>
          <w:tcPr>
            <w:tcW w:w="30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Total FHLB advances</w:t>
            </w:r>
          </w:p>
        </w:tc>
        <w:tc>
          <w:tcPr>
            <w:tcW w:w="180" w:type="dxa"/>
            <w:vAlign w:val="bottom"/>
            <w:tcBorders>
              <w:bottom w:val="single" w:sz="8" w:color="auto"/>
            </w:tcBorders>
            <w:shd w:val="clear" w:color="auto" w:fill="CCEEFF"/>
          </w:tcPr>
          <w:p>
            <w:pPr>
              <w:jc w:val="right"/>
              <w:ind w:right="71"/>
              <w:spacing w:after="0"/>
              <w:rPr>
                <w:sz w:val="20"/>
                <w:szCs w:val="20"/>
                <w:color w:val="auto"/>
              </w:rPr>
            </w:pPr>
            <w:r>
              <w:rPr>
                <w:rFonts w:ascii="Arial" w:cs="Arial" w:eastAsia="Arial" w:hAnsi="Arial"/>
                <w:sz w:val="10"/>
                <w:szCs w:val="10"/>
                <w:color w:val="auto"/>
                <w:w w:val="71"/>
              </w:rPr>
              <w:t>$</w:t>
            </w:r>
          </w:p>
        </w:tc>
        <w:tc>
          <w:tcPr>
            <w:tcW w:w="108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3,037</w:t>
            </w:r>
          </w:p>
        </w:tc>
        <w:tc>
          <w:tcPr>
            <w:tcW w:w="120" w:type="dxa"/>
            <w:vAlign w:val="bottom"/>
            <w:tcBorders>
              <w:bottom w:val="single" w:sz="8" w:color="CCEEFF"/>
            </w:tcBorders>
            <w:shd w:val="clear" w:color="auto" w:fill="CCEEFF"/>
          </w:tcPr>
          <w:p>
            <w:pPr>
              <w:spacing w:after="0"/>
              <w:rPr>
                <w:sz w:val="14"/>
                <w:szCs w:val="14"/>
                <w:color w:val="auto"/>
              </w:rPr>
            </w:pPr>
          </w:p>
        </w:tc>
        <w:tc>
          <w:tcPr>
            <w:tcW w:w="1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0.63%</w:t>
            </w:r>
          </w:p>
        </w:tc>
        <w:tc>
          <w:tcPr>
            <w:tcW w:w="120" w:type="dxa"/>
            <w:vAlign w:val="bottom"/>
            <w:tcBorders>
              <w:bottom w:val="single" w:sz="8" w:color="CCEEFF"/>
            </w:tcBorders>
            <w:shd w:val="clear" w:color="auto" w:fill="CCEEFF"/>
          </w:tcPr>
          <w:p>
            <w:pPr>
              <w:spacing w:after="0"/>
              <w:rPr>
                <w:sz w:val="14"/>
                <w:szCs w:val="14"/>
                <w:color w:val="auto"/>
              </w:rPr>
            </w:pPr>
          </w:p>
        </w:tc>
        <w:tc>
          <w:tcPr>
            <w:tcW w:w="1280" w:type="dxa"/>
            <w:vAlign w:val="bottom"/>
            <w:tcBorders>
              <w:bottom w:val="single" w:sz="8" w:color="auto"/>
            </w:tcBorders>
            <w:shd w:val="clear" w:color="auto" w:fill="CCEEFF"/>
          </w:tcPr>
          <w:p>
            <w:pPr>
              <w:jc w:val="right"/>
              <w:ind w:right="68"/>
              <w:spacing w:after="0"/>
              <w:rPr>
                <w:sz w:val="20"/>
                <w:szCs w:val="20"/>
                <w:color w:val="auto"/>
              </w:rPr>
            </w:pPr>
            <w:r>
              <w:rPr>
                <w:rFonts w:ascii="Arial" w:cs="Arial" w:eastAsia="Arial" w:hAnsi="Arial"/>
                <w:sz w:val="11"/>
                <w:szCs w:val="11"/>
                <w:color w:val="auto"/>
              </w:rPr>
              <w:t>123</w:t>
            </w:r>
          </w:p>
        </w:tc>
        <w:tc>
          <w:tcPr>
            <w:tcW w:w="460" w:type="dxa"/>
            <w:vAlign w:val="bottom"/>
            <w:tcBorders>
              <w:bottom w:val="single" w:sz="8" w:color="CCEEFF"/>
            </w:tcBorders>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jc w:val="right"/>
              <w:ind w:right="46"/>
              <w:spacing w:after="0"/>
              <w:rPr>
                <w:sz w:val="20"/>
                <w:szCs w:val="20"/>
                <w:color w:val="auto"/>
              </w:rPr>
            </w:pPr>
            <w:r>
              <w:rPr>
                <w:rFonts w:ascii="Arial" w:cs="Arial" w:eastAsia="Arial" w:hAnsi="Arial"/>
                <w:sz w:val="11"/>
                <w:szCs w:val="11"/>
                <w:color w:val="auto"/>
                <w:w w:val="97"/>
              </w:rPr>
              <w:t>$</w:t>
            </w:r>
          </w:p>
        </w:tc>
        <w:tc>
          <w:tcPr>
            <w:tcW w:w="108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3,753</w:t>
            </w:r>
          </w:p>
        </w:tc>
        <w:tc>
          <w:tcPr>
            <w:tcW w:w="100" w:type="dxa"/>
            <w:vAlign w:val="bottom"/>
            <w:tcBorders>
              <w:bottom w:val="single" w:sz="8" w:color="CCEEFF"/>
            </w:tcBorders>
            <w:shd w:val="clear" w:color="auto" w:fill="CCEEFF"/>
          </w:tcPr>
          <w:p>
            <w:pPr>
              <w:spacing w:after="0"/>
              <w:rPr>
                <w:sz w:val="14"/>
                <w:szCs w:val="14"/>
                <w:color w:val="auto"/>
              </w:rPr>
            </w:pPr>
          </w:p>
        </w:tc>
        <w:tc>
          <w:tcPr>
            <w:tcW w:w="1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0.53%</w:t>
            </w:r>
          </w:p>
        </w:tc>
        <w:tc>
          <w:tcPr>
            <w:tcW w:w="100" w:type="dxa"/>
            <w:vAlign w:val="bottom"/>
            <w:tcBorders>
              <w:bottom w:val="single" w:sz="8" w:color="CCEEFF"/>
            </w:tcBorders>
            <w:shd w:val="clear" w:color="auto" w:fill="CCEEFF"/>
          </w:tcPr>
          <w:p>
            <w:pPr>
              <w:spacing w:after="0"/>
              <w:rPr>
                <w:sz w:val="14"/>
                <w:szCs w:val="14"/>
                <w:color w:val="auto"/>
              </w:rPr>
            </w:pPr>
          </w:p>
        </w:tc>
        <w:tc>
          <w:tcPr>
            <w:tcW w:w="1260" w:type="dxa"/>
            <w:vAlign w:val="bottom"/>
            <w:tcBorders>
              <w:bottom w:val="single" w:sz="8" w:color="auto"/>
            </w:tcBorders>
            <w:shd w:val="clear" w:color="auto" w:fill="CCEEFF"/>
          </w:tcPr>
          <w:p>
            <w:pPr>
              <w:jc w:val="right"/>
              <w:ind w:right="68"/>
              <w:spacing w:after="0"/>
              <w:rPr>
                <w:sz w:val="20"/>
                <w:szCs w:val="20"/>
                <w:color w:val="auto"/>
              </w:rPr>
            </w:pPr>
            <w:r>
              <w:rPr>
                <w:rFonts w:ascii="Arial" w:cs="Arial" w:eastAsia="Arial" w:hAnsi="Arial"/>
                <w:sz w:val="11"/>
                <w:szCs w:val="11"/>
                <w:color w:val="auto"/>
              </w:rPr>
              <w:t>141</w:t>
            </w:r>
          </w:p>
        </w:tc>
      </w:tr>
    </w:tbl>
    <w:p>
      <w:pPr>
        <w:spacing w:after="0" w:line="9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Debt of Consolidated Variable Interest Entities</w:t>
      </w:r>
    </w:p>
    <w:p>
      <w:pPr>
        <w:spacing w:after="0" w:line="114"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As of September 30, 2016 and December 31, 2015, debt of consolidated VIEs, at fair value, was $494 million and $595 million, respectively, and had a weighted average interest rate of LIBOR plus 39 and 34 basis points, respectively, and a principal balance of $488 million and $587 million, respectively. The actual maturities of our debt of consolidated VIEs are generally shorter than the stated contractual maturities. The actual maturities are affected by the contractual lives of the underlying agency MBS securitizing the debt of our consolidated VIEs and periodic principal prepayments of such underlying securities. The estimated weighted average life of the debt of our consolidated VIEs as of September 30, 2016 and December 31, 2015 was 5.1 and 4.9 years, respectively.</w:t>
      </w:r>
    </w:p>
    <w:p>
      <w:pPr>
        <w:spacing w:after="0" w:line="121"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6. Derivative and Other Hedging Instruments</w:t>
      </w:r>
    </w:p>
    <w:p>
      <w:pPr>
        <w:spacing w:after="0" w:line="118" w:lineRule="exact"/>
        <w:rPr>
          <w:sz w:val="20"/>
          <w:szCs w:val="20"/>
          <w:color w:val="auto"/>
        </w:rPr>
      </w:pPr>
    </w:p>
    <w:p>
      <w:pPr>
        <w:jc w:val="both"/>
        <w:ind w:firstLine="288"/>
        <w:spacing w:after="0" w:line="320" w:lineRule="auto"/>
        <w:rPr>
          <w:sz w:val="20"/>
          <w:szCs w:val="20"/>
          <w:color w:val="auto"/>
        </w:rPr>
      </w:pPr>
      <w:r>
        <w:rPr>
          <w:rFonts w:ascii="Arial" w:cs="Arial" w:eastAsia="Arial" w:hAnsi="Arial"/>
          <w:sz w:val="10"/>
          <w:szCs w:val="10"/>
          <w:color w:val="auto"/>
        </w:rPr>
        <w:t>In connection with our risk management strategy, we hedge a portion of our interest rate risk by entering into derivative and other hedging instrument contracts. The principal instruments that we use are interest rate swaps and interest rate swaptions and U.S. Treasury securities and U.S. Treasury futures contracts, primarily through short sales. We may also utilize TBA securities, purchase or write put or call options on TBA securities or invest in mortgage and other types of derivatives, such as interest and principal-only securities. We also enter into TBA contracts as a means of investing in and financing agency securities (thereby increasing our "at risk" leverage) or as a means of disposing of or reducing our exposure to agency securities (thereby reducing our "at risk" leverage). Our risk management strategy attempts to manage the overall risk of the portfolio, reduce fluctuations in our net book value and generate additional income distributable to stockholders. For additional information regarding our derivative instruments and our overall risk management strategy, please refer to the discussion of derivative and other hedging instruments in Note 3.</w:t>
      </w:r>
    </w:p>
    <w:p>
      <w:pPr>
        <w:spacing w:after="0" w:line="62" w:lineRule="exact"/>
        <w:rPr>
          <w:sz w:val="20"/>
          <w:szCs w:val="20"/>
          <w:color w:val="auto"/>
        </w:rPr>
      </w:pPr>
    </w:p>
    <w:p>
      <w:pPr>
        <w:jc w:val="both"/>
        <w:ind w:firstLine="288"/>
        <w:spacing w:after="0" w:line="281" w:lineRule="auto"/>
        <w:rPr>
          <w:sz w:val="20"/>
          <w:szCs w:val="20"/>
          <w:color w:val="auto"/>
        </w:rPr>
      </w:pPr>
      <w:r>
        <w:rPr>
          <w:rFonts w:ascii="Arial" w:cs="Arial" w:eastAsia="Arial" w:hAnsi="Arial"/>
          <w:sz w:val="11"/>
          <w:szCs w:val="11"/>
          <w:color w:val="auto"/>
        </w:rPr>
        <w:t>Prior to September 30, 2011, our interest rate swaps were typically designated as cash flow hedges under ASC 815; however, as of September 30, 2011, we elected to discontinue hedge accounting for our interest rate swaps in order to increase our funding flexibility. For the three and nine months ended September 30, 2016, we reclassified $7 million and $38 million, respectively, and for the three and nine months ended September 30, 2015 $24 million and $79 million, respectively, of net deferred losses from accumulated OCI into interest expense related to our de-designated interest rate swaps and recognized an equal, but offsetting, amount in other comprehensive income. Our total net periodic interest costs on our swap portfolio were $58 million and $247 million for the three and nine months ended September 30, 2016, respectively, and $131 million and $369 million for the three and nine months ended September 30, 2015, respectively. The difference between our total net periodic interest costs on our swap portfolio and the amount recorded in interest expense related to our de-designated hedges is reported in gain (loss) on derivative instruments and other securities, net in our accompanying consolidated statements of comprehensive income (totaling $51 million and $209 million for the three and nine months ended September 30, 2016, respectively, and $107 million and $290 million for the three and nine months ended September 30, 2015, respectively). As of September 30, 2016, the remaining net deferred loss in accumulated OCI related to de-designated interest rate swaps was $1 million.</w:t>
      </w:r>
    </w:p>
    <w:p>
      <w:pPr>
        <w:spacing w:after="0" w:line="27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15</w:t>
      </w:r>
    </w:p>
    <w:p>
      <w:pPr>
        <w:sectPr>
          <w:pgSz w:w="11900" w:h="16838" w:orient="portrait"/>
          <w:cols w:equalWidth="0" w:num="1">
            <w:col w:w="11480"/>
          </w:cols>
          <w:pgMar w:left="220" w:top="545" w:right="199" w:bottom="1440" w:gutter="0" w:footer="0" w:header="0"/>
        </w:sectPr>
      </w:pPr>
    </w:p>
    <w:bookmarkStart w:id="16" w:name="page17"/>
    <w:bookmarkEnd w:id="16"/>
    <w:p>
      <w:pPr>
        <w:spacing w:after="0"/>
        <w:rPr>
          <w:sz w:val="20"/>
          <w:szCs w:val="20"/>
          <w:color w:val="auto"/>
        </w:rPr>
      </w:pPr>
      <w:r>
        <w:rPr>
          <w:rFonts w:ascii="Arial" w:cs="Arial" w:eastAsia="Arial" w:hAnsi="Arial"/>
          <w:sz w:val="12"/>
          <w:szCs w:val="12"/>
          <w:b w:val="1"/>
          <w:bCs w:val="1"/>
          <w:i w:val="1"/>
          <w:iCs w:val="1"/>
          <w:color w:val="auto"/>
        </w:rPr>
        <w:t>Derivative and Other Hedging Instrument Assets (Liabilities), at Fair Value</w:t>
      </w:r>
    </w:p>
    <w:p>
      <w:pPr>
        <w:spacing w:after="0" w:line="150"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table below summarizes fair value information about our derivative and other hedging instrument assets and liabilities as of September 30, 2016 and December 31, 2015 (in millions):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436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Derivative and Other Hedging Instruments</w:t>
            </w:r>
          </w:p>
        </w:tc>
        <w:tc>
          <w:tcPr>
            <w:tcW w:w="120" w:type="dxa"/>
            <w:vAlign w:val="bottom"/>
          </w:tcPr>
          <w:p>
            <w:pPr>
              <w:spacing w:after="0"/>
              <w:rPr>
                <w:sz w:val="11"/>
                <w:szCs w:val="11"/>
                <w:color w:val="auto"/>
              </w:rPr>
            </w:pPr>
          </w:p>
        </w:tc>
        <w:tc>
          <w:tcPr>
            <w:tcW w:w="4240" w:type="dxa"/>
            <w:vAlign w:val="bottom"/>
            <w:tcBorders>
              <w:bottom w:val="single" w:sz="8" w:color="auto"/>
            </w:tcBorders>
          </w:tcPr>
          <w:p>
            <w:pPr>
              <w:ind w:left="1640"/>
              <w:spacing w:after="0"/>
              <w:rPr>
                <w:sz w:val="20"/>
                <w:szCs w:val="20"/>
                <w:color w:val="auto"/>
              </w:rPr>
            </w:pPr>
            <w:r>
              <w:rPr>
                <w:rFonts w:ascii="Arial" w:cs="Arial" w:eastAsia="Arial" w:hAnsi="Arial"/>
                <w:sz w:val="10"/>
                <w:szCs w:val="10"/>
                <w:b w:val="1"/>
                <w:bCs w:val="1"/>
                <w:color w:val="auto"/>
              </w:rPr>
              <w:t>Balance Sheet Location</w:t>
            </w:r>
          </w:p>
        </w:tc>
        <w:tc>
          <w:tcPr>
            <w:tcW w:w="120" w:type="dxa"/>
            <w:vAlign w:val="bottom"/>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jc w:val="right"/>
              <w:ind w:right="186"/>
              <w:spacing w:after="0"/>
              <w:rPr>
                <w:sz w:val="20"/>
                <w:szCs w:val="20"/>
                <w:color w:val="auto"/>
              </w:rPr>
            </w:pPr>
            <w:r>
              <w:rPr>
                <w:rFonts w:ascii="Arial" w:cs="Arial" w:eastAsia="Arial" w:hAnsi="Arial"/>
                <w:sz w:val="10"/>
                <w:szCs w:val="10"/>
                <w:b w:val="1"/>
                <w:bCs w:val="1"/>
                <w:color w:val="auto"/>
                <w:w w:val="92"/>
              </w:rPr>
              <w:t>September 30, 2016</w:t>
            </w:r>
          </w:p>
        </w:tc>
        <w:tc>
          <w:tcPr>
            <w:tcW w:w="1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jc w:val="right"/>
              <w:ind w:right="186"/>
              <w:spacing w:after="0"/>
              <w:rPr>
                <w:sz w:val="20"/>
                <w:szCs w:val="20"/>
                <w:color w:val="auto"/>
              </w:rPr>
            </w:pPr>
            <w:r>
              <w:rPr>
                <w:rFonts w:ascii="Arial" w:cs="Arial" w:eastAsia="Arial" w:hAnsi="Arial"/>
                <w:sz w:val="10"/>
                <w:szCs w:val="10"/>
                <w:b w:val="1"/>
                <w:bCs w:val="1"/>
                <w:color w:val="auto"/>
                <w:w w:val="93"/>
              </w:rPr>
              <w:t>December 31, 2015</w:t>
            </w:r>
          </w:p>
        </w:tc>
      </w:tr>
      <w:tr>
        <w:trPr>
          <w:trHeight w:val="142"/>
        </w:trPr>
        <w:tc>
          <w:tcPr>
            <w:tcW w:w="4480" w:type="dxa"/>
            <w:vAlign w:val="bottom"/>
            <w:gridSpan w:val="2"/>
          </w:tcPr>
          <w:p>
            <w:pPr>
              <w:ind w:left="20"/>
              <w:spacing w:after="0"/>
              <w:rPr>
                <w:sz w:val="20"/>
                <w:szCs w:val="20"/>
                <w:color w:val="auto"/>
              </w:rPr>
            </w:pPr>
            <w:r>
              <w:rPr>
                <w:rFonts w:ascii="Arial" w:cs="Arial" w:eastAsia="Arial" w:hAnsi="Arial"/>
                <w:sz w:val="11"/>
                <w:szCs w:val="11"/>
                <w:color w:val="auto"/>
              </w:rPr>
              <w:t>Interest rate swaps</w:t>
            </w:r>
          </w:p>
        </w:tc>
        <w:tc>
          <w:tcPr>
            <w:tcW w:w="4360" w:type="dxa"/>
            <w:vAlign w:val="bottom"/>
            <w:gridSpan w:val="2"/>
          </w:tcPr>
          <w:p>
            <w:pPr>
              <w:ind w:left="20"/>
              <w:spacing w:after="0"/>
              <w:rPr>
                <w:sz w:val="20"/>
                <w:szCs w:val="20"/>
                <w:color w:val="auto"/>
              </w:rPr>
            </w:pPr>
            <w:r>
              <w:rPr>
                <w:rFonts w:ascii="Arial" w:cs="Arial" w:eastAsia="Arial" w:hAnsi="Arial"/>
                <w:sz w:val="11"/>
                <w:szCs w:val="11"/>
                <w:color w:val="auto"/>
              </w:rPr>
              <w:t>Derivative assets, at fair value</w:t>
            </w: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120" w:type="dxa"/>
            <w:vAlign w:val="bottom"/>
          </w:tcPr>
          <w:p>
            <w:pPr>
              <w:jc w:val="right"/>
              <w:ind w:right="66"/>
              <w:spacing w:after="0"/>
              <w:rPr>
                <w:sz w:val="20"/>
                <w:szCs w:val="20"/>
                <w:color w:val="auto"/>
              </w:rPr>
            </w:pPr>
            <w:r>
              <w:rPr>
                <w:rFonts w:ascii="Arial" w:cs="Arial" w:eastAsia="Arial" w:hAnsi="Arial"/>
                <w:sz w:val="11"/>
                <w:szCs w:val="11"/>
                <w:color w:val="auto"/>
              </w:rPr>
              <w:t>5</w:t>
            </w:r>
          </w:p>
        </w:tc>
        <w:tc>
          <w:tcPr>
            <w:tcW w:w="120" w:type="dxa"/>
            <w:vAlign w:val="bottom"/>
          </w:tcPr>
          <w:p>
            <w:pPr>
              <w:spacing w:after="0"/>
              <w:rPr>
                <w:sz w:val="12"/>
                <w:szCs w:val="12"/>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66"/>
              <w:spacing w:after="0"/>
              <w:rPr>
                <w:sz w:val="20"/>
                <w:szCs w:val="20"/>
                <w:color w:val="auto"/>
              </w:rPr>
            </w:pPr>
            <w:r>
              <w:rPr>
                <w:rFonts w:ascii="Arial" w:cs="Arial" w:eastAsia="Arial" w:hAnsi="Arial"/>
                <w:sz w:val="11"/>
                <w:szCs w:val="11"/>
                <w:color w:val="auto"/>
              </w:rPr>
              <w:t>31</w:t>
            </w:r>
          </w:p>
        </w:tc>
      </w:tr>
      <w:tr>
        <w:trPr>
          <w:trHeight w:val="22"/>
        </w:trPr>
        <w:tc>
          <w:tcPr>
            <w:tcW w:w="4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160"/>
        </w:trPr>
        <w:tc>
          <w:tcPr>
            <w:tcW w:w="44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Swaptions</w:t>
            </w:r>
          </w:p>
        </w:tc>
        <w:tc>
          <w:tcPr>
            <w:tcW w:w="43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Derivative assets, at fair value</w:t>
            </w:r>
          </w:p>
        </w:tc>
        <w:tc>
          <w:tcPr>
            <w:tcW w:w="160" w:type="dxa"/>
            <w:vAlign w:val="bottom"/>
            <w:tcBorders>
              <w:bottom w:val="single" w:sz="8" w:color="CCEEFF"/>
            </w:tcBorders>
            <w:shd w:val="clear" w:color="auto" w:fill="CCEEFF"/>
          </w:tcPr>
          <w:p>
            <w:pPr>
              <w:spacing w:after="0"/>
              <w:rPr>
                <w:sz w:val="13"/>
                <w:szCs w:val="13"/>
                <w:color w:val="auto"/>
              </w:rPr>
            </w:pPr>
          </w:p>
        </w:tc>
        <w:tc>
          <w:tcPr>
            <w:tcW w:w="11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6</w:t>
            </w:r>
          </w:p>
        </w:tc>
        <w:tc>
          <w:tcPr>
            <w:tcW w:w="12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17</w:t>
            </w:r>
          </w:p>
        </w:tc>
      </w:tr>
      <w:tr>
        <w:trPr>
          <w:trHeight w:val="158"/>
        </w:trPr>
        <w:tc>
          <w:tcPr>
            <w:tcW w:w="4480" w:type="dxa"/>
            <w:vAlign w:val="bottom"/>
            <w:gridSpan w:val="2"/>
          </w:tcPr>
          <w:p>
            <w:pPr>
              <w:ind w:left="20"/>
              <w:spacing w:after="0"/>
              <w:rPr>
                <w:sz w:val="20"/>
                <w:szCs w:val="20"/>
                <w:color w:val="auto"/>
              </w:rPr>
            </w:pPr>
            <w:r>
              <w:rPr>
                <w:rFonts w:ascii="Arial" w:cs="Arial" w:eastAsia="Arial" w:hAnsi="Arial"/>
                <w:sz w:val="11"/>
                <w:szCs w:val="11"/>
                <w:color w:val="auto"/>
              </w:rPr>
              <w:t>TBA securities</w:t>
            </w:r>
          </w:p>
        </w:tc>
        <w:tc>
          <w:tcPr>
            <w:tcW w:w="4360" w:type="dxa"/>
            <w:vAlign w:val="bottom"/>
            <w:gridSpan w:val="2"/>
          </w:tcPr>
          <w:p>
            <w:pPr>
              <w:ind w:left="20"/>
              <w:spacing w:after="0"/>
              <w:rPr>
                <w:sz w:val="20"/>
                <w:szCs w:val="20"/>
                <w:color w:val="auto"/>
              </w:rPr>
            </w:pPr>
            <w:r>
              <w:rPr>
                <w:rFonts w:ascii="Arial" w:cs="Arial" w:eastAsia="Arial" w:hAnsi="Arial"/>
                <w:sz w:val="11"/>
                <w:szCs w:val="11"/>
                <w:color w:val="auto"/>
              </w:rPr>
              <w:t>Derivative assets, at fair value</w:t>
            </w:r>
          </w:p>
        </w:tc>
        <w:tc>
          <w:tcPr>
            <w:tcW w:w="160" w:type="dxa"/>
            <w:vAlign w:val="bottom"/>
          </w:tcPr>
          <w:p>
            <w:pPr>
              <w:spacing w:after="0"/>
              <w:rPr>
                <w:sz w:val="13"/>
                <w:szCs w:val="13"/>
                <w:color w:val="auto"/>
              </w:rPr>
            </w:pPr>
          </w:p>
        </w:tc>
        <w:tc>
          <w:tcPr>
            <w:tcW w:w="1120" w:type="dxa"/>
            <w:vAlign w:val="bottom"/>
          </w:tcPr>
          <w:p>
            <w:pPr>
              <w:jc w:val="right"/>
              <w:ind w:right="66"/>
              <w:spacing w:after="0"/>
              <w:rPr>
                <w:sz w:val="20"/>
                <w:szCs w:val="20"/>
                <w:color w:val="auto"/>
              </w:rPr>
            </w:pPr>
            <w:r>
              <w:rPr>
                <w:rFonts w:ascii="Arial" w:cs="Arial" w:eastAsia="Arial" w:hAnsi="Arial"/>
                <w:sz w:val="11"/>
                <w:szCs w:val="11"/>
                <w:color w:val="auto"/>
              </w:rPr>
              <w:t>50</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66"/>
              <w:spacing w:after="0"/>
              <w:rPr>
                <w:sz w:val="20"/>
                <w:szCs w:val="20"/>
                <w:color w:val="auto"/>
              </w:rPr>
            </w:pPr>
            <w:r>
              <w:rPr>
                <w:rFonts w:ascii="Arial" w:cs="Arial" w:eastAsia="Arial" w:hAnsi="Arial"/>
                <w:sz w:val="11"/>
                <w:szCs w:val="11"/>
                <w:color w:val="auto"/>
              </w:rPr>
              <w:t>29</w:t>
            </w:r>
          </w:p>
        </w:tc>
      </w:tr>
      <w:tr>
        <w:trPr>
          <w:trHeight w:val="22"/>
        </w:trPr>
        <w:tc>
          <w:tcPr>
            <w:tcW w:w="4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180"/>
        </w:trPr>
        <w:tc>
          <w:tcPr>
            <w:tcW w:w="44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futures - short</w:t>
            </w:r>
          </w:p>
        </w:tc>
        <w:tc>
          <w:tcPr>
            <w:tcW w:w="43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Derivative assets, at fair value</w:t>
            </w:r>
          </w:p>
        </w:tc>
        <w:tc>
          <w:tcPr>
            <w:tcW w:w="160" w:type="dxa"/>
            <w:vAlign w:val="bottom"/>
            <w:tcBorders>
              <w:bottom w:val="single" w:sz="8" w:color="CCEEFF"/>
            </w:tcBorders>
            <w:shd w:val="clear" w:color="auto" w:fill="CCEEFF"/>
          </w:tcPr>
          <w:p>
            <w:pPr>
              <w:spacing w:after="0"/>
              <w:rPr>
                <w:sz w:val="15"/>
                <w:szCs w:val="15"/>
                <w:color w:val="auto"/>
              </w:rPr>
            </w:pPr>
          </w:p>
        </w:tc>
        <w:tc>
          <w:tcPr>
            <w:tcW w:w="124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1"/>
                <w:szCs w:val="11"/>
                <w:color w:val="auto"/>
              </w:rPr>
              <w:t>—</w:t>
            </w:r>
          </w:p>
        </w:tc>
        <w:tc>
          <w:tcPr>
            <w:tcW w:w="140" w:type="dxa"/>
            <w:vAlign w:val="bottom"/>
            <w:tcBorders>
              <w:bottom w:val="single" w:sz="8" w:color="CCEEFF"/>
            </w:tcBorders>
            <w:shd w:val="clear" w:color="auto" w:fill="CCEEFF"/>
          </w:tcPr>
          <w:p>
            <w:pPr>
              <w:spacing w:after="0"/>
              <w:rPr>
                <w:sz w:val="15"/>
                <w:szCs w:val="15"/>
                <w:color w:val="auto"/>
              </w:rPr>
            </w:pPr>
          </w:p>
        </w:tc>
        <w:tc>
          <w:tcPr>
            <w:tcW w:w="11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w:t>
            </w:r>
          </w:p>
        </w:tc>
      </w:tr>
      <w:tr>
        <w:trPr>
          <w:trHeight w:val="167"/>
        </w:trPr>
        <w:tc>
          <w:tcPr>
            <w:tcW w:w="4480" w:type="dxa"/>
            <w:vAlign w:val="bottom"/>
            <w:tcBorders>
              <w:bottom w:val="single" w:sz="8" w:color="CCEEFF"/>
            </w:tcBorders>
            <w:gridSpan w:val="2"/>
          </w:tcPr>
          <w:p>
            <w:pPr>
              <w:ind w:left="120"/>
              <w:spacing w:after="0"/>
              <w:rPr>
                <w:sz w:val="20"/>
                <w:szCs w:val="20"/>
                <w:color w:val="auto"/>
              </w:rPr>
            </w:pPr>
            <w:r>
              <w:rPr>
                <w:rFonts w:ascii="Arial" w:cs="Arial" w:eastAsia="Arial" w:hAnsi="Arial"/>
                <w:sz w:val="11"/>
                <w:szCs w:val="11"/>
                <w:color w:val="auto"/>
              </w:rPr>
              <w:t>Total derivative assets, at fair value</w:t>
            </w:r>
          </w:p>
        </w:tc>
        <w:tc>
          <w:tcPr>
            <w:tcW w:w="424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160" w:type="dxa"/>
            <w:vAlign w:val="bottom"/>
            <w:tcBorders>
              <w:top w:val="single" w:sz="8" w:color="auto"/>
              <w:bottom w:val="single" w:sz="8" w:color="auto"/>
            </w:tcBorders>
          </w:tcPr>
          <w:p>
            <w:pPr>
              <w:jc w:val="right"/>
              <w:ind w:right="26"/>
              <w:spacing w:after="0"/>
              <w:rPr>
                <w:sz w:val="20"/>
                <w:szCs w:val="20"/>
                <w:color w:val="auto"/>
              </w:rPr>
            </w:pPr>
            <w:r>
              <w:rPr>
                <w:rFonts w:ascii="Arial" w:cs="Arial" w:eastAsia="Arial" w:hAnsi="Arial"/>
                <w:sz w:val="11"/>
                <w:szCs w:val="11"/>
                <w:color w:val="auto"/>
                <w:w w:val="97"/>
              </w:rPr>
              <w:t>$</w:t>
            </w:r>
          </w:p>
        </w:tc>
        <w:tc>
          <w:tcPr>
            <w:tcW w:w="1120" w:type="dxa"/>
            <w:vAlign w:val="bottom"/>
            <w:tcBorders>
              <w:top w:val="single" w:sz="8" w:color="auto"/>
              <w:bottom w:val="single" w:sz="8" w:color="auto"/>
            </w:tcBorders>
          </w:tcPr>
          <w:p>
            <w:pPr>
              <w:jc w:val="right"/>
              <w:ind w:right="66"/>
              <w:spacing w:after="0"/>
              <w:rPr>
                <w:sz w:val="20"/>
                <w:szCs w:val="20"/>
                <w:color w:val="auto"/>
              </w:rPr>
            </w:pPr>
            <w:r>
              <w:rPr>
                <w:rFonts w:ascii="Arial" w:cs="Arial" w:eastAsia="Arial" w:hAnsi="Arial"/>
                <w:sz w:val="11"/>
                <w:szCs w:val="11"/>
                <w:color w:val="auto"/>
              </w:rPr>
              <w:t>61</w:t>
            </w:r>
          </w:p>
        </w:tc>
        <w:tc>
          <w:tcPr>
            <w:tcW w:w="120" w:type="dxa"/>
            <w:vAlign w:val="bottom"/>
            <w:tcBorders>
              <w:bottom w:val="single" w:sz="8" w:color="CCEEFF"/>
            </w:tcBorders>
          </w:tcPr>
          <w:p>
            <w:pPr>
              <w:spacing w:after="0"/>
              <w:rPr>
                <w:sz w:val="14"/>
                <w:szCs w:val="14"/>
                <w:color w:val="auto"/>
              </w:rPr>
            </w:pPr>
          </w:p>
        </w:tc>
        <w:tc>
          <w:tcPr>
            <w:tcW w:w="140" w:type="dxa"/>
            <w:vAlign w:val="bottom"/>
            <w:tcBorders>
              <w:top w:val="single" w:sz="8" w:color="auto"/>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top w:val="single" w:sz="8" w:color="auto"/>
              <w:bottom w:val="single" w:sz="8" w:color="auto"/>
            </w:tcBorders>
          </w:tcPr>
          <w:p>
            <w:pPr>
              <w:jc w:val="right"/>
              <w:ind w:right="66"/>
              <w:spacing w:after="0"/>
              <w:rPr>
                <w:sz w:val="20"/>
                <w:szCs w:val="20"/>
                <w:color w:val="auto"/>
              </w:rPr>
            </w:pPr>
            <w:r>
              <w:rPr>
                <w:rFonts w:ascii="Arial" w:cs="Arial" w:eastAsia="Arial" w:hAnsi="Arial"/>
                <w:sz w:val="11"/>
                <w:szCs w:val="11"/>
                <w:color w:val="auto"/>
              </w:rPr>
              <w:t>81</w:t>
            </w:r>
          </w:p>
        </w:tc>
      </w:tr>
      <w:tr>
        <w:trPr>
          <w:trHeight w:val="198"/>
        </w:trPr>
        <w:tc>
          <w:tcPr>
            <w:tcW w:w="4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2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r>
      <w:tr>
        <w:trPr>
          <w:trHeight w:val="158"/>
        </w:trPr>
        <w:tc>
          <w:tcPr>
            <w:tcW w:w="4480" w:type="dxa"/>
            <w:vAlign w:val="bottom"/>
            <w:gridSpan w:val="2"/>
          </w:tcPr>
          <w:p>
            <w:pPr>
              <w:ind w:left="20"/>
              <w:spacing w:after="0"/>
              <w:rPr>
                <w:sz w:val="20"/>
                <w:szCs w:val="20"/>
                <w:color w:val="auto"/>
              </w:rPr>
            </w:pPr>
            <w:r>
              <w:rPr>
                <w:rFonts w:ascii="Arial" w:cs="Arial" w:eastAsia="Arial" w:hAnsi="Arial"/>
                <w:sz w:val="11"/>
                <w:szCs w:val="11"/>
                <w:color w:val="auto"/>
              </w:rPr>
              <w:t>Interest rate swaps</w:t>
            </w:r>
          </w:p>
        </w:tc>
        <w:tc>
          <w:tcPr>
            <w:tcW w:w="4360" w:type="dxa"/>
            <w:vAlign w:val="bottom"/>
            <w:gridSpan w:val="2"/>
          </w:tcPr>
          <w:p>
            <w:pPr>
              <w:ind w:left="20"/>
              <w:spacing w:after="0"/>
              <w:rPr>
                <w:sz w:val="20"/>
                <w:szCs w:val="20"/>
                <w:color w:val="auto"/>
              </w:rPr>
            </w:pPr>
            <w:r>
              <w:rPr>
                <w:rFonts w:ascii="Arial" w:cs="Arial" w:eastAsia="Arial" w:hAnsi="Arial"/>
                <w:sz w:val="11"/>
                <w:szCs w:val="11"/>
                <w:color w:val="auto"/>
              </w:rPr>
              <w:t>Derivative liabilities, at fair value</w:t>
            </w: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120" w:type="dxa"/>
            <w:vAlign w:val="bottom"/>
          </w:tcPr>
          <w:p>
            <w:pPr>
              <w:jc w:val="right"/>
              <w:ind w:right="26"/>
              <w:spacing w:after="0"/>
              <w:rPr>
                <w:sz w:val="20"/>
                <w:szCs w:val="20"/>
                <w:color w:val="auto"/>
              </w:rPr>
            </w:pPr>
            <w:r>
              <w:rPr>
                <w:rFonts w:ascii="Arial" w:cs="Arial" w:eastAsia="Arial" w:hAnsi="Arial"/>
                <w:sz w:val="11"/>
                <w:szCs w:val="11"/>
                <w:color w:val="auto"/>
              </w:rPr>
              <w:t>(942)</w:t>
            </w:r>
          </w:p>
        </w:tc>
        <w:tc>
          <w:tcPr>
            <w:tcW w:w="120" w:type="dxa"/>
            <w:vAlign w:val="bottom"/>
          </w:tcPr>
          <w:p>
            <w:pPr>
              <w:spacing w:after="0"/>
              <w:rPr>
                <w:sz w:val="13"/>
                <w:szCs w:val="13"/>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26"/>
              <w:spacing w:after="0"/>
              <w:rPr>
                <w:sz w:val="20"/>
                <w:szCs w:val="20"/>
                <w:color w:val="auto"/>
              </w:rPr>
            </w:pPr>
            <w:r>
              <w:rPr>
                <w:rFonts w:ascii="Arial" w:cs="Arial" w:eastAsia="Arial" w:hAnsi="Arial"/>
                <w:sz w:val="11"/>
                <w:szCs w:val="11"/>
                <w:color w:val="auto"/>
              </w:rPr>
              <w:t>(920)</w:t>
            </w:r>
          </w:p>
        </w:tc>
      </w:tr>
      <w:tr>
        <w:trPr>
          <w:trHeight w:val="22"/>
        </w:trPr>
        <w:tc>
          <w:tcPr>
            <w:tcW w:w="4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160"/>
        </w:trPr>
        <w:tc>
          <w:tcPr>
            <w:tcW w:w="44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TBA securities</w:t>
            </w:r>
          </w:p>
        </w:tc>
        <w:tc>
          <w:tcPr>
            <w:tcW w:w="43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Derivative liabilities, at fair value</w:t>
            </w:r>
          </w:p>
        </w:tc>
        <w:tc>
          <w:tcPr>
            <w:tcW w:w="160" w:type="dxa"/>
            <w:vAlign w:val="bottom"/>
            <w:tcBorders>
              <w:bottom w:val="single" w:sz="8" w:color="CCEEFF"/>
            </w:tcBorders>
            <w:shd w:val="clear" w:color="auto" w:fill="CCEEFF"/>
          </w:tcPr>
          <w:p>
            <w:pPr>
              <w:spacing w:after="0"/>
              <w:rPr>
                <w:sz w:val="13"/>
                <w:szCs w:val="13"/>
                <w:color w:val="auto"/>
              </w:rPr>
            </w:pPr>
          </w:p>
        </w:tc>
        <w:tc>
          <w:tcPr>
            <w:tcW w:w="112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(4)</w:t>
            </w:r>
          </w:p>
        </w:tc>
        <w:tc>
          <w:tcPr>
            <w:tcW w:w="12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(15)</w:t>
            </w:r>
          </w:p>
        </w:tc>
      </w:tr>
      <w:tr>
        <w:trPr>
          <w:trHeight w:val="158"/>
        </w:trPr>
        <w:tc>
          <w:tcPr>
            <w:tcW w:w="4480" w:type="dxa"/>
            <w:vAlign w:val="bottom"/>
            <w:gridSpan w:val="2"/>
          </w:tcPr>
          <w:p>
            <w:pPr>
              <w:ind w:left="20"/>
              <w:spacing w:after="0"/>
              <w:rPr>
                <w:sz w:val="20"/>
                <w:szCs w:val="20"/>
                <w:color w:val="auto"/>
              </w:rPr>
            </w:pPr>
            <w:r>
              <w:rPr>
                <w:rFonts w:ascii="Arial" w:cs="Arial" w:eastAsia="Arial" w:hAnsi="Arial"/>
                <w:sz w:val="11"/>
                <w:szCs w:val="11"/>
                <w:color w:val="auto"/>
              </w:rPr>
              <w:t>U.S. Treasury futures - short</w:t>
            </w:r>
          </w:p>
        </w:tc>
        <w:tc>
          <w:tcPr>
            <w:tcW w:w="4360" w:type="dxa"/>
            <w:vAlign w:val="bottom"/>
            <w:gridSpan w:val="2"/>
          </w:tcPr>
          <w:p>
            <w:pPr>
              <w:ind w:left="20"/>
              <w:spacing w:after="0"/>
              <w:rPr>
                <w:sz w:val="20"/>
                <w:szCs w:val="20"/>
                <w:color w:val="auto"/>
              </w:rPr>
            </w:pPr>
            <w:r>
              <w:rPr>
                <w:rFonts w:ascii="Arial" w:cs="Arial" w:eastAsia="Arial" w:hAnsi="Arial"/>
                <w:sz w:val="11"/>
                <w:szCs w:val="11"/>
                <w:color w:val="auto"/>
              </w:rPr>
              <w:t>Derivative liabilities, at fair value</w:t>
            </w:r>
          </w:p>
        </w:tc>
        <w:tc>
          <w:tcPr>
            <w:tcW w:w="160" w:type="dxa"/>
            <w:vAlign w:val="bottom"/>
          </w:tcPr>
          <w:p>
            <w:pPr>
              <w:spacing w:after="0"/>
              <w:rPr>
                <w:sz w:val="13"/>
                <w:szCs w:val="13"/>
                <w:color w:val="auto"/>
              </w:rPr>
            </w:pPr>
          </w:p>
        </w:tc>
        <w:tc>
          <w:tcPr>
            <w:tcW w:w="1120" w:type="dxa"/>
            <w:vAlign w:val="bottom"/>
          </w:tcPr>
          <w:p>
            <w:pPr>
              <w:jc w:val="right"/>
              <w:ind w:right="26"/>
              <w:spacing w:after="0"/>
              <w:rPr>
                <w:sz w:val="20"/>
                <w:szCs w:val="20"/>
                <w:color w:val="auto"/>
              </w:rPr>
            </w:pPr>
            <w:r>
              <w:rPr>
                <w:rFonts w:ascii="Arial" w:cs="Arial" w:eastAsia="Arial" w:hAnsi="Arial"/>
                <w:sz w:val="11"/>
                <w:szCs w:val="11"/>
                <w:color w:val="auto"/>
              </w:rPr>
              <w:t>(1)</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66"/>
              <w:spacing w:after="0"/>
              <w:rPr>
                <w:sz w:val="20"/>
                <w:szCs w:val="20"/>
                <w:color w:val="auto"/>
              </w:rPr>
            </w:pPr>
            <w:r>
              <w:rPr>
                <w:rFonts w:ascii="Arial" w:cs="Arial" w:eastAsia="Arial" w:hAnsi="Arial"/>
                <w:sz w:val="11"/>
                <w:szCs w:val="11"/>
                <w:color w:val="auto"/>
              </w:rPr>
              <w:t>—</w:t>
            </w:r>
          </w:p>
        </w:tc>
      </w:tr>
      <w:tr>
        <w:trPr>
          <w:trHeight w:val="22"/>
        </w:trPr>
        <w:tc>
          <w:tcPr>
            <w:tcW w:w="436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24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r>
      <w:tr>
        <w:trPr>
          <w:trHeight w:val="167"/>
        </w:trPr>
        <w:tc>
          <w:tcPr>
            <w:tcW w:w="44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1"/>
                <w:szCs w:val="11"/>
                <w:color w:val="auto"/>
              </w:rPr>
              <w:t>Total derivative liabilities, at fair value</w:t>
            </w:r>
          </w:p>
        </w:tc>
        <w:tc>
          <w:tcPr>
            <w:tcW w:w="424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16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12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rPr>
              <w:t>(947)</w:t>
            </w:r>
          </w:p>
        </w:tc>
        <w:tc>
          <w:tcPr>
            <w:tcW w:w="12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rPr>
              <w:t>(935)</w:t>
            </w:r>
          </w:p>
        </w:tc>
      </w:tr>
      <w:tr>
        <w:trPr>
          <w:trHeight w:val="198"/>
        </w:trPr>
        <w:tc>
          <w:tcPr>
            <w:tcW w:w="4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00" w:type="dxa"/>
            <w:vAlign w:val="bottom"/>
          </w:tcPr>
          <w:p>
            <w:pPr>
              <w:spacing w:after="0"/>
              <w:rPr>
                <w:sz w:val="17"/>
                <w:szCs w:val="17"/>
                <w:color w:val="auto"/>
              </w:rPr>
            </w:pPr>
          </w:p>
        </w:tc>
      </w:tr>
      <w:tr>
        <w:trPr>
          <w:trHeight w:val="160"/>
        </w:trPr>
        <w:tc>
          <w:tcPr>
            <w:tcW w:w="44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securities - long</w:t>
            </w:r>
          </w:p>
        </w:tc>
        <w:tc>
          <w:tcPr>
            <w:tcW w:w="43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securities, at fair value</w:t>
            </w: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12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45</w:t>
            </w:r>
          </w:p>
        </w:tc>
        <w:tc>
          <w:tcPr>
            <w:tcW w:w="12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25</w:t>
            </w:r>
          </w:p>
        </w:tc>
      </w:tr>
      <w:tr>
        <w:trPr>
          <w:trHeight w:val="158"/>
        </w:trPr>
        <w:tc>
          <w:tcPr>
            <w:tcW w:w="4480" w:type="dxa"/>
            <w:vAlign w:val="bottom"/>
            <w:gridSpan w:val="2"/>
          </w:tcPr>
          <w:p>
            <w:pPr>
              <w:ind w:left="20"/>
              <w:spacing w:after="0"/>
              <w:rPr>
                <w:sz w:val="20"/>
                <w:szCs w:val="20"/>
                <w:color w:val="auto"/>
              </w:rPr>
            </w:pPr>
            <w:r>
              <w:rPr>
                <w:rFonts w:ascii="Arial" w:cs="Arial" w:eastAsia="Arial" w:hAnsi="Arial"/>
                <w:sz w:val="11"/>
                <w:szCs w:val="11"/>
                <w:color w:val="auto"/>
              </w:rPr>
              <w:t>U.S. Treasury securities - short</w:t>
            </w:r>
          </w:p>
        </w:tc>
        <w:tc>
          <w:tcPr>
            <w:tcW w:w="4360" w:type="dxa"/>
            <w:vAlign w:val="bottom"/>
            <w:gridSpan w:val="2"/>
          </w:tcPr>
          <w:p>
            <w:pPr>
              <w:ind w:left="20"/>
              <w:spacing w:after="0"/>
              <w:rPr>
                <w:sz w:val="20"/>
                <w:szCs w:val="20"/>
                <w:color w:val="auto"/>
              </w:rPr>
            </w:pPr>
            <w:r>
              <w:rPr>
                <w:rFonts w:ascii="Arial" w:cs="Arial" w:eastAsia="Arial" w:hAnsi="Arial"/>
                <w:sz w:val="11"/>
                <w:szCs w:val="11"/>
                <w:color w:val="auto"/>
                <w:w w:val="97"/>
              </w:rPr>
              <w:t>Obligation to return securities borrowed under reverse repurchase agreements, at fair value</w:t>
            </w:r>
          </w:p>
        </w:tc>
        <w:tc>
          <w:tcPr>
            <w:tcW w:w="160" w:type="dxa"/>
            <w:vAlign w:val="bottom"/>
          </w:tcPr>
          <w:p>
            <w:pPr>
              <w:spacing w:after="0"/>
              <w:rPr>
                <w:sz w:val="13"/>
                <w:szCs w:val="13"/>
                <w:color w:val="auto"/>
              </w:rPr>
            </w:pPr>
          </w:p>
        </w:tc>
        <w:tc>
          <w:tcPr>
            <w:tcW w:w="1120" w:type="dxa"/>
            <w:vAlign w:val="bottom"/>
          </w:tcPr>
          <w:p>
            <w:pPr>
              <w:jc w:val="right"/>
              <w:ind w:right="26"/>
              <w:spacing w:after="0"/>
              <w:rPr>
                <w:sz w:val="20"/>
                <w:szCs w:val="20"/>
                <w:color w:val="auto"/>
              </w:rPr>
            </w:pPr>
            <w:r>
              <w:rPr>
                <w:rFonts w:ascii="Arial" w:cs="Arial" w:eastAsia="Arial" w:hAnsi="Arial"/>
                <w:sz w:val="11"/>
                <w:szCs w:val="11"/>
                <w:color w:val="auto"/>
              </w:rPr>
              <w:t>(5,424)</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26"/>
              <w:spacing w:after="0"/>
              <w:rPr>
                <w:sz w:val="20"/>
                <w:szCs w:val="20"/>
                <w:color w:val="auto"/>
              </w:rPr>
            </w:pPr>
            <w:r>
              <w:rPr>
                <w:rFonts w:ascii="Arial" w:cs="Arial" w:eastAsia="Arial" w:hAnsi="Arial"/>
                <w:sz w:val="11"/>
                <w:szCs w:val="11"/>
                <w:color w:val="auto"/>
              </w:rPr>
              <w:t>(1,696)</w:t>
            </w:r>
          </w:p>
        </w:tc>
      </w:tr>
      <w:tr>
        <w:trPr>
          <w:trHeight w:val="22"/>
        </w:trPr>
        <w:tc>
          <w:tcPr>
            <w:tcW w:w="436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424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r>
      <w:tr>
        <w:trPr>
          <w:trHeight w:val="167"/>
        </w:trPr>
        <w:tc>
          <w:tcPr>
            <w:tcW w:w="448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1"/>
                <w:szCs w:val="11"/>
                <w:color w:val="auto"/>
              </w:rPr>
              <w:t>Total U.S. Treasury securities, net at fair value</w:t>
            </w:r>
          </w:p>
        </w:tc>
        <w:tc>
          <w:tcPr>
            <w:tcW w:w="424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16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12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rPr>
              <w:t>(5,379)</w:t>
            </w:r>
          </w:p>
        </w:tc>
        <w:tc>
          <w:tcPr>
            <w:tcW w:w="12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rPr>
              <w:t>(1,671)</w:t>
            </w:r>
          </w:p>
        </w:tc>
      </w:tr>
    </w:tbl>
    <w:p>
      <w:pPr>
        <w:spacing w:after="0" w:line="135" w:lineRule="exact"/>
        <w:rPr>
          <w:sz w:val="20"/>
          <w:szCs w:val="20"/>
          <w:color w:val="auto"/>
        </w:rPr>
      </w:pPr>
    </w:p>
    <w:p>
      <w:pPr>
        <w:ind w:left="300"/>
        <w:spacing w:after="0"/>
        <w:rPr>
          <w:sz w:val="20"/>
          <w:szCs w:val="20"/>
          <w:color w:val="auto"/>
        </w:rPr>
      </w:pPr>
      <w:r>
        <w:rPr>
          <w:rFonts w:ascii="Arial" w:cs="Arial" w:eastAsia="Arial" w:hAnsi="Arial"/>
          <w:sz w:val="12"/>
          <w:szCs w:val="12"/>
          <w:color w:val="auto"/>
        </w:rPr>
        <w:t>The following tables summarize our interest rate swap agreements outstanding as of September 30, 2016 and December 31, 2015 (dollars in millions):</w:t>
      </w:r>
    </w:p>
    <w:p>
      <w:pPr>
        <w:spacing w:after="0" w:line="262" w:lineRule="exact"/>
        <w:rPr>
          <w:sz w:val="20"/>
          <w:szCs w:val="20"/>
          <w:color w:val="auto"/>
        </w:rPr>
      </w:pPr>
    </w:p>
    <w:tbl>
      <w:tblPr>
        <w:tblLayout w:type="fixed"/>
        <w:tblInd w:w="20" w:type="dxa"/>
        <w:tblCellMar>
          <w:top w:w="0" w:type="dxa"/>
          <w:left w:w="0" w:type="dxa"/>
          <w:bottom w:w="0" w:type="dxa"/>
          <w:right w:w="0" w:type="dxa"/>
        </w:tblCellMar>
      </w:tblPr>
      <w:tr>
        <w:trPr>
          <w:trHeight w:val="128"/>
        </w:trPr>
        <w:tc>
          <w:tcPr>
            <w:tcW w:w="5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gridSpan w:val="2"/>
          </w:tcPr>
          <w:p>
            <w:pPr>
              <w:ind w:left="160"/>
              <w:spacing w:after="0"/>
              <w:rPr>
                <w:sz w:val="20"/>
                <w:szCs w:val="20"/>
                <w:color w:val="auto"/>
              </w:rPr>
            </w:pPr>
            <w:r>
              <w:rPr>
                <w:rFonts w:ascii="Arial" w:cs="Arial" w:eastAsia="Arial" w:hAnsi="Arial"/>
                <w:sz w:val="10"/>
                <w:szCs w:val="10"/>
                <w:b w:val="1"/>
                <w:bCs w:val="1"/>
                <w:color w:val="auto"/>
              </w:rPr>
              <w:t>September 30, 2016</w:t>
            </w:r>
          </w:p>
        </w:tc>
        <w:tc>
          <w:tcPr>
            <w:tcW w:w="18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r>
      <w:tr>
        <w:trPr>
          <w:trHeight w:val="96"/>
        </w:trPr>
        <w:tc>
          <w:tcPr>
            <w:tcW w:w="58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8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4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6"/>
              </w:rPr>
              <w:t>Average</w:t>
            </w:r>
          </w:p>
        </w:tc>
        <w:tc>
          <w:tcPr>
            <w:tcW w:w="1160" w:type="dxa"/>
            <w:vAlign w:val="bottom"/>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80"/>
              </w:rPr>
              <w:t>Average</w:t>
            </w:r>
          </w:p>
        </w:tc>
        <w:tc>
          <w:tcPr>
            <w:tcW w:w="180" w:type="dxa"/>
            <w:vAlign w:val="bottom"/>
          </w:tcPr>
          <w:p>
            <w:pPr>
              <w:spacing w:after="0"/>
              <w:rPr>
                <w:sz w:val="8"/>
                <w:szCs w:val="8"/>
                <w:color w:val="auto"/>
              </w:rPr>
            </w:pPr>
          </w:p>
        </w:tc>
        <w:tc>
          <w:tcPr>
            <w:tcW w:w="920" w:type="dxa"/>
            <w:vAlign w:val="bottom"/>
            <w:gridSpan w:val="2"/>
          </w:tcPr>
          <w:p>
            <w:pPr>
              <w:jc w:val="center"/>
              <w:ind w:right="300"/>
              <w:spacing w:after="0" w:line="96" w:lineRule="exact"/>
              <w:rPr>
                <w:sz w:val="20"/>
                <w:szCs w:val="20"/>
                <w:color w:val="auto"/>
              </w:rPr>
            </w:pPr>
            <w:r>
              <w:rPr>
                <w:rFonts w:ascii="Arial" w:cs="Arial" w:eastAsia="Arial" w:hAnsi="Arial"/>
                <w:sz w:val="10"/>
                <w:szCs w:val="10"/>
                <w:b w:val="1"/>
                <w:bCs w:val="1"/>
                <w:color w:val="auto"/>
                <w:w w:val="86"/>
              </w:rPr>
              <w:t>Net</w:t>
            </w:r>
          </w:p>
        </w:tc>
        <w:tc>
          <w:tcPr>
            <w:tcW w:w="104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0"/>
              </w:rPr>
              <w:t>Average</w:t>
            </w:r>
          </w:p>
        </w:tc>
      </w:tr>
      <w:tr>
        <w:trPr>
          <w:trHeight w:val="99"/>
        </w:trPr>
        <w:tc>
          <w:tcPr>
            <w:tcW w:w="58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960" w:type="dxa"/>
            <w:vAlign w:val="bottom"/>
            <w:gridSpan w:val="2"/>
          </w:tcPr>
          <w:p>
            <w:pPr>
              <w:ind w:left="160"/>
              <w:spacing w:after="0" w:line="99" w:lineRule="exact"/>
              <w:rPr>
                <w:sz w:val="20"/>
                <w:szCs w:val="20"/>
                <w:color w:val="auto"/>
              </w:rPr>
            </w:pPr>
            <w:r>
              <w:rPr>
                <w:rFonts w:ascii="Arial" w:cs="Arial" w:eastAsia="Arial" w:hAnsi="Arial"/>
                <w:sz w:val="10"/>
                <w:szCs w:val="10"/>
                <w:b w:val="1"/>
                <w:bCs w:val="1"/>
                <w:color w:val="auto"/>
              </w:rPr>
              <w:t>Notional</w:t>
            </w:r>
          </w:p>
        </w:tc>
        <w:tc>
          <w:tcPr>
            <w:tcW w:w="104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91"/>
              </w:rPr>
              <w:t>Fixed</w:t>
            </w:r>
          </w:p>
        </w:tc>
        <w:tc>
          <w:tcPr>
            <w:tcW w:w="116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84"/>
              </w:rPr>
              <w:t>Receive</w:t>
            </w:r>
          </w:p>
        </w:tc>
        <w:tc>
          <w:tcPr>
            <w:tcW w:w="180" w:type="dxa"/>
            <w:vAlign w:val="bottom"/>
          </w:tcPr>
          <w:p>
            <w:pPr>
              <w:spacing w:after="0"/>
              <w:rPr>
                <w:sz w:val="8"/>
                <w:szCs w:val="8"/>
                <w:color w:val="auto"/>
              </w:rPr>
            </w:pPr>
          </w:p>
        </w:tc>
        <w:tc>
          <w:tcPr>
            <w:tcW w:w="920" w:type="dxa"/>
            <w:vAlign w:val="bottom"/>
            <w:gridSpan w:val="2"/>
          </w:tcPr>
          <w:p>
            <w:pPr>
              <w:jc w:val="center"/>
              <w:ind w:right="300"/>
              <w:spacing w:after="0" w:line="99" w:lineRule="exact"/>
              <w:rPr>
                <w:sz w:val="20"/>
                <w:szCs w:val="20"/>
                <w:color w:val="auto"/>
              </w:rPr>
            </w:pPr>
            <w:r>
              <w:rPr>
                <w:rFonts w:ascii="Arial" w:cs="Arial" w:eastAsia="Arial" w:hAnsi="Arial"/>
                <w:sz w:val="10"/>
                <w:szCs w:val="10"/>
                <w:b w:val="1"/>
                <w:bCs w:val="1"/>
                <w:color w:val="auto"/>
                <w:w w:val="87"/>
              </w:rPr>
              <w:t>Estimated</w:t>
            </w:r>
          </w:p>
        </w:tc>
        <w:tc>
          <w:tcPr>
            <w:tcW w:w="104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92"/>
              </w:rPr>
              <w:t>Maturity</w:t>
            </w:r>
          </w:p>
        </w:tc>
      </w:tr>
      <w:tr>
        <w:trPr>
          <w:trHeight w:val="128"/>
        </w:trPr>
        <w:tc>
          <w:tcPr>
            <w:tcW w:w="586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Payer Interest Rate Swaps</w:t>
            </w:r>
          </w:p>
        </w:tc>
        <w:tc>
          <w:tcPr>
            <w:tcW w:w="12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jc w:val="right"/>
              <w:ind w:right="267"/>
              <w:spacing w:after="0"/>
              <w:rPr>
                <w:sz w:val="20"/>
                <w:szCs w:val="20"/>
                <w:color w:val="auto"/>
              </w:rPr>
            </w:pPr>
            <w:r>
              <w:rPr>
                <w:rFonts w:ascii="Arial" w:cs="Arial" w:eastAsia="Arial" w:hAnsi="Arial"/>
                <w:sz w:val="10"/>
                <w:szCs w:val="10"/>
                <w:b w:val="1"/>
                <w:bCs w:val="1"/>
                <w:color w:val="auto"/>
              </w:rPr>
              <w:t xml:space="preserve">Amount </w:t>
            </w:r>
            <w:r>
              <w:rPr>
                <w:rFonts w:ascii="Arial" w:cs="Arial" w:eastAsia="Arial" w:hAnsi="Arial"/>
                <w:sz w:val="5"/>
                <w:szCs w:val="5"/>
                <w:b w:val="1"/>
                <w:bCs w:val="1"/>
                <w:color w:val="auto"/>
              </w:rPr>
              <w:t>1</w:t>
            </w:r>
          </w:p>
        </w:tc>
        <w:tc>
          <w:tcPr>
            <w:tcW w:w="12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6"/>
              </w:rPr>
              <w:t>Pay Rate 2</w:t>
            </w:r>
          </w:p>
        </w:tc>
        <w:tc>
          <w:tcPr>
            <w:tcW w:w="12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7"/>
              </w:rPr>
              <w:t xml:space="preserve">Rate </w:t>
            </w:r>
            <w:r>
              <w:rPr>
                <w:rFonts w:ascii="Arial" w:cs="Arial" w:eastAsia="Arial" w:hAnsi="Arial"/>
                <w:sz w:val="5"/>
                <w:szCs w:val="5"/>
                <w:b w:val="1"/>
                <w:bCs w:val="1"/>
                <w:color w:val="auto"/>
                <w:w w:val="87"/>
              </w:rPr>
              <w:t>3</w:t>
            </w:r>
          </w:p>
        </w:tc>
        <w:tc>
          <w:tcPr>
            <w:tcW w:w="12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jc w:val="center"/>
              <w:ind w:right="128"/>
              <w:spacing w:after="0"/>
              <w:rPr>
                <w:sz w:val="20"/>
                <w:szCs w:val="20"/>
                <w:color w:val="auto"/>
              </w:rPr>
            </w:pPr>
            <w:r>
              <w:rPr>
                <w:rFonts w:ascii="Arial" w:cs="Arial" w:eastAsia="Arial" w:hAnsi="Arial"/>
                <w:sz w:val="10"/>
                <w:szCs w:val="10"/>
                <w:b w:val="1"/>
                <w:bCs w:val="1"/>
                <w:color w:val="auto"/>
                <w:w w:val="91"/>
              </w:rPr>
              <w:t>Fair Value</w:t>
            </w:r>
          </w:p>
        </w:tc>
        <w:tc>
          <w:tcPr>
            <w:tcW w:w="10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(Years)</w:t>
            </w:r>
          </w:p>
        </w:tc>
      </w:tr>
      <w:tr>
        <w:trPr>
          <w:trHeight w:val="144"/>
        </w:trPr>
        <w:tc>
          <w:tcPr>
            <w:tcW w:w="59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 3 years</w:t>
            </w:r>
          </w:p>
        </w:tc>
        <w:tc>
          <w:tcPr>
            <w:tcW w:w="180" w:type="dxa"/>
            <w:vAlign w:val="bottom"/>
            <w:tcBorders>
              <w:bottom w:val="single" w:sz="8" w:color="CCEEFF"/>
            </w:tcBorders>
            <w:shd w:val="clear" w:color="auto" w:fill="CCEEFF"/>
          </w:tcPr>
          <w:p>
            <w:pPr>
              <w:jc w:val="right"/>
              <w:ind w:right="71"/>
              <w:spacing w:after="0"/>
              <w:rPr>
                <w:sz w:val="20"/>
                <w:szCs w:val="20"/>
                <w:color w:val="auto"/>
              </w:rPr>
            </w:pPr>
            <w:r>
              <w:rPr>
                <w:rFonts w:ascii="Arial" w:cs="Arial" w:eastAsia="Arial" w:hAnsi="Arial"/>
                <w:sz w:val="10"/>
                <w:szCs w:val="10"/>
                <w:color w:val="auto"/>
                <w:w w:val="71"/>
              </w:rPr>
              <w:t>$</w:t>
            </w:r>
          </w:p>
        </w:tc>
        <w:tc>
          <w:tcPr>
            <w:tcW w:w="84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19,025</w:t>
            </w:r>
          </w:p>
        </w:tc>
        <w:tc>
          <w:tcPr>
            <w:tcW w:w="120" w:type="dxa"/>
            <w:vAlign w:val="bottom"/>
            <w:tcBorders>
              <w:bottom w:val="single" w:sz="8" w:color="CCEEFF"/>
            </w:tcBorders>
            <w:shd w:val="clear" w:color="auto" w:fill="CCEEFF"/>
          </w:tcPr>
          <w:p>
            <w:pPr>
              <w:spacing w:after="0"/>
              <w:rPr>
                <w:sz w:val="12"/>
                <w:szCs w:val="12"/>
                <w:color w:val="auto"/>
              </w:rPr>
            </w:pPr>
          </w:p>
        </w:tc>
        <w:tc>
          <w:tcPr>
            <w:tcW w:w="9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1.05%</w:t>
            </w:r>
          </w:p>
        </w:tc>
        <w:tc>
          <w:tcPr>
            <w:tcW w:w="120" w:type="dxa"/>
            <w:vAlign w:val="bottom"/>
            <w:tcBorders>
              <w:bottom w:val="single" w:sz="8" w:color="CCEEFF"/>
            </w:tcBorders>
            <w:shd w:val="clear" w:color="auto" w:fill="CCEEFF"/>
          </w:tcPr>
          <w:p>
            <w:pPr>
              <w:spacing w:after="0"/>
              <w:rPr>
                <w:sz w:val="12"/>
                <w:szCs w:val="12"/>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0.79%</w:t>
            </w:r>
          </w:p>
        </w:tc>
        <w:tc>
          <w:tcPr>
            <w:tcW w:w="12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CCEEFF"/>
            </w:tcBorders>
            <w:shd w:val="clear" w:color="auto" w:fill="CCEEFF"/>
          </w:tcPr>
          <w:p>
            <w:pPr>
              <w:jc w:val="right"/>
              <w:ind w:right="71"/>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(64)</w:t>
            </w:r>
          </w:p>
        </w:tc>
        <w:tc>
          <w:tcPr>
            <w:tcW w:w="100" w:type="dxa"/>
            <w:vAlign w:val="bottom"/>
            <w:tcBorders>
              <w:bottom w:val="single" w:sz="8" w:color="CCEEFF"/>
            </w:tcBorders>
            <w:shd w:val="clear" w:color="auto" w:fill="CCEEFF"/>
          </w:tcPr>
          <w:p>
            <w:pPr>
              <w:spacing w:after="0"/>
              <w:rPr>
                <w:sz w:val="12"/>
                <w:szCs w:val="12"/>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91"/>
              </w:rPr>
              <w:t>1.4</w:t>
            </w:r>
          </w:p>
        </w:tc>
      </w:tr>
      <w:tr>
        <w:trPr>
          <w:trHeight w:val="158"/>
        </w:trPr>
        <w:tc>
          <w:tcPr>
            <w:tcW w:w="5980" w:type="dxa"/>
            <w:vAlign w:val="bottom"/>
            <w:gridSpan w:val="2"/>
          </w:tcPr>
          <w:p>
            <w:pPr>
              <w:ind w:left="20"/>
              <w:spacing w:after="0"/>
              <w:rPr>
                <w:sz w:val="20"/>
                <w:szCs w:val="20"/>
                <w:color w:val="auto"/>
              </w:rPr>
            </w:pPr>
            <w:r>
              <w:rPr>
                <w:rFonts w:ascii="Arial" w:cs="Arial" w:eastAsia="Arial" w:hAnsi="Arial"/>
                <w:sz w:val="11"/>
                <w:szCs w:val="11"/>
                <w:color w:val="auto"/>
              </w:rPr>
              <w:t>&gt; 3 to ≤ 5 years</w:t>
            </w:r>
          </w:p>
        </w:tc>
        <w:tc>
          <w:tcPr>
            <w:tcW w:w="180" w:type="dxa"/>
            <w:vAlign w:val="bottom"/>
          </w:tcPr>
          <w:p>
            <w:pPr>
              <w:spacing w:after="0"/>
              <w:rPr>
                <w:sz w:val="13"/>
                <w:szCs w:val="13"/>
                <w:color w:val="auto"/>
              </w:rPr>
            </w:pPr>
          </w:p>
        </w:tc>
        <w:tc>
          <w:tcPr>
            <w:tcW w:w="840" w:type="dxa"/>
            <w:vAlign w:val="bottom"/>
          </w:tcPr>
          <w:p>
            <w:pPr>
              <w:jc w:val="right"/>
              <w:ind w:right="67"/>
              <w:spacing w:after="0"/>
              <w:rPr>
                <w:sz w:val="20"/>
                <w:szCs w:val="20"/>
                <w:color w:val="auto"/>
              </w:rPr>
            </w:pPr>
            <w:r>
              <w:rPr>
                <w:rFonts w:ascii="Arial" w:cs="Arial" w:eastAsia="Arial" w:hAnsi="Arial"/>
                <w:sz w:val="11"/>
                <w:szCs w:val="11"/>
                <w:color w:val="auto"/>
              </w:rPr>
              <w:t>5,050</w:t>
            </w:r>
          </w:p>
        </w:tc>
        <w:tc>
          <w:tcPr>
            <w:tcW w:w="12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1"/>
                <w:szCs w:val="11"/>
                <w:color w:val="auto"/>
                <w:w w:val="89"/>
              </w:rPr>
              <w:t>1.55%</w:t>
            </w:r>
          </w:p>
        </w:tc>
        <w:tc>
          <w:tcPr>
            <w:tcW w:w="120" w:type="dxa"/>
            <w:vAlign w:val="bottom"/>
          </w:tcPr>
          <w:p>
            <w:pPr>
              <w:spacing w:after="0"/>
              <w:rPr>
                <w:sz w:val="13"/>
                <w:szCs w:val="13"/>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89"/>
              </w:rPr>
              <w:t>0.76%</w:t>
            </w: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20" w:type="dxa"/>
            <w:vAlign w:val="bottom"/>
          </w:tcPr>
          <w:p>
            <w:pPr>
              <w:jc w:val="right"/>
              <w:ind w:right="28"/>
              <w:spacing w:after="0"/>
              <w:rPr>
                <w:sz w:val="20"/>
                <w:szCs w:val="20"/>
                <w:color w:val="auto"/>
              </w:rPr>
            </w:pPr>
            <w:r>
              <w:rPr>
                <w:rFonts w:ascii="Arial" w:cs="Arial" w:eastAsia="Arial" w:hAnsi="Arial"/>
                <w:sz w:val="11"/>
                <w:szCs w:val="11"/>
                <w:color w:val="auto"/>
              </w:rPr>
              <w:t>(89)</w:t>
            </w:r>
          </w:p>
        </w:tc>
        <w:tc>
          <w:tcPr>
            <w:tcW w:w="100" w:type="dxa"/>
            <w:vAlign w:val="bottom"/>
          </w:tcPr>
          <w:p>
            <w:pPr>
              <w:spacing w:after="0"/>
              <w:rPr>
                <w:sz w:val="13"/>
                <w:szCs w:val="13"/>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91"/>
              </w:rPr>
              <w:t>3.5</w:t>
            </w:r>
          </w:p>
        </w:tc>
      </w:tr>
      <w:tr>
        <w:trPr>
          <w:trHeight w:val="22"/>
        </w:trPr>
        <w:tc>
          <w:tcPr>
            <w:tcW w:w="58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r>
      <w:tr>
        <w:trPr>
          <w:trHeight w:val="160"/>
        </w:trPr>
        <w:tc>
          <w:tcPr>
            <w:tcW w:w="59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&gt; 5 to ≤ 7 years</w:t>
            </w:r>
          </w:p>
        </w:tc>
        <w:tc>
          <w:tcPr>
            <w:tcW w:w="180" w:type="dxa"/>
            <w:vAlign w:val="bottom"/>
            <w:tcBorders>
              <w:bottom w:val="single" w:sz="8" w:color="CCEEFF"/>
            </w:tcBorders>
            <w:shd w:val="clear" w:color="auto" w:fill="CCEEFF"/>
          </w:tcPr>
          <w:p>
            <w:pPr>
              <w:spacing w:after="0"/>
              <w:rPr>
                <w:sz w:val="13"/>
                <w:szCs w:val="13"/>
                <w:color w:val="auto"/>
              </w:rPr>
            </w:pPr>
          </w:p>
        </w:tc>
        <w:tc>
          <w:tcPr>
            <w:tcW w:w="84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7,075</w:t>
            </w:r>
          </w:p>
        </w:tc>
        <w:tc>
          <w:tcPr>
            <w:tcW w:w="120" w:type="dxa"/>
            <w:vAlign w:val="bottom"/>
            <w:tcBorders>
              <w:bottom w:val="single" w:sz="8" w:color="CCEEFF"/>
            </w:tcBorders>
            <w:shd w:val="clear" w:color="auto" w:fill="CCEEFF"/>
          </w:tcPr>
          <w:p>
            <w:pPr>
              <w:spacing w:after="0"/>
              <w:rPr>
                <w:sz w:val="13"/>
                <w:szCs w:val="13"/>
                <w:color w:val="auto"/>
              </w:rPr>
            </w:pPr>
          </w:p>
        </w:tc>
        <w:tc>
          <w:tcPr>
            <w:tcW w:w="9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2.23%</w:t>
            </w:r>
          </w:p>
        </w:tc>
        <w:tc>
          <w:tcPr>
            <w:tcW w:w="12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0.76%</w:t>
            </w:r>
          </w:p>
        </w:tc>
        <w:tc>
          <w:tcPr>
            <w:tcW w:w="120" w:type="dxa"/>
            <w:vAlign w:val="bottom"/>
            <w:tcBorders>
              <w:bottom w:val="single" w:sz="8" w:color="CCEEFF"/>
            </w:tcBorders>
            <w:shd w:val="clear" w:color="auto" w:fill="CCEEFF"/>
          </w:tcPr>
          <w:p>
            <w:pPr>
              <w:spacing w:after="0"/>
              <w:rPr>
                <w:sz w:val="13"/>
                <w:szCs w:val="13"/>
                <w:color w:val="auto"/>
              </w:rPr>
            </w:pPr>
          </w:p>
        </w:tc>
        <w:tc>
          <w:tcPr>
            <w:tcW w:w="180" w:type="dxa"/>
            <w:vAlign w:val="bottom"/>
            <w:tcBorders>
              <w:bottom w:val="single" w:sz="8" w:color="CCEEFF"/>
            </w:tcBorders>
            <w:shd w:val="clear" w:color="auto" w:fill="CCEEFF"/>
          </w:tcPr>
          <w:p>
            <w:pPr>
              <w:spacing w:after="0"/>
              <w:rPr>
                <w:sz w:val="13"/>
                <w:szCs w:val="13"/>
                <w:color w:val="auto"/>
              </w:rPr>
            </w:pPr>
          </w:p>
        </w:tc>
        <w:tc>
          <w:tcPr>
            <w:tcW w:w="8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(405)</w:t>
            </w:r>
          </w:p>
        </w:tc>
        <w:tc>
          <w:tcPr>
            <w:tcW w:w="1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91"/>
              </w:rPr>
              <w:t>5.8</w:t>
            </w:r>
          </w:p>
        </w:tc>
      </w:tr>
      <w:tr>
        <w:trPr>
          <w:trHeight w:val="158"/>
        </w:trPr>
        <w:tc>
          <w:tcPr>
            <w:tcW w:w="5980" w:type="dxa"/>
            <w:vAlign w:val="bottom"/>
            <w:gridSpan w:val="2"/>
          </w:tcPr>
          <w:p>
            <w:pPr>
              <w:ind w:left="20"/>
              <w:spacing w:after="0"/>
              <w:rPr>
                <w:sz w:val="20"/>
                <w:szCs w:val="20"/>
                <w:color w:val="auto"/>
              </w:rPr>
            </w:pPr>
            <w:r>
              <w:rPr>
                <w:rFonts w:ascii="Arial" w:cs="Arial" w:eastAsia="Arial" w:hAnsi="Arial"/>
                <w:sz w:val="11"/>
                <w:szCs w:val="11"/>
                <w:color w:val="auto"/>
              </w:rPr>
              <w:t>&gt; 7 to ≤ 10 years</w:t>
            </w:r>
          </w:p>
        </w:tc>
        <w:tc>
          <w:tcPr>
            <w:tcW w:w="180" w:type="dxa"/>
            <w:vAlign w:val="bottom"/>
          </w:tcPr>
          <w:p>
            <w:pPr>
              <w:spacing w:after="0"/>
              <w:rPr>
                <w:sz w:val="13"/>
                <w:szCs w:val="13"/>
                <w:color w:val="auto"/>
              </w:rPr>
            </w:pPr>
          </w:p>
        </w:tc>
        <w:tc>
          <w:tcPr>
            <w:tcW w:w="840" w:type="dxa"/>
            <w:vAlign w:val="bottom"/>
          </w:tcPr>
          <w:p>
            <w:pPr>
              <w:jc w:val="right"/>
              <w:ind w:right="67"/>
              <w:spacing w:after="0"/>
              <w:rPr>
                <w:sz w:val="20"/>
                <w:szCs w:val="20"/>
                <w:color w:val="auto"/>
              </w:rPr>
            </w:pPr>
            <w:r>
              <w:rPr>
                <w:rFonts w:ascii="Arial" w:cs="Arial" w:eastAsia="Arial" w:hAnsi="Arial"/>
                <w:sz w:val="11"/>
                <w:szCs w:val="11"/>
                <w:color w:val="auto"/>
              </w:rPr>
              <w:t>1,825</w:t>
            </w:r>
          </w:p>
        </w:tc>
        <w:tc>
          <w:tcPr>
            <w:tcW w:w="12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1"/>
                <w:szCs w:val="11"/>
                <w:color w:val="auto"/>
                <w:w w:val="89"/>
              </w:rPr>
              <w:t>2.46%</w:t>
            </w:r>
          </w:p>
        </w:tc>
        <w:tc>
          <w:tcPr>
            <w:tcW w:w="120" w:type="dxa"/>
            <w:vAlign w:val="bottom"/>
          </w:tcPr>
          <w:p>
            <w:pPr>
              <w:spacing w:after="0"/>
              <w:rPr>
                <w:sz w:val="13"/>
                <w:szCs w:val="13"/>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89"/>
              </w:rPr>
              <w:t>0.83%</w:t>
            </w: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20" w:type="dxa"/>
            <w:vAlign w:val="bottom"/>
          </w:tcPr>
          <w:p>
            <w:pPr>
              <w:jc w:val="right"/>
              <w:ind w:right="28"/>
              <w:spacing w:after="0"/>
              <w:rPr>
                <w:sz w:val="20"/>
                <w:szCs w:val="20"/>
                <w:color w:val="auto"/>
              </w:rPr>
            </w:pPr>
            <w:r>
              <w:rPr>
                <w:rFonts w:ascii="Arial" w:cs="Arial" w:eastAsia="Arial" w:hAnsi="Arial"/>
                <w:sz w:val="11"/>
                <w:szCs w:val="11"/>
                <w:color w:val="auto"/>
              </w:rPr>
              <w:t>(158)</w:t>
            </w:r>
          </w:p>
        </w:tc>
        <w:tc>
          <w:tcPr>
            <w:tcW w:w="100" w:type="dxa"/>
            <w:vAlign w:val="bottom"/>
          </w:tcPr>
          <w:p>
            <w:pPr>
              <w:spacing w:after="0"/>
              <w:rPr>
                <w:sz w:val="13"/>
                <w:szCs w:val="13"/>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91"/>
              </w:rPr>
              <w:t>8.6</w:t>
            </w:r>
          </w:p>
        </w:tc>
      </w:tr>
      <w:tr>
        <w:trPr>
          <w:trHeight w:val="22"/>
        </w:trPr>
        <w:tc>
          <w:tcPr>
            <w:tcW w:w="58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r>
      <w:tr>
        <w:trPr>
          <w:trHeight w:val="180"/>
        </w:trPr>
        <w:tc>
          <w:tcPr>
            <w:tcW w:w="59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&gt; 10 years</w:t>
            </w:r>
          </w:p>
        </w:tc>
        <w:tc>
          <w:tcPr>
            <w:tcW w:w="180" w:type="dxa"/>
            <w:vAlign w:val="bottom"/>
            <w:tcBorders>
              <w:bottom w:val="single" w:sz="8" w:color="CCEEFF"/>
            </w:tcBorders>
            <w:shd w:val="clear" w:color="auto" w:fill="CCEEFF"/>
          </w:tcPr>
          <w:p>
            <w:pPr>
              <w:spacing w:after="0"/>
              <w:rPr>
                <w:sz w:val="15"/>
                <w:szCs w:val="15"/>
                <w:color w:val="auto"/>
              </w:rPr>
            </w:pPr>
          </w:p>
        </w:tc>
        <w:tc>
          <w:tcPr>
            <w:tcW w:w="84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1,175</w:t>
            </w:r>
          </w:p>
        </w:tc>
        <w:tc>
          <w:tcPr>
            <w:tcW w:w="120" w:type="dxa"/>
            <w:vAlign w:val="bottom"/>
            <w:tcBorders>
              <w:bottom w:val="single" w:sz="8" w:color="CCEEFF"/>
            </w:tcBorders>
            <w:shd w:val="clear" w:color="auto" w:fill="CCEEFF"/>
          </w:tcPr>
          <w:p>
            <w:pPr>
              <w:spacing w:after="0"/>
              <w:rPr>
                <w:sz w:val="15"/>
                <w:szCs w:val="15"/>
                <w:color w:val="auto"/>
              </w:rPr>
            </w:pPr>
          </w:p>
        </w:tc>
        <w:tc>
          <w:tcPr>
            <w:tcW w:w="9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3.20%</w:t>
            </w:r>
          </w:p>
        </w:tc>
        <w:tc>
          <w:tcPr>
            <w:tcW w:w="120" w:type="dxa"/>
            <w:vAlign w:val="bottom"/>
            <w:tcBorders>
              <w:bottom w:val="single" w:sz="8" w:color="CCEEFF"/>
            </w:tcBorders>
            <w:shd w:val="clear" w:color="auto" w:fill="CCEEFF"/>
          </w:tcPr>
          <w:p>
            <w:pPr>
              <w:spacing w:after="0"/>
              <w:rPr>
                <w:sz w:val="15"/>
                <w:szCs w:val="15"/>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0.80%</w:t>
            </w:r>
          </w:p>
        </w:tc>
        <w:tc>
          <w:tcPr>
            <w:tcW w:w="120" w:type="dxa"/>
            <w:vAlign w:val="bottom"/>
            <w:tcBorders>
              <w:bottom w:val="single" w:sz="8" w:color="CCEEFF"/>
            </w:tcBorders>
            <w:shd w:val="clear" w:color="auto" w:fill="CCEEFF"/>
          </w:tcPr>
          <w:p>
            <w:pPr>
              <w:spacing w:after="0"/>
              <w:rPr>
                <w:sz w:val="15"/>
                <w:szCs w:val="15"/>
                <w:color w:val="auto"/>
              </w:rPr>
            </w:pPr>
          </w:p>
        </w:tc>
        <w:tc>
          <w:tcPr>
            <w:tcW w:w="180" w:type="dxa"/>
            <w:vAlign w:val="bottom"/>
            <w:tcBorders>
              <w:bottom w:val="single" w:sz="8" w:color="CCEEFF"/>
            </w:tcBorders>
            <w:shd w:val="clear" w:color="auto" w:fill="CCEEFF"/>
          </w:tcPr>
          <w:p>
            <w:pPr>
              <w:spacing w:after="0"/>
              <w:rPr>
                <w:sz w:val="15"/>
                <w:szCs w:val="15"/>
                <w:color w:val="auto"/>
              </w:rPr>
            </w:pPr>
          </w:p>
        </w:tc>
        <w:tc>
          <w:tcPr>
            <w:tcW w:w="8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(221)</w:t>
            </w:r>
          </w:p>
        </w:tc>
        <w:tc>
          <w:tcPr>
            <w:tcW w:w="100" w:type="dxa"/>
            <w:vAlign w:val="bottom"/>
            <w:tcBorders>
              <w:bottom w:val="single" w:sz="8" w:color="CCEEFF"/>
            </w:tcBorders>
            <w:shd w:val="clear" w:color="auto" w:fill="CCEEFF"/>
          </w:tcPr>
          <w:p>
            <w:pPr>
              <w:spacing w:after="0"/>
              <w:rPr>
                <w:sz w:val="15"/>
                <w:szCs w:val="15"/>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93"/>
              </w:rPr>
              <w:t>14.0</w:t>
            </w:r>
          </w:p>
        </w:tc>
      </w:tr>
      <w:tr>
        <w:trPr>
          <w:trHeight w:val="167"/>
        </w:trPr>
        <w:tc>
          <w:tcPr>
            <w:tcW w:w="5980" w:type="dxa"/>
            <w:vAlign w:val="bottom"/>
            <w:gridSpan w:val="2"/>
          </w:tcPr>
          <w:p>
            <w:pPr>
              <w:ind w:left="20"/>
              <w:spacing w:after="0"/>
              <w:rPr>
                <w:sz w:val="20"/>
                <w:szCs w:val="20"/>
                <w:color w:val="auto"/>
              </w:rPr>
            </w:pPr>
            <w:r>
              <w:rPr>
                <w:rFonts w:ascii="Arial" w:cs="Arial" w:eastAsia="Arial" w:hAnsi="Arial"/>
                <w:sz w:val="11"/>
                <w:szCs w:val="11"/>
                <w:color w:val="auto"/>
              </w:rPr>
              <w:t>Total payer interest rate swaps</w:t>
            </w:r>
          </w:p>
        </w:tc>
        <w:tc>
          <w:tcPr>
            <w:tcW w:w="180" w:type="dxa"/>
            <w:vAlign w:val="bottom"/>
            <w:tcBorders>
              <w:top w:val="single" w:sz="8" w:color="auto"/>
              <w:bottom w:val="single" w:sz="8" w:color="auto"/>
            </w:tcBorders>
          </w:tcPr>
          <w:p>
            <w:pPr>
              <w:jc w:val="right"/>
              <w:ind w:right="71"/>
              <w:spacing w:after="0"/>
              <w:rPr>
                <w:sz w:val="20"/>
                <w:szCs w:val="20"/>
                <w:color w:val="auto"/>
              </w:rPr>
            </w:pPr>
            <w:r>
              <w:rPr>
                <w:rFonts w:ascii="Arial" w:cs="Arial" w:eastAsia="Arial" w:hAnsi="Arial"/>
                <w:sz w:val="10"/>
                <w:szCs w:val="10"/>
                <w:color w:val="auto"/>
                <w:w w:val="71"/>
              </w:rPr>
              <w:t>$</w:t>
            </w:r>
          </w:p>
        </w:tc>
        <w:tc>
          <w:tcPr>
            <w:tcW w:w="840" w:type="dxa"/>
            <w:vAlign w:val="bottom"/>
            <w:tcBorders>
              <w:top w:val="single" w:sz="8" w:color="auto"/>
              <w:bottom w:val="single" w:sz="8" w:color="auto"/>
            </w:tcBorders>
          </w:tcPr>
          <w:p>
            <w:pPr>
              <w:jc w:val="right"/>
              <w:ind w:right="67"/>
              <w:spacing w:after="0"/>
              <w:rPr>
                <w:sz w:val="20"/>
                <w:szCs w:val="20"/>
                <w:color w:val="auto"/>
              </w:rPr>
            </w:pPr>
            <w:r>
              <w:rPr>
                <w:rFonts w:ascii="Arial" w:cs="Arial" w:eastAsia="Arial" w:hAnsi="Arial"/>
                <w:sz w:val="11"/>
                <w:szCs w:val="11"/>
                <w:color w:val="auto"/>
              </w:rPr>
              <w:t>34,150</w:t>
            </w:r>
          </w:p>
        </w:tc>
        <w:tc>
          <w:tcPr>
            <w:tcW w:w="120" w:type="dxa"/>
            <w:vAlign w:val="bottom"/>
          </w:tcPr>
          <w:p>
            <w:pPr>
              <w:spacing w:after="0"/>
              <w:rPr>
                <w:sz w:val="14"/>
                <w:szCs w:val="14"/>
                <w:color w:val="auto"/>
              </w:rPr>
            </w:pPr>
          </w:p>
        </w:tc>
        <w:tc>
          <w:tcPr>
            <w:tcW w:w="9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1"/>
                <w:szCs w:val="11"/>
                <w:color w:val="auto"/>
                <w:w w:val="89"/>
              </w:rPr>
              <w:t>1.52%</w:t>
            </w:r>
          </w:p>
        </w:tc>
        <w:tc>
          <w:tcPr>
            <w:tcW w:w="120" w:type="dxa"/>
            <w:vAlign w:val="bottom"/>
          </w:tcPr>
          <w:p>
            <w:pPr>
              <w:spacing w:after="0"/>
              <w:rPr>
                <w:sz w:val="14"/>
                <w:szCs w:val="14"/>
                <w:color w:val="auto"/>
              </w:rPr>
            </w:pPr>
          </w:p>
        </w:tc>
        <w:tc>
          <w:tcPr>
            <w:tcW w:w="104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1"/>
                <w:szCs w:val="11"/>
                <w:color w:val="auto"/>
                <w:w w:val="89"/>
              </w:rPr>
              <w:t>0.78%</w:t>
            </w:r>
          </w:p>
        </w:tc>
        <w:tc>
          <w:tcPr>
            <w:tcW w:w="120" w:type="dxa"/>
            <w:vAlign w:val="bottom"/>
          </w:tcPr>
          <w:p>
            <w:pPr>
              <w:spacing w:after="0"/>
              <w:rPr>
                <w:sz w:val="14"/>
                <w:szCs w:val="14"/>
                <w:color w:val="auto"/>
              </w:rPr>
            </w:pPr>
          </w:p>
        </w:tc>
        <w:tc>
          <w:tcPr>
            <w:tcW w:w="180" w:type="dxa"/>
            <w:vAlign w:val="bottom"/>
            <w:tcBorders>
              <w:top w:val="single" w:sz="8" w:color="auto"/>
              <w:bottom w:val="single" w:sz="8" w:color="auto"/>
            </w:tcBorders>
          </w:tcPr>
          <w:p>
            <w:pPr>
              <w:jc w:val="right"/>
              <w:ind w:right="71"/>
              <w:spacing w:after="0"/>
              <w:rPr>
                <w:sz w:val="20"/>
                <w:szCs w:val="20"/>
                <w:color w:val="auto"/>
              </w:rPr>
            </w:pPr>
            <w:r>
              <w:rPr>
                <w:rFonts w:ascii="Arial" w:cs="Arial" w:eastAsia="Arial" w:hAnsi="Arial"/>
                <w:sz w:val="10"/>
                <w:szCs w:val="10"/>
                <w:color w:val="auto"/>
                <w:w w:val="71"/>
              </w:rPr>
              <w:t>$</w:t>
            </w:r>
          </w:p>
        </w:tc>
        <w:tc>
          <w:tcPr>
            <w:tcW w:w="820" w:type="dxa"/>
            <w:vAlign w:val="bottom"/>
            <w:tcBorders>
              <w:top w:val="single" w:sz="8" w:color="auto"/>
              <w:bottom w:val="single" w:sz="8" w:color="auto"/>
            </w:tcBorders>
          </w:tcPr>
          <w:p>
            <w:pPr>
              <w:jc w:val="right"/>
              <w:ind w:right="28"/>
              <w:spacing w:after="0"/>
              <w:rPr>
                <w:sz w:val="20"/>
                <w:szCs w:val="20"/>
                <w:color w:val="auto"/>
              </w:rPr>
            </w:pPr>
            <w:r>
              <w:rPr>
                <w:rFonts w:ascii="Arial" w:cs="Arial" w:eastAsia="Arial" w:hAnsi="Arial"/>
                <w:sz w:val="11"/>
                <w:szCs w:val="11"/>
                <w:color w:val="auto"/>
              </w:rPr>
              <w:t>(937)</w:t>
            </w:r>
          </w:p>
        </w:tc>
        <w:tc>
          <w:tcPr>
            <w:tcW w:w="100" w:type="dxa"/>
            <w:vAlign w:val="bottom"/>
          </w:tcPr>
          <w:p>
            <w:pPr>
              <w:spacing w:after="0"/>
              <w:rPr>
                <w:sz w:val="14"/>
                <w:szCs w:val="14"/>
                <w:color w:val="auto"/>
              </w:rPr>
            </w:pPr>
          </w:p>
        </w:tc>
        <w:tc>
          <w:tcPr>
            <w:tcW w:w="104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1"/>
                <w:szCs w:val="11"/>
                <w:color w:val="auto"/>
                <w:w w:val="91"/>
              </w:rPr>
              <w:t>3.5</w:t>
            </w:r>
          </w:p>
        </w:tc>
      </w:tr>
    </w:tbl>
    <w:p>
      <w:pPr>
        <w:spacing w:after="0" w:line="15" w:lineRule="exact"/>
        <w:rPr>
          <w:sz w:val="20"/>
          <w:szCs w:val="20"/>
          <w:color w:val="auto"/>
        </w:rPr>
      </w:pPr>
    </w:p>
    <w:p>
      <w:pPr>
        <w:ind w:left="80"/>
        <w:spacing w:after="0"/>
        <w:rPr>
          <w:sz w:val="20"/>
          <w:szCs w:val="20"/>
          <w:color w:val="auto"/>
        </w:rPr>
      </w:pPr>
      <w:r>
        <w:rPr>
          <w:rFonts w:ascii="Arial" w:cs="Arial" w:eastAsia="Arial" w:hAnsi="Arial"/>
          <w:sz w:val="10"/>
          <w:szCs w:val="10"/>
          <w:color w:val="auto"/>
        </w:rPr>
        <w:t>________________________</w:t>
      </w:r>
    </w:p>
    <w:p>
      <w:pPr>
        <w:spacing w:after="0" w:line="11" w:lineRule="exact"/>
        <w:rPr>
          <w:sz w:val="20"/>
          <w:szCs w:val="20"/>
          <w:color w:val="auto"/>
        </w:rPr>
      </w:pPr>
    </w:p>
    <w:p>
      <w:pPr>
        <w:ind w:left="420" w:hanging="212"/>
        <w:spacing w:after="0"/>
        <w:tabs>
          <w:tab w:leader="none" w:pos="420" w:val="left"/>
        </w:tabs>
        <w:numPr>
          <w:ilvl w:val="0"/>
          <w:numId w:val="5"/>
        </w:numPr>
        <w:rPr>
          <w:rFonts w:ascii="Arial" w:cs="Arial" w:eastAsia="Arial" w:hAnsi="Arial"/>
          <w:sz w:val="10"/>
          <w:szCs w:val="10"/>
          <w:color w:val="auto"/>
        </w:rPr>
      </w:pPr>
      <w:r>
        <w:rPr>
          <w:rFonts w:ascii="Arial" w:cs="Arial" w:eastAsia="Arial" w:hAnsi="Arial"/>
          <w:sz w:val="10"/>
          <w:szCs w:val="10"/>
          <w:color w:val="auto"/>
        </w:rPr>
        <w:t>Notional amount includes forward starting swaps of $2.2 billion with an average forward start date of 0.5 years and an average maturity of 6.8 years from September 30, 2016.</w:t>
      </w:r>
    </w:p>
    <w:p>
      <w:pPr>
        <w:spacing w:after="0" w:line="1" w:lineRule="exact"/>
        <w:rPr>
          <w:rFonts w:ascii="Arial" w:cs="Arial" w:eastAsia="Arial" w:hAnsi="Arial"/>
          <w:sz w:val="10"/>
          <w:szCs w:val="10"/>
          <w:color w:val="auto"/>
        </w:rPr>
      </w:pPr>
    </w:p>
    <w:p>
      <w:pPr>
        <w:ind w:left="420" w:hanging="212"/>
        <w:spacing w:after="0" w:line="225" w:lineRule="auto"/>
        <w:tabs>
          <w:tab w:leader="none" w:pos="420" w:val="left"/>
        </w:tabs>
        <w:numPr>
          <w:ilvl w:val="0"/>
          <w:numId w:val="5"/>
        </w:numPr>
        <w:rPr>
          <w:rFonts w:ascii="Arial" w:cs="Arial" w:eastAsia="Arial" w:hAnsi="Arial"/>
          <w:sz w:val="10"/>
          <w:szCs w:val="10"/>
          <w:color w:val="auto"/>
        </w:rPr>
      </w:pPr>
      <w:r>
        <w:rPr>
          <w:rFonts w:ascii="Arial" w:cs="Arial" w:eastAsia="Arial" w:hAnsi="Arial"/>
          <w:sz w:val="10"/>
          <w:szCs w:val="10"/>
          <w:color w:val="auto"/>
        </w:rPr>
        <w:t>Average fixed pay rate includes forward starting swaps. Excluding forward starting swaps, the average fixed pay rate was 1.40% as of September 30, 2016.</w:t>
      </w:r>
    </w:p>
    <w:p>
      <w:pPr>
        <w:ind w:left="420" w:hanging="212"/>
        <w:spacing w:after="0" w:line="236" w:lineRule="auto"/>
        <w:tabs>
          <w:tab w:leader="none" w:pos="420" w:val="left"/>
        </w:tabs>
        <w:numPr>
          <w:ilvl w:val="0"/>
          <w:numId w:val="5"/>
        </w:numPr>
        <w:rPr>
          <w:rFonts w:ascii="Arial" w:cs="Arial" w:eastAsia="Arial" w:hAnsi="Arial"/>
          <w:sz w:val="10"/>
          <w:szCs w:val="10"/>
          <w:color w:val="auto"/>
        </w:rPr>
      </w:pPr>
      <w:r>
        <w:rPr>
          <w:rFonts w:ascii="Arial" w:cs="Arial" w:eastAsia="Arial" w:hAnsi="Arial"/>
          <w:sz w:val="10"/>
          <w:szCs w:val="10"/>
          <w:color w:val="auto"/>
        </w:rPr>
        <w:t>Average receive rate excludes forward starting swaps.</w:t>
      </w:r>
    </w:p>
    <w:p>
      <w:pPr>
        <w:spacing w:after="0" w:line="36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16</w:t>
      </w:r>
    </w:p>
    <w:p>
      <w:pPr>
        <w:sectPr>
          <w:pgSz w:w="11900" w:h="16838" w:orient="portrait"/>
          <w:cols w:equalWidth="0" w:num="1">
            <w:col w:w="11480"/>
          </w:cols>
          <w:pgMar w:left="220" w:top="437" w:right="199" w:bottom="1440" w:gutter="0" w:footer="0" w:header="0"/>
        </w:sectPr>
      </w:pPr>
    </w:p>
    <w:bookmarkStart w:id="17" w:name="page18"/>
    <w:bookmarkEnd w:id="17"/>
    <w:tbl>
      <w:tblPr>
        <w:tblLayout w:type="fixed"/>
        <w:tblInd w:w="20" w:type="dxa"/>
        <w:tblCellMar>
          <w:top w:w="0" w:type="dxa"/>
          <w:left w:w="0" w:type="dxa"/>
          <w:bottom w:w="0" w:type="dxa"/>
          <w:right w:w="0" w:type="dxa"/>
        </w:tblCellMar>
      </w:tblPr>
      <w:tr>
        <w:trPr>
          <w:trHeight w:val="128"/>
        </w:trPr>
        <w:tc>
          <w:tcPr>
            <w:tcW w:w="5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gridSpan w:val="2"/>
          </w:tcPr>
          <w:p>
            <w:pPr>
              <w:ind w:left="60"/>
              <w:spacing w:after="0"/>
              <w:rPr>
                <w:sz w:val="20"/>
                <w:szCs w:val="20"/>
                <w:color w:val="auto"/>
              </w:rPr>
            </w:pPr>
            <w:r>
              <w:rPr>
                <w:rFonts w:ascii="Arial" w:cs="Arial" w:eastAsia="Arial" w:hAnsi="Arial"/>
                <w:sz w:val="10"/>
                <w:szCs w:val="10"/>
                <w:b w:val="1"/>
                <w:bCs w:val="1"/>
                <w:color w:val="auto"/>
              </w:rPr>
              <w:t>December 31, 2015</w:t>
            </w: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r>
      <w:tr>
        <w:trPr>
          <w:trHeight w:val="96"/>
        </w:trPr>
        <w:tc>
          <w:tcPr>
            <w:tcW w:w="58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8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80"/>
              </w:rPr>
              <w:t>Average</w:t>
            </w:r>
          </w:p>
        </w:tc>
        <w:tc>
          <w:tcPr>
            <w:tcW w:w="1140" w:type="dxa"/>
            <w:vAlign w:val="bottom"/>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86"/>
              </w:rPr>
              <w:t>Average</w:t>
            </w:r>
          </w:p>
        </w:tc>
        <w:tc>
          <w:tcPr>
            <w:tcW w:w="180" w:type="dxa"/>
            <w:vAlign w:val="bottom"/>
          </w:tcPr>
          <w:p>
            <w:pPr>
              <w:spacing w:after="0"/>
              <w:rPr>
                <w:sz w:val="8"/>
                <w:szCs w:val="8"/>
                <w:color w:val="auto"/>
              </w:rPr>
            </w:pPr>
          </w:p>
        </w:tc>
        <w:tc>
          <w:tcPr>
            <w:tcW w:w="940" w:type="dxa"/>
            <w:vAlign w:val="bottom"/>
            <w:gridSpan w:val="2"/>
          </w:tcPr>
          <w:p>
            <w:pPr>
              <w:jc w:val="center"/>
              <w:ind w:right="280"/>
              <w:spacing w:after="0" w:line="96" w:lineRule="exact"/>
              <w:rPr>
                <w:sz w:val="20"/>
                <w:szCs w:val="20"/>
                <w:color w:val="auto"/>
              </w:rPr>
            </w:pPr>
            <w:r>
              <w:rPr>
                <w:rFonts w:ascii="Arial" w:cs="Arial" w:eastAsia="Arial" w:hAnsi="Arial"/>
                <w:sz w:val="10"/>
                <w:szCs w:val="10"/>
                <w:b w:val="1"/>
                <w:bCs w:val="1"/>
                <w:color w:val="auto"/>
                <w:w w:val="86"/>
              </w:rPr>
              <w:t>Net</w:t>
            </w:r>
          </w:p>
        </w:tc>
        <w:tc>
          <w:tcPr>
            <w:tcW w:w="92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0"/>
              </w:rPr>
              <w:t>Average</w:t>
            </w:r>
          </w:p>
        </w:tc>
      </w:tr>
      <w:tr>
        <w:trPr>
          <w:trHeight w:val="99"/>
        </w:trPr>
        <w:tc>
          <w:tcPr>
            <w:tcW w:w="58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960" w:type="dxa"/>
            <w:vAlign w:val="bottom"/>
            <w:gridSpan w:val="2"/>
          </w:tcPr>
          <w:p>
            <w:pPr>
              <w:ind w:left="160"/>
              <w:spacing w:after="0" w:line="99" w:lineRule="exact"/>
              <w:rPr>
                <w:sz w:val="20"/>
                <w:szCs w:val="20"/>
                <w:color w:val="auto"/>
              </w:rPr>
            </w:pPr>
            <w:r>
              <w:rPr>
                <w:rFonts w:ascii="Arial" w:cs="Arial" w:eastAsia="Arial" w:hAnsi="Arial"/>
                <w:sz w:val="10"/>
                <w:szCs w:val="10"/>
                <w:b w:val="1"/>
                <w:bCs w:val="1"/>
                <w:color w:val="auto"/>
              </w:rPr>
              <w:t>Notional</w:t>
            </w:r>
          </w:p>
        </w:tc>
        <w:tc>
          <w:tcPr>
            <w:tcW w:w="116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91"/>
              </w:rPr>
              <w:t>Fixed</w:t>
            </w:r>
          </w:p>
        </w:tc>
        <w:tc>
          <w:tcPr>
            <w:tcW w:w="114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4"/>
              </w:rPr>
              <w:t>Receive</w:t>
            </w:r>
          </w:p>
        </w:tc>
        <w:tc>
          <w:tcPr>
            <w:tcW w:w="180" w:type="dxa"/>
            <w:vAlign w:val="bottom"/>
          </w:tcPr>
          <w:p>
            <w:pPr>
              <w:spacing w:after="0"/>
              <w:rPr>
                <w:sz w:val="8"/>
                <w:szCs w:val="8"/>
                <w:color w:val="auto"/>
              </w:rPr>
            </w:pPr>
          </w:p>
        </w:tc>
        <w:tc>
          <w:tcPr>
            <w:tcW w:w="940" w:type="dxa"/>
            <w:vAlign w:val="bottom"/>
            <w:gridSpan w:val="2"/>
          </w:tcPr>
          <w:p>
            <w:pPr>
              <w:jc w:val="center"/>
              <w:ind w:right="280"/>
              <w:spacing w:after="0" w:line="99" w:lineRule="exact"/>
              <w:rPr>
                <w:sz w:val="20"/>
                <w:szCs w:val="20"/>
                <w:color w:val="auto"/>
              </w:rPr>
            </w:pPr>
            <w:r>
              <w:rPr>
                <w:rFonts w:ascii="Arial" w:cs="Arial" w:eastAsia="Arial" w:hAnsi="Arial"/>
                <w:sz w:val="10"/>
                <w:szCs w:val="10"/>
                <w:b w:val="1"/>
                <w:bCs w:val="1"/>
                <w:color w:val="auto"/>
                <w:w w:val="87"/>
              </w:rPr>
              <w:t>Estimated</w:t>
            </w:r>
          </w:p>
        </w:tc>
        <w:tc>
          <w:tcPr>
            <w:tcW w:w="92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92"/>
              </w:rPr>
              <w:t>Maturity</w:t>
            </w:r>
          </w:p>
        </w:tc>
      </w:tr>
      <w:tr>
        <w:trPr>
          <w:trHeight w:val="128"/>
        </w:trPr>
        <w:tc>
          <w:tcPr>
            <w:tcW w:w="586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Payer Interest Rate Swaps</w:t>
            </w:r>
          </w:p>
        </w:tc>
        <w:tc>
          <w:tcPr>
            <w:tcW w:w="12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jc w:val="right"/>
              <w:ind w:right="267"/>
              <w:spacing w:after="0"/>
              <w:rPr>
                <w:sz w:val="20"/>
                <w:szCs w:val="20"/>
                <w:color w:val="auto"/>
              </w:rPr>
            </w:pPr>
            <w:r>
              <w:rPr>
                <w:rFonts w:ascii="Arial" w:cs="Arial" w:eastAsia="Arial" w:hAnsi="Arial"/>
                <w:sz w:val="10"/>
                <w:szCs w:val="10"/>
                <w:b w:val="1"/>
                <w:bCs w:val="1"/>
                <w:color w:val="auto"/>
              </w:rPr>
              <w:t xml:space="preserve">Amount </w:t>
            </w:r>
            <w:r>
              <w:rPr>
                <w:rFonts w:ascii="Arial" w:cs="Arial" w:eastAsia="Arial" w:hAnsi="Arial"/>
                <w:sz w:val="5"/>
                <w:szCs w:val="5"/>
                <w:b w:val="1"/>
                <w:bCs w:val="1"/>
                <w:color w:val="auto"/>
              </w:rPr>
              <w:t>1</w:t>
            </w:r>
          </w:p>
        </w:tc>
        <w:tc>
          <w:tcPr>
            <w:tcW w:w="12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1"/>
              </w:rPr>
              <w:t xml:space="preserve">Pay Rate </w:t>
            </w:r>
            <w:r>
              <w:rPr>
                <w:rFonts w:ascii="Arial" w:cs="Arial" w:eastAsia="Arial" w:hAnsi="Arial"/>
                <w:sz w:val="5"/>
                <w:szCs w:val="5"/>
                <w:b w:val="1"/>
                <w:bCs w:val="1"/>
                <w:color w:val="auto"/>
                <w:w w:val="91"/>
              </w:rPr>
              <w:t>2</w:t>
            </w:r>
          </w:p>
        </w:tc>
        <w:tc>
          <w:tcPr>
            <w:tcW w:w="12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7"/>
              </w:rPr>
              <w:t xml:space="preserve">Rate </w:t>
            </w:r>
            <w:r>
              <w:rPr>
                <w:rFonts w:ascii="Arial" w:cs="Arial" w:eastAsia="Arial" w:hAnsi="Arial"/>
                <w:sz w:val="5"/>
                <w:szCs w:val="5"/>
                <w:b w:val="1"/>
                <w:bCs w:val="1"/>
                <w:color w:val="auto"/>
                <w:w w:val="87"/>
              </w:rPr>
              <w:t>3</w:t>
            </w:r>
          </w:p>
        </w:tc>
        <w:tc>
          <w:tcPr>
            <w:tcW w:w="10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jc w:val="center"/>
              <w:ind w:right="128"/>
              <w:spacing w:after="0"/>
              <w:rPr>
                <w:sz w:val="20"/>
                <w:szCs w:val="20"/>
                <w:color w:val="auto"/>
              </w:rPr>
            </w:pPr>
            <w:r>
              <w:rPr>
                <w:rFonts w:ascii="Arial" w:cs="Arial" w:eastAsia="Arial" w:hAnsi="Arial"/>
                <w:sz w:val="10"/>
                <w:szCs w:val="10"/>
                <w:b w:val="1"/>
                <w:bCs w:val="1"/>
                <w:color w:val="auto"/>
                <w:w w:val="87"/>
              </w:rPr>
              <w:t>Fair Value</w:t>
            </w:r>
          </w:p>
        </w:tc>
        <w:tc>
          <w:tcPr>
            <w:tcW w:w="10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(Years)</w:t>
            </w:r>
          </w:p>
        </w:tc>
      </w:tr>
      <w:tr>
        <w:trPr>
          <w:trHeight w:val="144"/>
        </w:trPr>
        <w:tc>
          <w:tcPr>
            <w:tcW w:w="59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 3 years</w:t>
            </w:r>
          </w:p>
        </w:tc>
        <w:tc>
          <w:tcPr>
            <w:tcW w:w="180" w:type="dxa"/>
            <w:vAlign w:val="bottom"/>
            <w:tcBorders>
              <w:bottom w:val="single" w:sz="8" w:color="CCEEFF"/>
            </w:tcBorders>
            <w:shd w:val="clear" w:color="auto" w:fill="CCEEFF"/>
          </w:tcPr>
          <w:p>
            <w:pPr>
              <w:jc w:val="right"/>
              <w:ind w:right="71"/>
              <w:spacing w:after="0"/>
              <w:rPr>
                <w:sz w:val="20"/>
                <w:szCs w:val="20"/>
                <w:color w:val="auto"/>
              </w:rPr>
            </w:pPr>
            <w:r>
              <w:rPr>
                <w:rFonts w:ascii="Arial" w:cs="Arial" w:eastAsia="Arial" w:hAnsi="Arial"/>
                <w:sz w:val="10"/>
                <w:szCs w:val="10"/>
                <w:color w:val="auto"/>
                <w:w w:val="71"/>
              </w:rPr>
              <w:t>$</w:t>
            </w:r>
          </w:p>
        </w:tc>
        <w:tc>
          <w:tcPr>
            <w:tcW w:w="84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14,775</w:t>
            </w:r>
          </w:p>
        </w:tc>
        <w:tc>
          <w:tcPr>
            <w:tcW w:w="120" w:type="dxa"/>
            <w:vAlign w:val="bottom"/>
            <w:tcBorders>
              <w:bottom w:val="single" w:sz="8" w:color="CCEEFF"/>
            </w:tcBorders>
            <w:shd w:val="clear" w:color="auto" w:fill="CCEEFF"/>
          </w:tcPr>
          <w:p>
            <w:pPr>
              <w:spacing w:after="0"/>
              <w:rPr>
                <w:sz w:val="12"/>
                <w:szCs w:val="12"/>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1.06%</w:t>
            </w:r>
          </w:p>
        </w:tc>
        <w:tc>
          <w:tcPr>
            <w:tcW w:w="120" w:type="dxa"/>
            <w:vAlign w:val="bottom"/>
            <w:tcBorders>
              <w:bottom w:val="single" w:sz="8" w:color="CCEEFF"/>
            </w:tcBorders>
            <w:shd w:val="clear" w:color="auto" w:fill="CCEEFF"/>
          </w:tcPr>
          <w:p>
            <w:pPr>
              <w:spacing w:after="0"/>
              <w:rPr>
                <w:sz w:val="12"/>
                <w:szCs w:val="12"/>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0.40%</w:t>
            </w:r>
          </w:p>
        </w:tc>
        <w:tc>
          <w:tcPr>
            <w:tcW w:w="10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w w:val="97"/>
              </w:rPr>
              <w:t>$</w:t>
            </w:r>
          </w:p>
        </w:tc>
        <w:tc>
          <w:tcPr>
            <w:tcW w:w="8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(23)</w:t>
            </w:r>
          </w:p>
        </w:tc>
        <w:tc>
          <w:tcPr>
            <w:tcW w:w="100" w:type="dxa"/>
            <w:vAlign w:val="bottom"/>
            <w:tcBorders>
              <w:bottom w:val="single" w:sz="8" w:color="CCEEFF"/>
            </w:tcBorders>
            <w:shd w:val="clear" w:color="auto" w:fill="CCEEFF"/>
          </w:tcPr>
          <w:p>
            <w:pPr>
              <w:spacing w:after="0"/>
              <w:rPr>
                <w:sz w:val="12"/>
                <w:szCs w:val="12"/>
                <w:color w:val="auto"/>
              </w:rPr>
            </w:pPr>
          </w:p>
        </w:tc>
        <w:tc>
          <w:tcPr>
            <w:tcW w:w="9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78"/>
              </w:rPr>
              <w:t>1.6</w:t>
            </w:r>
          </w:p>
        </w:tc>
      </w:tr>
      <w:tr>
        <w:trPr>
          <w:trHeight w:val="158"/>
        </w:trPr>
        <w:tc>
          <w:tcPr>
            <w:tcW w:w="5980" w:type="dxa"/>
            <w:vAlign w:val="bottom"/>
            <w:gridSpan w:val="2"/>
          </w:tcPr>
          <w:p>
            <w:pPr>
              <w:ind w:left="20"/>
              <w:spacing w:after="0"/>
              <w:rPr>
                <w:sz w:val="20"/>
                <w:szCs w:val="20"/>
                <w:color w:val="auto"/>
              </w:rPr>
            </w:pPr>
            <w:r>
              <w:rPr>
                <w:rFonts w:ascii="Arial" w:cs="Arial" w:eastAsia="Arial" w:hAnsi="Arial"/>
                <w:sz w:val="11"/>
                <w:szCs w:val="11"/>
                <w:color w:val="auto"/>
              </w:rPr>
              <w:t>&gt; 3 to ≤ 5 years</w:t>
            </w:r>
          </w:p>
        </w:tc>
        <w:tc>
          <w:tcPr>
            <w:tcW w:w="180" w:type="dxa"/>
            <w:vAlign w:val="bottom"/>
          </w:tcPr>
          <w:p>
            <w:pPr>
              <w:spacing w:after="0"/>
              <w:rPr>
                <w:sz w:val="13"/>
                <w:szCs w:val="13"/>
                <w:color w:val="auto"/>
              </w:rPr>
            </w:pPr>
          </w:p>
        </w:tc>
        <w:tc>
          <w:tcPr>
            <w:tcW w:w="840" w:type="dxa"/>
            <w:vAlign w:val="bottom"/>
          </w:tcPr>
          <w:p>
            <w:pPr>
              <w:jc w:val="right"/>
              <w:ind w:right="67"/>
              <w:spacing w:after="0"/>
              <w:rPr>
                <w:sz w:val="20"/>
                <w:szCs w:val="20"/>
                <w:color w:val="auto"/>
              </w:rPr>
            </w:pPr>
            <w:r>
              <w:rPr>
                <w:rFonts w:ascii="Arial" w:cs="Arial" w:eastAsia="Arial" w:hAnsi="Arial"/>
                <w:sz w:val="11"/>
                <w:szCs w:val="11"/>
                <w:color w:val="auto"/>
              </w:rPr>
              <w:t>9,950</w:t>
            </w:r>
          </w:p>
        </w:tc>
        <w:tc>
          <w:tcPr>
            <w:tcW w:w="120" w:type="dxa"/>
            <w:vAlign w:val="bottom"/>
          </w:tcPr>
          <w:p>
            <w:pPr>
              <w:spacing w:after="0"/>
              <w:rPr>
                <w:sz w:val="13"/>
                <w:szCs w:val="13"/>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89"/>
              </w:rPr>
              <w:t>2.03%</w:t>
            </w:r>
          </w:p>
        </w:tc>
        <w:tc>
          <w:tcPr>
            <w:tcW w:w="120" w:type="dxa"/>
            <w:vAlign w:val="bottom"/>
          </w:tcPr>
          <w:p>
            <w:pPr>
              <w:spacing w:after="0"/>
              <w:rPr>
                <w:sz w:val="13"/>
                <w:szCs w:val="13"/>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89"/>
              </w:rPr>
              <w:t>0.40%</w:t>
            </w: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tcPr>
          <w:p>
            <w:pPr>
              <w:jc w:val="right"/>
              <w:ind w:right="28"/>
              <w:spacing w:after="0"/>
              <w:rPr>
                <w:sz w:val="20"/>
                <w:szCs w:val="20"/>
                <w:color w:val="auto"/>
              </w:rPr>
            </w:pPr>
            <w:r>
              <w:rPr>
                <w:rFonts w:ascii="Arial" w:cs="Arial" w:eastAsia="Arial" w:hAnsi="Arial"/>
                <w:sz w:val="11"/>
                <w:szCs w:val="11"/>
                <w:color w:val="auto"/>
              </w:rPr>
              <w:t>(203)</w:t>
            </w:r>
          </w:p>
        </w:tc>
        <w:tc>
          <w:tcPr>
            <w:tcW w:w="10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1"/>
                <w:szCs w:val="11"/>
                <w:color w:val="auto"/>
                <w:w w:val="78"/>
              </w:rPr>
              <w:t>4.0</w:t>
            </w:r>
          </w:p>
        </w:tc>
      </w:tr>
      <w:tr>
        <w:trPr>
          <w:trHeight w:val="22"/>
        </w:trPr>
        <w:tc>
          <w:tcPr>
            <w:tcW w:w="58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r>
      <w:tr>
        <w:trPr>
          <w:trHeight w:val="160"/>
        </w:trPr>
        <w:tc>
          <w:tcPr>
            <w:tcW w:w="59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&gt; 5 to ≤ 7 years</w:t>
            </w:r>
          </w:p>
        </w:tc>
        <w:tc>
          <w:tcPr>
            <w:tcW w:w="180" w:type="dxa"/>
            <w:vAlign w:val="bottom"/>
            <w:tcBorders>
              <w:bottom w:val="single" w:sz="8" w:color="CCEEFF"/>
            </w:tcBorders>
            <w:shd w:val="clear" w:color="auto" w:fill="CCEEFF"/>
          </w:tcPr>
          <w:p>
            <w:pPr>
              <w:spacing w:after="0"/>
              <w:rPr>
                <w:sz w:val="13"/>
                <w:szCs w:val="13"/>
                <w:color w:val="auto"/>
              </w:rPr>
            </w:pPr>
          </w:p>
        </w:tc>
        <w:tc>
          <w:tcPr>
            <w:tcW w:w="84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7,175</w:t>
            </w:r>
          </w:p>
        </w:tc>
        <w:tc>
          <w:tcPr>
            <w:tcW w:w="12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2.47%</w:t>
            </w:r>
          </w:p>
        </w:tc>
        <w:tc>
          <w:tcPr>
            <w:tcW w:w="12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0.44%</w:t>
            </w:r>
          </w:p>
        </w:tc>
        <w:tc>
          <w:tcPr>
            <w:tcW w:w="100" w:type="dxa"/>
            <w:vAlign w:val="bottom"/>
            <w:tcBorders>
              <w:bottom w:val="single" w:sz="8" w:color="CCEEFF"/>
            </w:tcBorders>
            <w:shd w:val="clear" w:color="auto" w:fill="CCEEFF"/>
          </w:tcPr>
          <w:p>
            <w:pPr>
              <w:spacing w:after="0"/>
              <w:rPr>
                <w:sz w:val="13"/>
                <w:szCs w:val="13"/>
                <w:color w:val="auto"/>
              </w:rPr>
            </w:pPr>
          </w:p>
        </w:tc>
        <w:tc>
          <w:tcPr>
            <w:tcW w:w="180" w:type="dxa"/>
            <w:vAlign w:val="bottom"/>
            <w:tcBorders>
              <w:bottom w:val="single" w:sz="8" w:color="CCEEFF"/>
            </w:tcBorders>
            <w:shd w:val="clear" w:color="auto" w:fill="CCEEFF"/>
          </w:tcPr>
          <w:p>
            <w:pPr>
              <w:spacing w:after="0"/>
              <w:rPr>
                <w:sz w:val="13"/>
                <w:szCs w:val="13"/>
                <w:color w:val="auto"/>
              </w:rPr>
            </w:pPr>
          </w:p>
        </w:tc>
        <w:tc>
          <w:tcPr>
            <w:tcW w:w="8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(230)</w:t>
            </w:r>
          </w:p>
        </w:tc>
        <w:tc>
          <w:tcPr>
            <w:tcW w:w="100" w:type="dxa"/>
            <w:vAlign w:val="bottom"/>
            <w:tcBorders>
              <w:bottom w:val="single" w:sz="8" w:color="CCEEFF"/>
            </w:tcBorders>
            <w:shd w:val="clear" w:color="auto" w:fill="CCEEFF"/>
          </w:tcPr>
          <w:p>
            <w:pPr>
              <w:spacing w:after="0"/>
              <w:rPr>
                <w:sz w:val="13"/>
                <w:szCs w:val="13"/>
                <w:color w:val="auto"/>
              </w:rPr>
            </w:pPr>
          </w:p>
        </w:tc>
        <w:tc>
          <w:tcPr>
            <w:tcW w:w="9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78"/>
              </w:rPr>
              <w:t>6.1</w:t>
            </w:r>
          </w:p>
        </w:tc>
      </w:tr>
      <w:tr>
        <w:trPr>
          <w:trHeight w:val="158"/>
        </w:trPr>
        <w:tc>
          <w:tcPr>
            <w:tcW w:w="5980" w:type="dxa"/>
            <w:vAlign w:val="bottom"/>
            <w:gridSpan w:val="2"/>
          </w:tcPr>
          <w:p>
            <w:pPr>
              <w:ind w:left="20"/>
              <w:spacing w:after="0"/>
              <w:rPr>
                <w:sz w:val="20"/>
                <w:szCs w:val="20"/>
                <w:color w:val="auto"/>
              </w:rPr>
            </w:pPr>
            <w:r>
              <w:rPr>
                <w:rFonts w:ascii="Arial" w:cs="Arial" w:eastAsia="Arial" w:hAnsi="Arial"/>
                <w:sz w:val="11"/>
                <w:szCs w:val="11"/>
                <w:color w:val="auto"/>
              </w:rPr>
              <w:t>&gt; 7 to ≤ 10 years</w:t>
            </w:r>
          </w:p>
        </w:tc>
        <w:tc>
          <w:tcPr>
            <w:tcW w:w="180" w:type="dxa"/>
            <w:vAlign w:val="bottom"/>
          </w:tcPr>
          <w:p>
            <w:pPr>
              <w:spacing w:after="0"/>
              <w:rPr>
                <w:sz w:val="13"/>
                <w:szCs w:val="13"/>
                <w:color w:val="auto"/>
              </w:rPr>
            </w:pPr>
          </w:p>
        </w:tc>
        <w:tc>
          <w:tcPr>
            <w:tcW w:w="840" w:type="dxa"/>
            <w:vAlign w:val="bottom"/>
          </w:tcPr>
          <w:p>
            <w:pPr>
              <w:jc w:val="right"/>
              <w:ind w:right="67"/>
              <w:spacing w:after="0"/>
              <w:rPr>
                <w:sz w:val="20"/>
                <w:szCs w:val="20"/>
                <w:color w:val="auto"/>
              </w:rPr>
            </w:pPr>
            <w:r>
              <w:rPr>
                <w:rFonts w:ascii="Arial" w:cs="Arial" w:eastAsia="Arial" w:hAnsi="Arial"/>
                <w:sz w:val="11"/>
                <w:szCs w:val="11"/>
                <w:color w:val="auto"/>
              </w:rPr>
              <w:t>7,450</w:t>
            </w:r>
          </w:p>
        </w:tc>
        <w:tc>
          <w:tcPr>
            <w:tcW w:w="120" w:type="dxa"/>
            <w:vAlign w:val="bottom"/>
          </w:tcPr>
          <w:p>
            <w:pPr>
              <w:spacing w:after="0"/>
              <w:rPr>
                <w:sz w:val="13"/>
                <w:szCs w:val="13"/>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89"/>
              </w:rPr>
              <w:t>2.57%</w:t>
            </w:r>
          </w:p>
        </w:tc>
        <w:tc>
          <w:tcPr>
            <w:tcW w:w="120" w:type="dxa"/>
            <w:vAlign w:val="bottom"/>
          </w:tcPr>
          <w:p>
            <w:pPr>
              <w:spacing w:after="0"/>
              <w:rPr>
                <w:sz w:val="13"/>
                <w:szCs w:val="13"/>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89"/>
              </w:rPr>
              <w:t>0.39%</w:t>
            </w: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tcPr>
          <w:p>
            <w:pPr>
              <w:jc w:val="right"/>
              <w:ind w:right="28"/>
              <w:spacing w:after="0"/>
              <w:rPr>
                <w:sz w:val="20"/>
                <w:szCs w:val="20"/>
                <w:color w:val="auto"/>
              </w:rPr>
            </w:pPr>
            <w:r>
              <w:rPr>
                <w:rFonts w:ascii="Arial" w:cs="Arial" w:eastAsia="Arial" w:hAnsi="Arial"/>
                <w:sz w:val="11"/>
                <w:szCs w:val="11"/>
                <w:color w:val="auto"/>
              </w:rPr>
              <w:t>(342)</w:t>
            </w:r>
          </w:p>
        </w:tc>
        <w:tc>
          <w:tcPr>
            <w:tcW w:w="10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1"/>
                <w:szCs w:val="11"/>
                <w:color w:val="auto"/>
                <w:w w:val="78"/>
              </w:rPr>
              <w:t>8.3</w:t>
            </w:r>
          </w:p>
        </w:tc>
      </w:tr>
      <w:tr>
        <w:trPr>
          <w:trHeight w:val="22"/>
        </w:trPr>
        <w:tc>
          <w:tcPr>
            <w:tcW w:w="58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r>
      <w:tr>
        <w:trPr>
          <w:trHeight w:val="180"/>
        </w:trPr>
        <w:tc>
          <w:tcPr>
            <w:tcW w:w="59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&gt; 10 years</w:t>
            </w:r>
          </w:p>
        </w:tc>
        <w:tc>
          <w:tcPr>
            <w:tcW w:w="180" w:type="dxa"/>
            <w:vAlign w:val="bottom"/>
            <w:tcBorders>
              <w:bottom w:val="single" w:sz="8" w:color="CCEEFF"/>
            </w:tcBorders>
            <w:shd w:val="clear" w:color="auto" w:fill="CCEEFF"/>
          </w:tcPr>
          <w:p>
            <w:pPr>
              <w:spacing w:after="0"/>
              <w:rPr>
                <w:sz w:val="15"/>
                <w:szCs w:val="15"/>
                <w:color w:val="auto"/>
              </w:rPr>
            </w:pPr>
          </w:p>
        </w:tc>
        <w:tc>
          <w:tcPr>
            <w:tcW w:w="84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1,175</w:t>
            </w:r>
          </w:p>
        </w:tc>
        <w:tc>
          <w:tcPr>
            <w:tcW w:w="120" w:type="dxa"/>
            <w:vAlign w:val="bottom"/>
            <w:tcBorders>
              <w:bottom w:val="single" w:sz="8" w:color="CCEEFF"/>
            </w:tcBorders>
            <w:shd w:val="clear" w:color="auto" w:fill="CCEEFF"/>
          </w:tcPr>
          <w:p>
            <w:pPr>
              <w:spacing w:after="0"/>
              <w:rPr>
                <w:sz w:val="15"/>
                <w:szCs w:val="15"/>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3.20%</w:t>
            </w:r>
          </w:p>
        </w:tc>
        <w:tc>
          <w:tcPr>
            <w:tcW w:w="120" w:type="dxa"/>
            <w:vAlign w:val="bottom"/>
            <w:tcBorders>
              <w:bottom w:val="single" w:sz="8" w:color="CCEEFF"/>
            </w:tcBorders>
            <w:shd w:val="clear" w:color="auto" w:fill="CCEEFF"/>
          </w:tcPr>
          <w:p>
            <w:pPr>
              <w:spacing w:after="0"/>
              <w:rPr>
                <w:sz w:val="15"/>
                <w:szCs w:val="15"/>
                <w:color w:val="auto"/>
              </w:rPr>
            </w:pPr>
          </w:p>
        </w:tc>
        <w:tc>
          <w:tcPr>
            <w:tcW w:w="104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89"/>
              </w:rPr>
              <w:t>0.39%</w:t>
            </w:r>
          </w:p>
        </w:tc>
        <w:tc>
          <w:tcPr>
            <w:tcW w:w="100" w:type="dxa"/>
            <w:vAlign w:val="bottom"/>
            <w:tcBorders>
              <w:bottom w:val="single" w:sz="8" w:color="CCEEFF"/>
            </w:tcBorders>
            <w:shd w:val="clear" w:color="auto" w:fill="CCEEFF"/>
          </w:tcPr>
          <w:p>
            <w:pPr>
              <w:spacing w:after="0"/>
              <w:rPr>
                <w:sz w:val="15"/>
                <w:szCs w:val="15"/>
                <w:color w:val="auto"/>
              </w:rPr>
            </w:pPr>
          </w:p>
        </w:tc>
        <w:tc>
          <w:tcPr>
            <w:tcW w:w="180" w:type="dxa"/>
            <w:vAlign w:val="bottom"/>
            <w:tcBorders>
              <w:bottom w:val="single" w:sz="8" w:color="CCEEFF"/>
            </w:tcBorders>
            <w:shd w:val="clear" w:color="auto" w:fill="CCEEFF"/>
          </w:tcPr>
          <w:p>
            <w:pPr>
              <w:spacing w:after="0"/>
              <w:rPr>
                <w:sz w:val="15"/>
                <w:szCs w:val="15"/>
                <w:color w:val="auto"/>
              </w:rPr>
            </w:pPr>
          </w:p>
        </w:tc>
        <w:tc>
          <w:tcPr>
            <w:tcW w:w="8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(91)</w:t>
            </w:r>
          </w:p>
        </w:tc>
        <w:tc>
          <w:tcPr>
            <w:tcW w:w="100" w:type="dxa"/>
            <w:vAlign w:val="bottom"/>
            <w:tcBorders>
              <w:bottom w:val="single" w:sz="8" w:color="CCEEFF"/>
            </w:tcBorders>
            <w:shd w:val="clear" w:color="auto" w:fill="CCEEFF"/>
          </w:tcPr>
          <w:p>
            <w:pPr>
              <w:spacing w:after="0"/>
              <w:rPr>
                <w:sz w:val="15"/>
                <w:szCs w:val="15"/>
                <w:color w:val="auto"/>
              </w:rPr>
            </w:pPr>
          </w:p>
        </w:tc>
        <w:tc>
          <w:tcPr>
            <w:tcW w:w="9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1"/>
                <w:szCs w:val="11"/>
                <w:color w:val="auto"/>
                <w:w w:val="93"/>
              </w:rPr>
              <w:t>14.7</w:t>
            </w:r>
          </w:p>
        </w:tc>
      </w:tr>
      <w:tr>
        <w:trPr>
          <w:trHeight w:val="167"/>
        </w:trPr>
        <w:tc>
          <w:tcPr>
            <w:tcW w:w="5980" w:type="dxa"/>
            <w:vAlign w:val="bottom"/>
            <w:gridSpan w:val="2"/>
          </w:tcPr>
          <w:p>
            <w:pPr>
              <w:ind w:left="20"/>
              <w:spacing w:after="0"/>
              <w:rPr>
                <w:sz w:val="20"/>
                <w:szCs w:val="20"/>
                <w:color w:val="auto"/>
              </w:rPr>
            </w:pPr>
            <w:r>
              <w:rPr>
                <w:rFonts w:ascii="Arial" w:cs="Arial" w:eastAsia="Arial" w:hAnsi="Arial"/>
                <w:sz w:val="11"/>
                <w:szCs w:val="11"/>
                <w:color w:val="auto"/>
              </w:rPr>
              <w:t>Total payer interest rate swaps</w:t>
            </w:r>
          </w:p>
        </w:tc>
        <w:tc>
          <w:tcPr>
            <w:tcW w:w="180" w:type="dxa"/>
            <w:vAlign w:val="bottom"/>
            <w:tcBorders>
              <w:top w:val="single" w:sz="8" w:color="auto"/>
              <w:bottom w:val="single" w:sz="8" w:color="auto"/>
            </w:tcBorders>
          </w:tcPr>
          <w:p>
            <w:pPr>
              <w:jc w:val="right"/>
              <w:ind w:right="71"/>
              <w:spacing w:after="0"/>
              <w:rPr>
                <w:sz w:val="20"/>
                <w:szCs w:val="20"/>
                <w:color w:val="auto"/>
              </w:rPr>
            </w:pPr>
            <w:r>
              <w:rPr>
                <w:rFonts w:ascii="Arial" w:cs="Arial" w:eastAsia="Arial" w:hAnsi="Arial"/>
                <w:sz w:val="10"/>
                <w:szCs w:val="10"/>
                <w:color w:val="auto"/>
                <w:w w:val="71"/>
              </w:rPr>
              <w:t>$</w:t>
            </w:r>
          </w:p>
        </w:tc>
        <w:tc>
          <w:tcPr>
            <w:tcW w:w="840" w:type="dxa"/>
            <w:vAlign w:val="bottom"/>
            <w:tcBorders>
              <w:top w:val="single" w:sz="8" w:color="auto"/>
              <w:bottom w:val="single" w:sz="8" w:color="auto"/>
            </w:tcBorders>
          </w:tcPr>
          <w:p>
            <w:pPr>
              <w:jc w:val="right"/>
              <w:ind w:right="67"/>
              <w:spacing w:after="0"/>
              <w:rPr>
                <w:sz w:val="20"/>
                <w:szCs w:val="20"/>
                <w:color w:val="auto"/>
              </w:rPr>
            </w:pPr>
            <w:r>
              <w:rPr>
                <w:rFonts w:ascii="Arial" w:cs="Arial" w:eastAsia="Arial" w:hAnsi="Arial"/>
                <w:sz w:val="11"/>
                <w:szCs w:val="11"/>
                <w:color w:val="auto"/>
              </w:rPr>
              <w:t>40,525</w:t>
            </w:r>
          </w:p>
        </w:tc>
        <w:tc>
          <w:tcPr>
            <w:tcW w:w="120" w:type="dxa"/>
            <w:vAlign w:val="bottom"/>
          </w:tcPr>
          <w:p>
            <w:pPr>
              <w:spacing w:after="0"/>
              <w:rPr>
                <w:sz w:val="14"/>
                <w:szCs w:val="14"/>
                <w:color w:val="auto"/>
              </w:rPr>
            </w:pPr>
          </w:p>
        </w:tc>
        <w:tc>
          <w:tcPr>
            <w:tcW w:w="104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1"/>
                <w:szCs w:val="11"/>
                <w:color w:val="auto"/>
                <w:w w:val="89"/>
              </w:rPr>
              <w:t>1.89%</w:t>
            </w:r>
          </w:p>
        </w:tc>
        <w:tc>
          <w:tcPr>
            <w:tcW w:w="120" w:type="dxa"/>
            <w:vAlign w:val="bottom"/>
          </w:tcPr>
          <w:p>
            <w:pPr>
              <w:spacing w:after="0"/>
              <w:rPr>
                <w:sz w:val="14"/>
                <w:szCs w:val="14"/>
                <w:color w:val="auto"/>
              </w:rPr>
            </w:pPr>
          </w:p>
        </w:tc>
        <w:tc>
          <w:tcPr>
            <w:tcW w:w="104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1"/>
                <w:szCs w:val="11"/>
                <w:color w:val="auto"/>
                <w:w w:val="89"/>
              </w:rPr>
              <w:t>0.40%</w:t>
            </w:r>
          </w:p>
        </w:tc>
        <w:tc>
          <w:tcPr>
            <w:tcW w:w="100" w:type="dxa"/>
            <w:vAlign w:val="bottom"/>
          </w:tcPr>
          <w:p>
            <w:pPr>
              <w:spacing w:after="0"/>
              <w:rPr>
                <w:sz w:val="14"/>
                <w:szCs w:val="14"/>
                <w:color w:val="auto"/>
              </w:rPr>
            </w:pPr>
          </w:p>
        </w:tc>
        <w:tc>
          <w:tcPr>
            <w:tcW w:w="180" w:type="dxa"/>
            <w:vAlign w:val="bottom"/>
            <w:tcBorders>
              <w:top w:val="single" w:sz="8" w:color="auto"/>
              <w:bottom w:val="single" w:sz="8" w:color="auto"/>
            </w:tcBorders>
          </w:tcPr>
          <w:p>
            <w:pPr>
              <w:jc w:val="right"/>
              <w:ind w:right="46"/>
              <w:spacing w:after="0"/>
              <w:rPr>
                <w:sz w:val="20"/>
                <w:szCs w:val="20"/>
                <w:color w:val="auto"/>
              </w:rPr>
            </w:pPr>
            <w:r>
              <w:rPr>
                <w:rFonts w:ascii="Arial" w:cs="Arial" w:eastAsia="Arial" w:hAnsi="Arial"/>
                <w:sz w:val="11"/>
                <w:szCs w:val="11"/>
                <w:color w:val="auto"/>
                <w:w w:val="97"/>
              </w:rPr>
              <w:t>$</w:t>
            </w:r>
          </w:p>
        </w:tc>
        <w:tc>
          <w:tcPr>
            <w:tcW w:w="840" w:type="dxa"/>
            <w:vAlign w:val="bottom"/>
            <w:tcBorders>
              <w:top w:val="single" w:sz="8" w:color="auto"/>
              <w:bottom w:val="single" w:sz="8" w:color="auto"/>
            </w:tcBorders>
          </w:tcPr>
          <w:p>
            <w:pPr>
              <w:jc w:val="right"/>
              <w:ind w:right="28"/>
              <w:spacing w:after="0"/>
              <w:rPr>
                <w:sz w:val="20"/>
                <w:szCs w:val="20"/>
                <w:color w:val="auto"/>
              </w:rPr>
            </w:pPr>
            <w:r>
              <w:rPr>
                <w:rFonts w:ascii="Arial" w:cs="Arial" w:eastAsia="Arial" w:hAnsi="Arial"/>
                <w:sz w:val="11"/>
                <w:szCs w:val="11"/>
                <w:color w:val="auto"/>
              </w:rPr>
              <w:t>(889)</w:t>
            </w:r>
          </w:p>
        </w:tc>
        <w:tc>
          <w:tcPr>
            <w:tcW w:w="100" w:type="dxa"/>
            <w:vAlign w:val="bottom"/>
          </w:tcPr>
          <w:p>
            <w:pPr>
              <w:spacing w:after="0"/>
              <w:rPr>
                <w:sz w:val="14"/>
                <w:szCs w:val="14"/>
                <w:color w:val="auto"/>
              </w:rPr>
            </w:pPr>
          </w:p>
        </w:tc>
        <w:tc>
          <w:tcPr>
            <w:tcW w:w="9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1"/>
                <w:szCs w:val="11"/>
                <w:color w:val="auto"/>
                <w:w w:val="78"/>
              </w:rPr>
              <w:t>4.6</w:t>
            </w:r>
          </w:p>
        </w:tc>
      </w:tr>
      <w:tr>
        <w:trPr>
          <w:trHeight w:val="140"/>
        </w:trPr>
        <w:tc>
          <w:tcPr>
            <w:tcW w:w="5860" w:type="dxa"/>
            <w:vAlign w:val="bottom"/>
          </w:tcPr>
          <w:p>
            <w:pPr>
              <w:ind w:left="60"/>
              <w:spacing w:after="0"/>
              <w:rPr>
                <w:sz w:val="20"/>
                <w:szCs w:val="20"/>
                <w:color w:val="auto"/>
              </w:rPr>
            </w:pPr>
            <w:r>
              <w:rPr>
                <w:rFonts w:ascii="Arial" w:cs="Arial" w:eastAsia="Arial" w:hAnsi="Arial"/>
                <w:sz w:val="12"/>
                <w:szCs w:val="12"/>
                <w:color w:val="auto"/>
              </w:rPr>
              <w:t>________________________</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r>
    </w:tbl>
    <w:p>
      <w:pPr>
        <w:ind w:left="420" w:hanging="212"/>
        <w:spacing w:after="0" w:line="225" w:lineRule="auto"/>
        <w:tabs>
          <w:tab w:leader="none" w:pos="420" w:val="left"/>
        </w:tabs>
        <w:numPr>
          <w:ilvl w:val="0"/>
          <w:numId w:val="6"/>
        </w:numPr>
        <w:rPr>
          <w:rFonts w:ascii="Arial" w:cs="Arial" w:eastAsia="Arial" w:hAnsi="Arial"/>
          <w:sz w:val="10"/>
          <w:szCs w:val="10"/>
          <w:color w:val="auto"/>
        </w:rPr>
      </w:pPr>
      <w:r>
        <w:rPr>
          <w:rFonts w:ascii="Arial" w:cs="Arial" w:eastAsia="Arial" w:hAnsi="Arial"/>
          <w:sz w:val="10"/>
          <w:szCs w:val="10"/>
          <w:color w:val="auto"/>
        </w:rPr>
        <w:t>Notional amount includes forward starting swaps of $4.5 billion with an average forward start date of 0.7 years and an average maturity of 5.5 years from December 31, 2015.</w:t>
      </w:r>
    </w:p>
    <w:p>
      <w:pPr>
        <w:ind w:left="420" w:hanging="212"/>
        <w:spacing w:after="0" w:line="225" w:lineRule="auto"/>
        <w:tabs>
          <w:tab w:leader="none" w:pos="420" w:val="left"/>
        </w:tabs>
        <w:numPr>
          <w:ilvl w:val="0"/>
          <w:numId w:val="6"/>
        </w:numPr>
        <w:rPr>
          <w:rFonts w:ascii="Arial" w:cs="Arial" w:eastAsia="Arial" w:hAnsi="Arial"/>
          <w:sz w:val="10"/>
          <w:szCs w:val="10"/>
          <w:color w:val="auto"/>
        </w:rPr>
      </w:pPr>
      <w:r>
        <w:rPr>
          <w:rFonts w:ascii="Arial" w:cs="Arial" w:eastAsia="Arial" w:hAnsi="Arial"/>
          <w:sz w:val="10"/>
          <w:szCs w:val="10"/>
          <w:color w:val="auto"/>
        </w:rPr>
        <w:t>Average fixed pay rate includes forward starting swaps. Excluding forward starting swaps, the average fixed pay rate was 1.75% as of December 31, 2015.</w:t>
      </w:r>
    </w:p>
    <w:p>
      <w:pPr>
        <w:ind w:left="420" w:hanging="212"/>
        <w:spacing w:after="0" w:line="236" w:lineRule="auto"/>
        <w:tabs>
          <w:tab w:leader="none" w:pos="420" w:val="left"/>
        </w:tabs>
        <w:numPr>
          <w:ilvl w:val="0"/>
          <w:numId w:val="6"/>
        </w:numPr>
        <w:rPr>
          <w:rFonts w:ascii="Arial" w:cs="Arial" w:eastAsia="Arial" w:hAnsi="Arial"/>
          <w:sz w:val="10"/>
          <w:szCs w:val="10"/>
          <w:color w:val="auto"/>
        </w:rPr>
      </w:pPr>
      <w:r>
        <w:rPr>
          <w:rFonts w:ascii="Arial" w:cs="Arial" w:eastAsia="Arial" w:hAnsi="Arial"/>
          <w:sz w:val="10"/>
          <w:szCs w:val="10"/>
          <w:color w:val="auto"/>
        </w:rPr>
        <w:t>Average receive rate excludes forward starting swaps.</w:t>
      </w:r>
    </w:p>
    <w:p>
      <w:pPr>
        <w:spacing w:after="0" w:line="207"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our interest rate payer swaption agreements outstanding as of September 30, 2016 and December 31, 2015 (dollars in millions):</w:t>
      </w:r>
    </w:p>
    <w:p>
      <w:pPr>
        <w:spacing w:after="0" w:line="262" w:lineRule="exact"/>
        <w:rPr>
          <w:sz w:val="20"/>
          <w:szCs w:val="20"/>
          <w:color w:val="auto"/>
        </w:rPr>
      </w:pPr>
    </w:p>
    <w:tbl>
      <w:tblPr>
        <w:tblLayout w:type="fixed"/>
        <w:tblInd w:w="20" w:type="dxa"/>
        <w:tblCellMar>
          <w:top w:w="0" w:type="dxa"/>
          <w:left w:w="0" w:type="dxa"/>
          <w:bottom w:w="0" w:type="dxa"/>
          <w:right w:w="0" w:type="dxa"/>
        </w:tblCellMar>
      </w:tblPr>
      <w:tr>
        <w:trPr>
          <w:trHeight w:val="128"/>
        </w:trPr>
        <w:tc>
          <w:tcPr>
            <w:tcW w:w="3560" w:type="dxa"/>
            <w:vAlign w:val="bottom"/>
            <w:gridSpan w:val="2"/>
          </w:tcPr>
          <w:p>
            <w:pPr>
              <w:ind w:left="20"/>
              <w:spacing w:after="0"/>
              <w:rPr>
                <w:sz w:val="20"/>
                <w:szCs w:val="20"/>
                <w:color w:val="auto"/>
              </w:rPr>
            </w:pPr>
            <w:r>
              <w:rPr>
                <w:rFonts w:ascii="Arial" w:cs="Arial" w:eastAsia="Arial" w:hAnsi="Arial"/>
                <w:sz w:val="10"/>
                <w:szCs w:val="10"/>
                <w:b w:val="1"/>
                <w:bCs w:val="1"/>
                <w:color w:val="auto"/>
              </w:rPr>
              <w:t>Payer Swaptions</w:t>
            </w:r>
          </w:p>
        </w:tc>
        <w:tc>
          <w:tcPr>
            <w:tcW w:w="24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920" w:type="dxa"/>
            <w:vAlign w:val="bottom"/>
            <w:gridSpan w:val="2"/>
          </w:tcPr>
          <w:p>
            <w:pPr>
              <w:jc w:val="center"/>
              <w:ind w:right="320"/>
              <w:spacing w:after="0"/>
              <w:rPr>
                <w:sz w:val="20"/>
                <w:szCs w:val="20"/>
                <w:color w:val="auto"/>
              </w:rPr>
            </w:pPr>
            <w:r>
              <w:rPr>
                <w:rFonts w:ascii="Arial" w:cs="Arial" w:eastAsia="Arial" w:hAnsi="Arial"/>
                <w:sz w:val="10"/>
                <w:szCs w:val="10"/>
                <w:b w:val="1"/>
                <w:bCs w:val="1"/>
                <w:color w:val="auto"/>
                <w:w w:val="86"/>
              </w:rPr>
              <w:t>Option</w:t>
            </w:r>
          </w:p>
        </w:tc>
        <w:tc>
          <w:tcPr>
            <w:tcW w:w="10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280" w:type="dxa"/>
            <w:vAlign w:val="bottom"/>
            <w:gridSpan w:val="4"/>
          </w:tcPr>
          <w:p>
            <w:pPr>
              <w:ind w:left="620"/>
              <w:spacing w:after="0"/>
              <w:rPr>
                <w:sz w:val="20"/>
                <w:szCs w:val="20"/>
                <w:color w:val="auto"/>
              </w:rPr>
            </w:pPr>
            <w:r>
              <w:rPr>
                <w:rFonts w:ascii="Arial" w:cs="Arial" w:eastAsia="Arial" w:hAnsi="Arial"/>
                <w:sz w:val="10"/>
                <w:szCs w:val="10"/>
                <w:b w:val="1"/>
                <w:bCs w:val="1"/>
                <w:color w:val="auto"/>
              </w:rPr>
              <w:t>Underlying Payer Swap</w:t>
            </w:r>
          </w:p>
        </w:tc>
        <w:tc>
          <w:tcPr>
            <w:tcW w:w="1020" w:type="dxa"/>
            <w:vAlign w:val="bottom"/>
          </w:tcPr>
          <w:p>
            <w:pPr>
              <w:spacing w:after="0"/>
              <w:rPr>
                <w:sz w:val="11"/>
                <w:szCs w:val="11"/>
                <w:color w:val="auto"/>
              </w:rPr>
            </w:pPr>
          </w:p>
        </w:tc>
      </w:tr>
      <w:tr>
        <w:trPr>
          <w:trHeight w:val="96"/>
        </w:trPr>
        <w:tc>
          <w:tcPr>
            <w:tcW w:w="344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top w:val="single" w:sz="8" w:color="auto"/>
            </w:tcBorders>
          </w:tcPr>
          <w:p>
            <w:pPr>
              <w:spacing w:after="0"/>
              <w:rPr>
                <w:sz w:val="8"/>
                <w:szCs w:val="8"/>
                <w:color w:val="auto"/>
              </w:rPr>
            </w:pPr>
          </w:p>
        </w:tc>
        <w:tc>
          <w:tcPr>
            <w:tcW w:w="800" w:type="dxa"/>
            <w:vAlign w:val="bottom"/>
            <w:tcBorders>
              <w:top w:val="single" w:sz="8" w:color="auto"/>
            </w:tcBorders>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240" w:type="dxa"/>
            <w:vAlign w:val="bottom"/>
            <w:tcBorders>
              <w:top w:val="single" w:sz="8" w:color="auto"/>
            </w:tcBorders>
          </w:tcPr>
          <w:p>
            <w:pPr>
              <w:spacing w:after="0"/>
              <w:rPr>
                <w:sz w:val="8"/>
                <w:szCs w:val="8"/>
                <w:color w:val="auto"/>
              </w:rPr>
            </w:pPr>
          </w:p>
        </w:tc>
        <w:tc>
          <w:tcPr>
            <w:tcW w:w="800" w:type="dxa"/>
            <w:vAlign w:val="bottom"/>
            <w:tcBorders>
              <w:top w:val="single" w:sz="8" w:color="auto"/>
            </w:tcBorders>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1040" w:type="dxa"/>
            <w:vAlign w:val="bottom"/>
            <w:tcBorders>
              <w:top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Borders>
              <w:top w:val="single" w:sz="8" w:color="auto"/>
            </w:tcBorders>
          </w:tcPr>
          <w:p>
            <w:pPr>
              <w:spacing w:after="0"/>
              <w:rPr>
                <w:sz w:val="8"/>
                <w:szCs w:val="8"/>
                <w:color w:val="auto"/>
              </w:rPr>
            </w:pPr>
          </w:p>
        </w:tc>
        <w:tc>
          <w:tcPr>
            <w:tcW w:w="820" w:type="dxa"/>
            <w:vAlign w:val="bottom"/>
            <w:tcBorders>
              <w:top w:val="single" w:sz="8" w:color="auto"/>
            </w:tcBorders>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040" w:type="dxa"/>
            <w:vAlign w:val="bottom"/>
            <w:tcBorders>
              <w:top w:val="single" w:sz="8" w:color="auto"/>
            </w:tcBorders>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140" w:type="dxa"/>
            <w:vAlign w:val="bottom"/>
            <w:tcBorders>
              <w:top w:val="single" w:sz="8" w:color="auto"/>
            </w:tcBorders>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86"/>
              </w:rPr>
              <w:t>Average</w:t>
            </w:r>
          </w:p>
        </w:tc>
        <w:tc>
          <w:tcPr>
            <w:tcW w:w="1020" w:type="dxa"/>
            <w:vAlign w:val="bottom"/>
            <w:tcBorders>
              <w:top w:val="single" w:sz="8" w:color="auto"/>
            </w:tcBorders>
          </w:tcPr>
          <w:p>
            <w:pPr>
              <w:spacing w:after="0"/>
              <w:rPr>
                <w:sz w:val="8"/>
                <w:szCs w:val="8"/>
                <w:color w:val="auto"/>
              </w:rPr>
            </w:pPr>
          </w:p>
        </w:tc>
      </w:tr>
      <w:tr>
        <w:trPr>
          <w:trHeight w:val="99"/>
        </w:trPr>
        <w:tc>
          <w:tcPr>
            <w:tcW w:w="344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8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4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0"/>
              </w:rPr>
              <w:t>Average</w:t>
            </w:r>
          </w:p>
        </w:tc>
        <w:tc>
          <w:tcPr>
            <w:tcW w:w="2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14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79"/>
              </w:rPr>
              <w:t>Receive</w:t>
            </w:r>
          </w:p>
        </w:tc>
        <w:tc>
          <w:tcPr>
            <w:tcW w:w="102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6"/>
              </w:rPr>
              <w:t>Average</w:t>
            </w:r>
          </w:p>
        </w:tc>
      </w:tr>
      <w:tr>
        <w:trPr>
          <w:trHeight w:val="99"/>
        </w:trPr>
        <w:tc>
          <w:tcPr>
            <w:tcW w:w="344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920" w:type="dxa"/>
            <w:vAlign w:val="bottom"/>
            <w:gridSpan w:val="2"/>
          </w:tcPr>
          <w:p>
            <w:pPr>
              <w:jc w:val="center"/>
              <w:ind w:right="340"/>
              <w:spacing w:after="0" w:line="99" w:lineRule="exact"/>
              <w:rPr>
                <w:sz w:val="20"/>
                <w:szCs w:val="20"/>
                <w:color w:val="auto"/>
              </w:rPr>
            </w:pPr>
            <w:r>
              <w:rPr>
                <w:rFonts w:ascii="Arial" w:cs="Arial" w:eastAsia="Arial" w:hAnsi="Arial"/>
                <w:sz w:val="10"/>
                <w:szCs w:val="10"/>
                <w:b w:val="1"/>
                <w:bCs w:val="1"/>
                <w:color w:val="auto"/>
                <w:w w:val="97"/>
              </w:rPr>
              <w:t>Fair</w:t>
            </w:r>
          </w:p>
        </w:tc>
        <w:tc>
          <w:tcPr>
            <w:tcW w:w="114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3"/>
              </w:rPr>
              <w:t>Months to</w:t>
            </w:r>
          </w:p>
        </w:tc>
        <w:tc>
          <w:tcPr>
            <w:tcW w:w="200" w:type="dxa"/>
            <w:vAlign w:val="bottom"/>
          </w:tcPr>
          <w:p>
            <w:pPr>
              <w:spacing w:after="0"/>
              <w:rPr>
                <w:sz w:val="8"/>
                <w:szCs w:val="8"/>
                <w:color w:val="auto"/>
              </w:rPr>
            </w:pPr>
          </w:p>
        </w:tc>
        <w:tc>
          <w:tcPr>
            <w:tcW w:w="920" w:type="dxa"/>
            <w:vAlign w:val="bottom"/>
            <w:gridSpan w:val="2"/>
          </w:tcPr>
          <w:p>
            <w:pPr>
              <w:ind w:left="140"/>
              <w:spacing w:after="0" w:line="99" w:lineRule="exact"/>
              <w:rPr>
                <w:sz w:val="20"/>
                <w:szCs w:val="20"/>
                <w:color w:val="auto"/>
              </w:rPr>
            </w:pPr>
            <w:r>
              <w:rPr>
                <w:rFonts w:ascii="Arial" w:cs="Arial" w:eastAsia="Arial" w:hAnsi="Arial"/>
                <w:sz w:val="10"/>
                <w:szCs w:val="10"/>
                <w:b w:val="1"/>
                <w:bCs w:val="1"/>
                <w:color w:val="auto"/>
              </w:rPr>
              <w:t>Notional</w:t>
            </w:r>
          </w:p>
        </w:tc>
        <w:tc>
          <w:tcPr>
            <w:tcW w:w="114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5"/>
              </w:rPr>
              <w:t>Average Fixed Pay</w:t>
            </w:r>
          </w:p>
        </w:tc>
        <w:tc>
          <w:tcPr>
            <w:tcW w:w="114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82"/>
              </w:rPr>
              <w:t>Rate</w:t>
            </w:r>
          </w:p>
        </w:tc>
        <w:tc>
          <w:tcPr>
            <w:tcW w:w="102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9"/>
              </w:rPr>
              <w:t>Term</w:t>
            </w:r>
          </w:p>
        </w:tc>
      </w:tr>
      <w:tr>
        <w:trPr>
          <w:trHeight w:val="128"/>
        </w:trPr>
        <w:tc>
          <w:tcPr>
            <w:tcW w:w="344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Years to Expiration</w:t>
            </w:r>
          </w:p>
        </w:tc>
        <w:tc>
          <w:tcPr>
            <w:tcW w:w="120" w:type="dxa"/>
            <w:vAlign w:val="bottom"/>
            <w:tcBorders>
              <w:bottom w:val="single" w:sz="8" w:color="CCEEFF"/>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jc w:val="right"/>
              <w:ind w:right="388"/>
              <w:spacing w:after="0"/>
              <w:rPr>
                <w:sz w:val="20"/>
                <w:szCs w:val="20"/>
                <w:color w:val="auto"/>
              </w:rPr>
            </w:pPr>
            <w:r>
              <w:rPr>
                <w:rFonts w:ascii="Arial" w:cs="Arial" w:eastAsia="Arial" w:hAnsi="Arial"/>
                <w:sz w:val="10"/>
                <w:szCs w:val="10"/>
                <w:b w:val="1"/>
                <w:bCs w:val="1"/>
                <w:color w:val="auto"/>
              </w:rPr>
              <w:t>Cost</w:t>
            </w:r>
          </w:p>
        </w:tc>
        <w:tc>
          <w:tcPr>
            <w:tcW w:w="100" w:type="dxa"/>
            <w:vAlign w:val="bottom"/>
            <w:tcBorders>
              <w:bottom w:val="single" w:sz="8" w:color="CCEEFF"/>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jc w:val="center"/>
              <w:ind w:right="170"/>
              <w:spacing w:after="0"/>
              <w:rPr>
                <w:sz w:val="20"/>
                <w:szCs w:val="20"/>
                <w:color w:val="auto"/>
              </w:rPr>
            </w:pPr>
            <w:r>
              <w:rPr>
                <w:rFonts w:ascii="Arial" w:cs="Arial" w:eastAsia="Arial" w:hAnsi="Arial"/>
                <w:sz w:val="10"/>
                <w:szCs w:val="10"/>
                <w:b w:val="1"/>
                <w:bCs w:val="1"/>
                <w:color w:val="auto"/>
                <w:w w:val="82"/>
              </w:rPr>
              <w:t>Value</w:t>
            </w:r>
          </w:p>
        </w:tc>
        <w:tc>
          <w:tcPr>
            <w:tcW w:w="12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Expiration</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jc w:val="right"/>
              <w:ind w:right="289"/>
              <w:spacing w:after="0"/>
              <w:rPr>
                <w:sz w:val="20"/>
                <w:szCs w:val="20"/>
                <w:color w:val="auto"/>
              </w:rPr>
            </w:pPr>
            <w:r>
              <w:rPr>
                <w:rFonts w:ascii="Arial" w:cs="Arial" w:eastAsia="Arial" w:hAnsi="Arial"/>
                <w:sz w:val="10"/>
                <w:szCs w:val="10"/>
                <w:b w:val="1"/>
                <w:bCs w:val="1"/>
                <w:color w:val="auto"/>
              </w:rPr>
              <w:t>Amount</w:t>
            </w:r>
          </w:p>
        </w:tc>
        <w:tc>
          <w:tcPr>
            <w:tcW w:w="10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2"/>
              </w:rPr>
              <w:t>Rate</w:t>
            </w:r>
          </w:p>
        </w:tc>
        <w:tc>
          <w:tcPr>
            <w:tcW w:w="100" w:type="dxa"/>
            <w:vAlign w:val="bottom"/>
            <w:tcBorders>
              <w:bottom w:val="single" w:sz="8" w:color="CCEEFF"/>
            </w:tcBorders>
          </w:tcPr>
          <w:p>
            <w:pPr>
              <w:spacing w:after="0"/>
              <w:rPr>
                <w:sz w:val="11"/>
                <w:szCs w:val="11"/>
                <w:color w:val="auto"/>
              </w:rPr>
            </w:pPr>
          </w:p>
        </w:tc>
        <w:tc>
          <w:tcPr>
            <w:tcW w:w="10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rPr>
              <w:t>(LIBOR)</w:t>
            </w:r>
          </w:p>
        </w:tc>
        <w:tc>
          <w:tcPr>
            <w:tcW w:w="120" w:type="dxa"/>
            <w:vAlign w:val="bottom"/>
            <w:tcBorders>
              <w:bottom w:val="single" w:sz="8" w:color="CCEEFF"/>
            </w:tcBorders>
          </w:tcPr>
          <w:p>
            <w:pPr>
              <w:spacing w:after="0"/>
              <w:rPr>
                <w:sz w:val="11"/>
                <w:szCs w:val="11"/>
                <w:color w:val="auto"/>
              </w:rPr>
            </w:pPr>
          </w:p>
        </w:tc>
        <w:tc>
          <w:tcPr>
            <w:tcW w:w="10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8"/>
              </w:rPr>
              <w:t>(Years)</w:t>
            </w:r>
          </w:p>
        </w:tc>
      </w:tr>
      <w:tr>
        <w:trPr>
          <w:trHeight w:val="153"/>
        </w:trPr>
        <w:tc>
          <w:tcPr>
            <w:tcW w:w="35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b w:val="1"/>
                <w:bCs w:val="1"/>
                <w:color w:val="auto"/>
              </w:rPr>
              <w:t>September 30, 2016</w:t>
            </w:r>
          </w:p>
        </w:tc>
        <w:tc>
          <w:tcPr>
            <w:tcW w:w="240" w:type="dxa"/>
            <w:vAlign w:val="bottom"/>
            <w:tcBorders>
              <w:bottom w:val="single" w:sz="8" w:color="CCEEFF"/>
            </w:tcBorders>
            <w:shd w:val="clear" w:color="auto" w:fill="CCEEFF"/>
          </w:tcPr>
          <w:p>
            <w:pPr>
              <w:spacing w:after="0"/>
              <w:rPr>
                <w:sz w:val="13"/>
                <w:szCs w:val="13"/>
                <w:color w:val="auto"/>
              </w:rPr>
            </w:pPr>
          </w:p>
        </w:tc>
        <w:tc>
          <w:tcPr>
            <w:tcW w:w="80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40" w:type="dxa"/>
            <w:vAlign w:val="bottom"/>
            <w:tcBorders>
              <w:bottom w:val="single" w:sz="8" w:color="CCEEFF"/>
            </w:tcBorders>
            <w:shd w:val="clear" w:color="auto" w:fill="CCEEFF"/>
          </w:tcPr>
          <w:p>
            <w:pPr>
              <w:spacing w:after="0"/>
              <w:rPr>
                <w:sz w:val="13"/>
                <w:szCs w:val="13"/>
                <w:color w:val="auto"/>
              </w:rPr>
            </w:pPr>
          </w:p>
        </w:tc>
        <w:tc>
          <w:tcPr>
            <w:tcW w:w="8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82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02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1020" w:type="dxa"/>
            <w:vAlign w:val="bottom"/>
            <w:tcBorders>
              <w:bottom w:val="single" w:sz="8" w:color="CCEEFF"/>
            </w:tcBorders>
            <w:shd w:val="clear" w:color="auto" w:fill="CCEEFF"/>
          </w:tcPr>
          <w:p>
            <w:pPr>
              <w:spacing w:after="0"/>
              <w:rPr>
                <w:sz w:val="13"/>
                <w:szCs w:val="13"/>
                <w:color w:val="auto"/>
              </w:rPr>
            </w:pPr>
          </w:p>
        </w:tc>
      </w:tr>
      <w:tr>
        <w:trPr>
          <w:trHeight w:val="178"/>
        </w:trPr>
        <w:tc>
          <w:tcPr>
            <w:tcW w:w="3560" w:type="dxa"/>
            <w:vAlign w:val="bottom"/>
            <w:gridSpan w:val="2"/>
          </w:tcPr>
          <w:p>
            <w:pPr>
              <w:ind w:left="20"/>
              <w:spacing w:after="0"/>
              <w:rPr>
                <w:sz w:val="20"/>
                <w:szCs w:val="20"/>
                <w:color w:val="auto"/>
              </w:rPr>
            </w:pPr>
            <w:r>
              <w:rPr>
                <w:rFonts w:ascii="Arial" w:cs="Arial" w:eastAsia="Arial" w:hAnsi="Arial"/>
                <w:sz w:val="11"/>
                <w:szCs w:val="11"/>
                <w:color w:val="auto"/>
              </w:rPr>
              <w:t>Total ≤ 1 year</w:t>
            </w: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800" w:type="dxa"/>
            <w:vAlign w:val="bottom"/>
          </w:tcPr>
          <w:p>
            <w:pPr>
              <w:jc w:val="right"/>
              <w:ind w:right="68"/>
              <w:spacing w:after="0"/>
              <w:rPr>
                <w:sz w:val="20"/>
                <w:szCs w:val="20"/>
                <w:color w:val="auto"/>
              </w:rPr>
            </w:pPr>
            <w:r>
              <w:rPr>
                <w:rFonts w:ascii="Arial" w:cs="Arial" w:eastAsia="Arial" w:hAnsi="Arial"/>
                <w:sz w:val="11"/>
                <w:szCs w:val="11"/>
                <w:color w:val="auto"/>
              </w:rPr>
              <w:t>44</w:t>
            </w:r>
          </w:p>
        </w:tc>
        <w:tc>
          <w:tcPr>
            <w:tcW w:w="100" w:type="dxa"/>
            <w:vAlign w:val="bottom"/>
          </w:tcPr>
          <w:p>
            <w:pPr>
              <w:spacing w:after="0"/>
              <w:rPr>
                <w:sz w:val="15"/>
                <w:szCs w:val="15"/>
                <w:color w:val="auto"/>
              </w:rPr>
            </w:pPr>
          </w:p>
        </w:tc>
        <w:tc>
          <w:tcPr>
            <w:tcW w:w="240" w:type="dxa"/>
            <w:vAlign w:val="bottom"/>
          </w:tcPr>
          <w:p>
            <w:pPr>
              <w:jc w:val="right"/>
              <w:ind w:right="106"/>
              <w:spacing w:after="0"/>
              <w:rPr>
                <w:sz w:val="20"/>
                <w:szCs w:val="20"/>
                <w:color w:val="auto"/>
              </w:rPr>
            </w:pPr>
            <w:r>
              <w:rPr>
                <w:rFonts w:ascii="Arial" w:cs="Arial" w:eastAsia="Arial" w:hAnsi="Arial"/>
                <w:sz w:val="11"/>
                <w:szCs w:val="11"/>
                <w:color w:val="auto"/>
                <w:w w:val="97"/>
              </w:rPr>
              <w:t>$</w:t>
            </w:r>
          </w:p>
        </w:tc>
        <w:tc>
          <w:tcPr>
            <w:tcW w:w="800" w:type="dxa"/>
            <w:vAlign w:val="bottom"/>
          </w:tcPr>
          <w:p>
            <w:pPr>
              <w:jc w:val="right"/>
              <w:ind w:right="70"/>
              <w:spacing w:after="0"/>
              <w:rPr>
                <w:sz w:val="20"/>
                <w:szCs w:val="20"/>
                <w:color w:val="auto"/>
              </w:rPr>
            </w:pPr>
            <w:r>
              <w:rPr>
                <w:rFonts w:ascii="Arial" w:cs="Arial" w:eastAsia="Arial" w:hAnsi="Arial"/>
                <w:sz w:val="11"/>
                <w:szCs w:val="11"/>
                <w:color w:val="auto"/>
              </w:rPr>
              <w:t>6</w:t>
            </w:r>
          </w:p>
        </w:tc>
        <w:tc>
          <w:tcPr>
            <w:tcW w:w="120" w:type="dxa"/>
            <w:vAlign w:val="bottom"/>
          </w:tcPr>
          <w:p>
            <w:pPr>
              <w:spacing w:after="0"/>
              <w:rPr>
                <w:sz w:val="15"/>
                <w:szCs w:val="15"/>
                <w:color w:val="auto"/>
              </w:rPr>
            </w:pPr>
          </w:p>
        </w:tc>
        <w:tc>
          <w:tcPr>
            <w:tcW w:w="1040" w:type="dxa"/>
            <w:vAlign w:val="bottom"/>
          </w:tcPr>
          <w:p>
            <w:pPr>
              <w:jc w:val="center"/>
              <w:spacing w:after="0"/>
              <w:rPr>
                <w:sz w:val="20"/>
                <w:szCs w:val="20"/>
                <w:color w:val="auto"/>
              </w:rPr>
            </w:pPr>
            <w:r>
              <w:rPr>
                <w:rFonts w:ascii="Arial" w:cs="Arial" w:eastAsia="Arial" w:hAnsi="Arial"/>
                <w:sz w:val="10"/>
                <w:szCs w:val="10"/>
                <w:color w:val="auto"/>
                <w:w w:val="71"/>
              </w:rPr>
              <w:t>5</w:t>
            </w:r>
          </w:p>
        </w:tc>
        <w:tc>
          <w:tcPr>
            <w:tcW w:w="100" w:type="dxa"/>
            <w:vAlign w:val="bottom"/>
          </w:tcPr>
          <w:p>
            <w:pPr>
              <w:spacing w:after="0"/>
              <w:rPr>
                <w:sz w:val="15"/>
                <w:szCs w:val="15"/>
                <w:color w:val="auto"/>
              </w:rPr>
            </w:pPr>
          </w:p>
        </w:tc>
        <w:tc>
          <w:tcPr>
            <w:tcW w:w="200" w:type="dxa"/>
            <w:vAlign w:val="bottom"/>
          </w:tcPr>
          <w:p>
            <w:pPr>
              <w:jc w:val="right"/>
              <w:ind w:right="66"/>
              <w:spacing w:after="0"/>
              <w:rPr>
                <w:sz w:val="20"/>
                <w:szCs w:val="20"/>
                <w:color w:val="auto"/>
              </w:rPr>
            </w:pPr>
            <w:r>
              <w:rPr>
                <w:rFonts w:ascii="Arial" w:cs="Arial" w:eastAsia="Arial" w:hAnsi="Arial"/>
                <w:sz w:val="11"/>
                <w:szCs w:val="11"/>
                <w:color w:val="auto"/>
                <w:w w:val="97"/>
              </w:rPr>
              <w:t>$</w:t>
            </w:r>
          </w:p>
        </w:tc>
        <w:tc>
          <w:tcPr>
            <w:tcW w:w="820" w:type="dxa"/>
            <w:vAlign w:val="bottom"/>
          </w:tcPr>
          <w:p>
            <w:pPr>
              <w:jc w:val="right"/>
              <w:ind w:right="69"/>
              <w:spacing w:after="0"/>
              <w:rPr>
                <w:sz w:val="20"/>
                <w:szCs w:val="20"/>
                <w:color w:val="auto"/>
              </w:rPr>
            </w:pPr>
            <w:r>
              <w:rPr>
                <w:rFonts w:ascii="Arial" w:cs="Arial" w:eastAsia="Arial" w:hAnsi="Arial"/>
                <w:sz w:val="11"/>
                <w:szCs w:val="11"/>
                <w:color w:val="auto"/>
              </w:rPr>
              <w:t>700</w:t>
            </w:r>
          </w:p>
        </w:tc>
        <w:tc>
          <w:tcPr>
            <w:tcW w:w="100" w:type="dxa"/>
            <w:vAlign w:val="bottom"/>
          </w:tcPr>
          <w:p>
            <w:pPr>
              <w:spacing w:after="0"/>
              <w:rPr>
                <w:sz w:val="15"/>
                <w:szCs w:val="15"/>
                <w:color w:val="auto"/>
              </w:rPr>
            </w:pPr>
          </w:p>
        </w:tc>
        <w:tc>
          <w:tcPr>
            <w:tcW w:w="1040" w:type="dxa"/>
            <w:vAlign w:val="bottom"/>
          </w:tcPr>
          <w:p>
            <w:pPr>
              <w:jc w:val="center"/>
              <w:spacing w:after="0"/>
              <w:rPr>
                <w:sz w:val="20"/>
                <w:szCs w:val="20"/>
                <w:color w:val="auto"/>
              </w:rPr>
            </w:pPr>
            <w:r>
              <w:rPr>
                <w:rFonts w:ascii="Arial" w:cs="Arial" w:eastAsia="Arial" w:hAnsi="Arial"/>
                <w:sz w:val="11"/>
                <w:szCs w:val="11"/>
                <w:color w:val="auto"/>
                <w:w w:val="89"/>
              </w:rPr>
              <w:t>3.10%</w:t>
            </w:r>
          </w:p>
        </w:tc>
        <w:tc>
          <w:tcPr>
            <w:tcW w:w="100" w:type="dxa"/>
            <w:vAlign w:val="bottom"/>
          </w:tcPr>
          <w:p>
            <w:pPr>
              <w:spacing w:after="0"/>
              <w:rPr>
                <w:sz w:val="15"/>
                <w:szCs w:val="15"/>
                <w:color w:val="auto"/>
              </w:rPr>
            </w:pPr>
          </w:p>
        </w:tc>
        <w:tc>
          <w:tcPr>
            <w:tcW w:w="1140" w:type="dxa"/>
            <w:vAlign w:val="bottom"/>
            <w:gridSpan w:val="2"/>
          </w:tcPr>
          <w:p>
            <w:pPr>
              <w:jc w:val="center"/>
              <w:ind w:right="120"/>
              <w:spacing w:after="0"/>
              <w:rPr>
                <w:sz w:val="20"/>
                <w:szCs w:val="20"/>
                <w:color w:val="auto"/>
              </w:rPr>
            </w:pPr>
            <w:r>
              <w:rPr>
                <w:rFonts w:ascii="Arial" w:cs="Arial" w:eastAsia="Arial" w:hAnsi="Arial"/>
                <w:sz w:val="11"/>
                <w:szCs w:val="11"/>
                <w:color w:val="auto"/>
                <w:w w:val="91"/>
              </w:rPr>
              <w:t>3M</w:t>
            </w:r>
          </w:p>
        </w:tc>
        <w:tc>
          <w:tcPr>
            <w:tcW w:w="1020" w:type="dxa"/>
            <w:vAlign w:val="bottom"/>
          </w:tcPr>
          <w:p>
            <w:pPr>
              <w:jc w:val="center"/>
              <w:spacing w:after="0"/>
              <w:rPr>
                <w:sz w:val="20"/>
                <w:szCs w:val="20"/>
                <w:color w:val="auto"/>
              </w:rPr>
            </w:pPr>
            <w:r>
              <w:rPr>
                <w:rFonts w:ascii="Arial" w:cs="Arial" w:eastAsia="Arial" w:hAnsi="Arial"/>
                <w:sz w:val="11"/>
                <w:szCs w:val="11"/>
                <w:color w:val="auto"/>
                <w:w w:val="91"/>
              </w:rPr>
              <w:t>7.0</w:t>
            </w:r>
          </w:p>
        </w:tc>
      </w:tr>
      <w:tr>
        <w:trPr>
          <w:trHeight w:val="198"/>
        </w:trPr>
        <w:tc>
          <w:tcPr>
            <w:tcW w:w="34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8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8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r>
      <w:tr>
        <w:trPr>
          <w:trHeight w:val="158"/>
        </w:trPr>
        <w:tc>
          <w:tcPr>
            <w:tcW w:w="3560" w:type="dxa"/>
            <w:vAlign w:val="bottom"/>
            <w:gridSpan w:val="2"/>
          </w:tcPr>
          <w:p>
            <w:pPr>
              <w:ind w:left="20"/>
              <w:spacing w:after="0"/>
              <w:rPr>
                <w:sz w:val="20"/>
                <w:szCs w:val="20"/>
                <w:color w:val="auto"/>
              </w:rPr>
            </w:pPr>
            <w:r>
              <w:rPr>
                <w:rFonts w:ascii="Arial" w:cs="Arial" w:eastAsia="Arial" w:hAnsi="Arial"/>
                <w:sz w:val="11"/>
                <w:szCs w:val="11"/>
                <w:b w:val="1"/>
                <w:bCs w:val="1"/>
                <w:color w:val="auto"/>
              </w:rPr>
              <w:t>December 31, 2015</w:t>
            </w:r>
          </w:p>
        </w:tc>
        <w:tc>
          <w:tcPr>
            <w:tcW w:w="24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20" w:type="dxa"/>
            <w:vAlign w:val="bottom"/>
          </w:tcPr>
          <w:p>
            <w:pPr>
              <w:spacing w:after="0"/>
              <w:rPr>
                <w:sz w:val="13"/>
                <w:szCs w:val="13"/>
                <w:color w:val="auto"/>
              </w:rPr>
            </w:pPr>
          </w:p>
        </w:tc>
      </w:tr>
      <w:tr>
        <w:trPr>
          <w:trHeight w:val="22"/>
        </w:trPr>
        <w:tc>
          <w:tcPr>
            <w:tcW w:w="3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r>
      <w:tr>
        <w:trPr>
          <w:trHeight w:val="178"/>
        </w:trPr>
        <w:tc>
          <w:tcPr>
            <w:tcW w:w="35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Total ≤ 1 year</w:t>
            </w:r>
          </w:p>
        </w:tc>
        <w:tc>
          <w:tcPr>
            <w:tcW w:w="240" w:type="dxa"/>
            <w:vAlign w:val="bottom"/>
            <w:tcBorders>
              <w:bottom w:val="single" w:sz="8" w:color="auto"/>
            </w:tcBorders>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shd w:val="clear" w:color="auto" w:fill="CCEEFF"/>
          </w:tcPr>
          <w:p>
            <w:pPr>
              <w:jc w:val="right"/>
              <w:ind w:right="68"/>
              <w:spacing w:after="0"/>
              <w:rPr>
                <w:sz w:val="20"/>
                <w:szCs w:val="20"/>
                <w:color w:val="auto"/>
              </w:rPr>
            </w:pPr>
            <w:r>
              <w:rPr>
                <w:rFonts w:ascii="Arial" w:cs="Arial" w:eastAsia="Arial" w:hAnsi="Arial"/>
                <w:sz w:val="11"/>
                <w:szCs w:val="11"/>
                <w:color w:val="auto"/>
              </w:rPr>
              <w:t>74</w:t>
            </w:r>
          </w:p>
        </w:tc>
        <w:tc>
          <w:tcPr>
            <w:tcW w:w="100" w:type="dxa"/>
            <w:vAlign w:val="bottom"/>
            <w:tcBorders>
              <w:bottom w:val="single" w:sz="8" w:color="CCEEFF"/>
            </w:tcBorders>
            <w:shd w:val="clear" w:color="auto" w:fill="CCEEFF"/>
          </w:tcPr>
          <w:p>
            <w:pPr>
              <w:spacing w:after="0"/>
              <w:rPr>
                <w:sz w:val="15"/>
                <w:szCs w:val="15"/>
                <w:color w:val="auto"/>
              </w:rPr>
            </w:pPr>
          </w:p>
        </w:tc>
        <w:tc>
          <w:tcPr>
            <w:tcW w:w="240" w:type="dxa"/>
            <w:vAlign w:val="bottom"/>
            <w:tcBorders>
              <w:bottom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w w:val="97"/>
              </w:rPr>
              <w:t>$</w:t>
            </w:r>
          </w:p>
        </w:tc>
        <w:tc>
          <w:tcPr>
            <w:tcW w:w="800" w:type="dxa"/>
            <w:vAlign w:val="bottom"/>
            <w:tcBorders>
              <w:bottom w:val="single" w:sz="8" w:color="auto"/>
            </w:tcBorders>
            <w:shd w:val="clear" w:color="auto" w:fill="CCEEFF"/>
          </w:tcPr>
          <w:p>
            <w:pPr>
              <w:jc w:val="right"/>
              <w:ind w:right="70"/>
              <w:spacing w:after="0"/>
              <w:rPr>
                <w:sz w:val="20"/>
                <w:szCs w:val="20"/>
                <w:color w:val="auto"/>
              </w:rPr>
            </w:pPr>
            <w:r>
              <w:rPr>
                <w:rFonts w:ascii="Arial" w:cs="Arial" w:eastAsia="Arial" w:hAnsi="Arial"/>
                <w:sz w:val="11"/>
                <w:szCs w:val="11"/>
                <w:color w:val="auto"/>
              </w:rPr>
              <w:t>17</w:t>
            </w:r>
          </w:p>
        </w:tc>
        <w:tc>
          <w:tcPr>
            <w:tcW w:w="120" w:type="dxa"/>
            <w:vAlign w:val="bottom"/>
            <w:tcBorders>
              <w:bottom w:val="single" w:sz="8" w:color="CCEEFF"/>
            </w:tcBorders>
            <w:shd w:val="clear" w:color="auto" w:fill="CCEEFF"/>
          </w:tcPr>
          <w:p>
            <w:pPr>
              <w:spacing w:after="0"/>
              <w:rPr>
                <w:sz w:val="15"/>
                <w:szCs w:val="15"/>
                <w:color w:val="auto"/>
              </w:rPr>
            </w:pPr>
          </w:p>
        </w:tc>
        <w:tc>
          <w:tcPr>
            <w:tcW w:w="10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71"/>
              </w:rPr>
              <w:t>4</w:t>
            </w: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w:t>
            </w:r>
          </w:p>
        </w:tc>
        <w:tc>
          <w:tcPr>
            <w:tcW w:w="820" w:type="dxa"/>
            <w:vAlign w:val="bottom"/>
            <w:tcBorders>
              <w:bottom w:val="single" w:sz="8" w:color="auto"/>
            </w:tcBorders>
            <w:shd w:val="clear" w:color="auto" w:fill="CCEEFF"/>
          </w:tcPr>
          <w:p>
            <w:pPr>
              <w:jc w:val="right"/>
              <w:ind w:right="69"/>
              <w:spacing w:after="0"/>
              <w:rPr>
                <w:sz w:val="20"/>
                <w:szCs w:val="20"/>
                <w:color w:val="auto"/>
              </w:rPr>
            </w:pPr>
            <w:r>
              <w:rPr>
                <w:rFonts w:ascii="Arial" w:cs="Arial" w:eastAsia="Arial" w:hAnsi="Arial"/>
                <w:sz w:val="11"/>
                <w:szCs w:val="11"/>
                <w:color w:val="auto"/>
              </w:rPr>
              <w:t>2,150</w:t>
            </w:r>
          </w:p>
        </w:tc>
        <w:tc>
          <w:tcPr>
            <w:tcW w:w="100" w:type="dxa"/>
            <w:vAlign w:val="bottom"/>
            <w:tcBorders>
              <w:bottom w:val="single" w:sz="8" w:color="CCEEFF"/>
            </w:tcBorders>
            <w:shd w:val="clear" w:color="auto" w:fill="CCEEFF"/>
          </w:tcPr>
          <w:p>
            <w:pPr>
              <w:spacing w:after="0"/>
              <w:rPr>
                <w:sz w:val="15"/>
                <w:szCs w:val="15"/>
                <w:color w:val="auto"/>
              </w:rPr>
            </w:pPr>
          </w:p>
        </w:tc>
        <w:tc>
          <w:tcPr>
            <w:tcW w:w="10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9"/>
              </w:rPr>
              <w:t>3.51%</w:t>
            </w:r>
          </w:p>
        </w:tc>
        <w:tc>
          <w:tcPr>
            <w:tcW w:w="100" w:type="dxa"/>
            <w:vAlign w:val="bottom"/>
            <w:tcBorders>
              <w:bottom w:val="single" w:sz="8" w:color="CCEEFF"/>
            </w:tcBorders>
            <w:shd w:val="clear" w:color="auto" w:fill="CCEEFF"/>
          </w:tcPr>
          <w:p>
            <w:pPr>
              <w:spacing w:after="0"/>
              <w:rPr>
                <w:sz w:val="15"/>
                <w:szCs w:val="15"/>
                <w:color w:val="auto"/>
              </w:rPr>
            </w:pPr>
          </w:p>
        </w:tc>
        <w:tc>
          <w:tcPr>
            <w:tcW w:w="10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91"/>
              </w:rPr>
              <w:t>3M</w:t>
            </w:r>
          </w:p>
        </w:tc>
        <w:tc>
          <w:tcPr>
            <w:tcW w:w="120" w:type="dxa"/>
            <w:vAlign w:val="bottom"/>
            <w:tcBorders>
              <w:bottom w:val="single" w:sz="8" w:color="CCEEFF"/>
            </w:tcBorders>
            <w:shd w:val="clear" w:color="auto" w:fill="CCEEFF"/>
          </w:tcPr>
          <w:p>
            <w:pPr>
              <w:spacing w:after="0"/>
              <w:rPr>
                <w:sz w:val="15"/>
                <w:szCs w:val="15"/>
                <w:color w:val="auto"/>
              </w:rPr>
            </w:pPr>
          </w:p>
        </w:tc>
        <w:tc>
          <w:tcPr>
            <w:tcW w:w="10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91"/>
              </w:rPr>
              <w:t>7.0</w:t>
            </w:r>
          </w:p>
        </w:tc>
      </w:tr>
    </w:tbl>
    <w:p>
      <w:pPr>
        <w:spacing w:after="0" w:line="207"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our U.S. Treasury securities as of September 30, 2016 and December 31, 2015 (in millions):</w:t>
      </w: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30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gridSpan w:val="2"/>
          </w:tcPr>
          <w:p>
            <w:pPr>
              <w:ind w:left="60"/>
              <w:spacing w:after="0"/>
              <w:rPr>
                <w:sz w:val="20"/>
                <w:szCs w:val="20"/>
                <w:color w:val="auto"/>
              </w:rPr>
            </w:pPr>
            <w:r>
              <w:rPr>
                <w:rFonts w:ascii="Arial" w:cs="Arial" w:eastAsia="Arial" w:hAnsi="Arial"/>
                <w:sz w:val="10"/>
                <w:szCs w:val="10"/>
                <w:b w:val="1"/>
                <w:bCs w:val="1"/>
                <w:color w:val="auto"/>
              </w:rPr>
              <w:t>September 30, 2016</w:t>
            </w:r>
          </w:p>
        </w:tc>
        <w:tc>
          <w:tcPr>
            <w:tcW w:w="20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200" w:type="dxa"/>
            <w:vAlign w:val="bottom"/>
            <w:tcBorders>
              <w:bottom w:val="single" w:sz="8" w:color="auto"/>
            </w:tcBorders>
            <w:gridSpan w:val="2"/>
          </w:tcPr>
          <w:p>
            <w:pPr>
              <w:ind w:left="40"/>
              <w:spacing w:after="0"/>
              <w:rPr>
                <w:sz w:val="20"/>
                <w:szCs w:val="20"/>
                <w:color w:val="auto"/>
              </w:rPr>
            </w:pPr>
            <w:r>
              <w:rPr>
                <w:rFonts w:ascii="Arial" w:cs="Arial" w:eastAsia="Arial" w:hAnsi="Arial"/>
                <w:sz w:val="10"/>
                <w:szCs w:val="10"/>
                <w:b w:val="1"/>
                <w:bCs w:val="1"/>
                <w:color w:val="auto"/>
              </w:rPr>
              <w:t>December 31, 2015</w:t>
            </w:r>
          </w:p>
        </w:tc>
        <w:tc>
          <w:tcPr>
            <w:tcW w:w="20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spacing w:after="0"/>
              <w:rPr>
                <w:sz w:val="11"/>
                <w:szCs w:val="11"/>
                <w:color w:val="auto"/>
              </w:rPr>
            </w:pPr>
          </w:p>
        </w:tc>
      </w:tr>
      <w:tr>
        <w:trPr>
          <w:trHeight w:val="96"/>
        </w:trPr>
        <w:tc>
          <w:tcPr>
            <w:tcW w:w="30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80" w:type="dxa"/>
            <w:vAlign w:val="bottom"/>
            <w:gridSpan w:val="2"/>
          </w:tcPr>
          <w:p>
            <w:pPr>
              <w:ind w:left="20"/>
              <w:spacing w:after="0" w:line="96" w:lineRule="exact"/>
              <w:rPr>
                <w:sz w:val="20"/>
                <w:szCs w:val="20"/>
                <w:color w:val="auto"/>
              </w:rPr>
            </w:pPr>
            <w:r>
              <w:rPr>
                <w:rFonts w:ascii="Arial" w:cs="Arial" w:eastAsia="Arial" w:hAnsi="Arial"/>
                <w:sz w:val="10"/>
                <w:szCs w:val="10"/>
                <w:b w:val="1"/>
                <w:bCs w:val="1"/>
                <w:color w:val="auto"/>
              </w:rPr>
              <w:t>Face Amount Net Long /</w:t>
            </w:r>
          </w:p>
        </w:tc>
        <w:tc>
          <w:tcPr>
            <w:tcW w:w="140" w:type="dxa"/>
            <w:vAlign w:val="bottom"/>
          </w:tcPr>
          <w:p>
            <w:pPr>
              <w:spacing w:after="0"/>
              <w:rPr>
                <w:sz w:val="8"/>
                <w:szCs w:val="8"/>
                <w:color w:val="auto"/>
              </w:rPr>
            </w:pPr>
          </w:p>
        </w:tc>
        <w:tc>
          <w:tcPr>
            <w:tcW w:w="110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320" w:type="dxa"/>
            <w:vAlign w:val="bottom"/>
            <w:gridSpan w:val="2"/>
          </w:tcPr>
          <w:p>
            <w:pPr>
              <w:ind w:left="40"/>
              <w:spacing w:after="0" w:line="96" w:lineRule="exact"/>
              <w:rPr>
                <w:sz w:val="20"/>
                <w:szCs w:val="20"/>
                <w:color w:val="auto"/>
              </w:rPr>
            </w:pPr>
            <w:r>
              <w:rPr>
                <w:rFonts w:ascii="Arial" w:cs="Arial" w:eastAsia="Arial" w:hAnsi="Arial"/>
                <w:sz w:val="10"/>
                <w:szCs w:val="10"/>
                <w:b w:val="1"/>
                <w:bCs w:val="1"/>
                <w:color w:val="auto"/>
              </w:rPr>
              <w:t>Face Amount Net Long /</w:t>
            </w:r>
          </w:p>
        </w:tc>
        <w:tc>
          <w:tcPr>
            <w:tcW w:w="140" w:type="dxa"/>
            <w:vAlign w:val="bottom"/>
          </w:tcPr>
          <w:p>
            <w:pPr>
              <w:spacing w:after="0"/>
              <w:rPr>
                <w:sz w:val="8"/>
                <w:szCs w:val="8"/>
                <w:color w:val="auto"/>
              </w:rPr>
            </w:pPr>
          </w:p>
        </w:tc>
        <w:tc>
          <w:tcPr>
            <w:tcW w:w="1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20" w:type="dxa"/>
            <w:vAlign w:val="bottom"/>
          </w:tcPr>
          <w:p>
            <w:pPr>
              <w:spacing w:after="0"/>
              <w:rPr>
                <w:sz w:val="8"/>
                <w:szCs w:val="8"/>
                <w:color w:val="auto"/>
              </w:rPr>
            </w:pPr>
          </w:p>
        </w:tc>
      </w:tr>
      <w:tr>
        <w:trPr>
          <w:trHeight w:val="128"/>
        </w:trPr>
        <w:tc>
          <w:tcPr>
            <w:tcW w:w="302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Maturity</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jc w:val="right"/>
              <w:ind w:right="428"/>
              <w:spacing w:after="0"/>
              <w:rPr>
                <w:sz w:val="20"/>
                <w:szCs w:val="20"/>
                <w:color w:val="auto"/>
              </w:rPr>
            </w:pPr>
            <w:r>
              <w:rPr>
                <w:rFonts w:ascii="Arial" w:cs="Arial" w:eastAsia="Arial" w:hAnsi="Arial"/>
                <w:sz w:val="10"/>
                <w:szCs w:val="10"/>
                <w:b w:val="1"/>
                <w:bCs w:val="1"/>
                <w:color w:val="auto"/>
              </w:rPr>
              <w:t>(Short)</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jc w:val="right"/>
              <w:ind w:right="348"/>
              <w:spacing w:after="0"/>
              <w:rPr>
                <w:sz w:val="20"/>
                <w:szCs w:val="20"/>
                <w:color w:val="auto"/>
              </w:rPr>
            </w:pPr>
            <w:r>
              <w:rPr>
                <w:rFonts w:ascii="Arial" w:cs="Arial" w:eastAsia="Arial" w:hAnsi="Arial"/>
                <w:sz w:val="10"/>
                <w:szCs w:val="10"/>
                <w:b w:val="1"/>
                <w:bCs w:val="1"/>
                <w:color w:val="auto"/>
              </w:rPr>
              <w:t>Cost Basis</w:t>
            </w:r>
          </w:p>
        </w:tc>
        <w:tc>
          <w:tcPr>
            <w:tcW w:w="12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jc w:val="right"/>
              <w:ind w:right="287"/>
              <w:spacing w:after="0"/>
              <w:rPr>
                <w:sz w:val="20"/>
                <w:szCs w:val="20"/>
                <w:color w:val="auto"/>
              </w:rPr>
            </w:pPr>
            <w:r>
              <w:rPr>
                <w:rFonts w:ascii="Arial" w:cs="Arial" w:eastAsia="Arial" w:hAnsi="Arial"/>
                <w:sz w:val="10"/>
                <w:szCs w:val="10"/>
                <w:b w:val="1"/>
                <w:bCs w:val="1"/>
                <w:color w:val="auto"/>
              </w:rPr>
              <w:t>Market Value</w:t>
            </w:r>
          </w:p>
        </w:tc>
        <w:tc>
          <w:tcPr>
            <w:tcW w:w="10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tcPr>
          <w:p>
            <w:pPr>
              <w:jc w:val="right"/>
              <w:ind w:right="468"/>
              <w:spacing w:after="0"/>
              <w:rPr>
                <w:sz w:val="20"/>
                <w:szCs w:val="20"/>
                <w:color w:val="auto"/>
              </w:rPr>
            </w:pPr>
            <w:r>
              <w:rPr>
                <w:rFonts w:ascii="Arial" w:cs="Arial" w:eastAsia="Arial" w:hAnsi="Arial"/>
                <w:sz w:val="10"/>
                <w:szCs w:val="10"/>
                <w:b w:val="1"/>
                <w:bCs w:val="1"/>
                <w:color w:val="auto"/>
              </w:rPr>
              <w:t>(Short)</w:t>
            </w:r>
          </w:p>
        </w:tc>
        <w:tc>
          <w:tcPr>
            <w:tcW w:w="10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jc w:val="right"/>
              <w:ind w:right="348"/>
              <w:spacing w:after="0"/>
              <w:rPr>
                <w:sz w:val="20"/>
                <w:szCs w:val="20"/>
                <w:color w:val="auto"/>
              </w:rPr>
            </w:pPr>
            <w:r>
              <w:rPr>
                <w:rFonts w:ascii="Arial" w:cs="Arial" w:eastAsia="Arial" w:hAnsi="Arial"/>
                <w:sz w:val="10"/>
                <w:szCs w:val="10"/>
                <w:b w:val="1"/>
                <w:bCs w:val="1"/>
                <w:color w:val="auto"/>
              </w:rPr>
              <w:t>Cost Basis</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jc w:val="right"/>
              <w:ind w:right="267"/>
              <w:spacing w:after="0"/>
              <w:rPr>
                <w:sz w:val="20"/>
                <w:szCs w:val="20"/>
                <w:color w:val="auto"/>
              </w:rPr>
            </w:pPr>
            <w:r>
              <w:rPr>
                <w:rFonts w:ascii="Arial" w:cs="Arial" w:eastAsia="Arial" w:hAnsi="Arial"/>
                <w:sz w:val="10"/>
                <w:szCs w:val="10"/>
                <w:b w:val="1"/>
                <w:bCs w:val="1"/>
                <w:color w:val="auto"/>
              </w:rPr>
              <w:t>Market Value</w:t>
            </w:r>
          </w:p>
        </w:tc>
      </w:tr>
      <w:tr>
        <w:trPr>
          <w:trHeight w:val="144"/>
        </w:trPr>
        <w:tc>
          <w:tcPr>
            <w:tcW w:w="31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5 years</w:t>
            </w: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w w:val="97"/>
              </w:rPr>
              <w:t>$</w:t>
            </w:r>
          </w:p>
        </w:tc>
        <w:tc>
          <w:tcPr>
            <w:tcW w:w="116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(1,670)</w:t>
            </w:r>
          </w:p>
        </w:tc>
        <w:tc>
          <w:tcPr>
            <w:tcW w:w="12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CCEEFF"/>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(1,683)</w:t>
            </w:r>
          </w:p>
        </w:tc>
        <w:tc>
          <w:tcPr>
            <w:tcW w:w="12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102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(1,688)</w:t>
            </w:r>
          </w:p>
        </w:tc>
        <w:tc>
          <w:tcPr>
            <w:tcW w:w="10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w w:val="97"/>
              </w:rPr>
              <w:t>$</w:t>
            </w:r>
          </w:p>
        </w:tc>
        <w:tc>
          <w:tcPr>
            <w:tcW w:w="12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(250)</w:t>
            </w:r>
          </w:p>
        </w:tc>
        <w:tc>
          <w:tcPr>
            <w:tcW w:w="10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1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(249)</w:t>
            </w:r>
          </w:p>
        </w:tc>
        <w:tc>
          <w:tcPr>
            <w:tcW w:w="1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7"/>
              <w:spacing w:after="0"/>
              <w:rPr>
                <w:sz w:val="20"/>
                <w:szCs w:val="20"/>
                <w:color w:val="auto"/>
              </w:rPr>
            </w:pPr>
            <w:r>
              <w:rPr>
                <w:rFonts w:ascii="Arial" w:cs="Arial" w:eastAsia="Arial" w:hAnsi="Arial"/>
                <w:sz w:val="11"/>
                <w:szCs w:val="11"/>
                <w:color w:val="auto"/>
              </w:rPr>
              <w:t>(249)</w:t>
            </w:r>
          </w:p>
        </w:tc>
      </w:tr>
      <w:tr>
        <w:trPr>
          <w:trHeight w:val="158"/>
        </w:trPr>
        <w:tc>
          <w:tcPr>
            <w:tcW w:w="3140" w:type="dxa"/>
            <w:vAlign w:val="bottom"/>
            <w:gridSpan w:val="2"/>
          </w:tcPr>
          <w:p>
            <w:pPr>
              <w:ind w:left="20"/>
              <w:spacing w:after="0"/>
              <w:rPr>
                <w:sz w:val="20"/>
                <w:szCs w:val="20"/>
                <w:color w:val="auto"/>
              </w:rPr>
            </w:pPr>
            <w:r>
              <w:rPr>
                <w:rFonts w:ascii="Arial" w:cs="Arial" w:eastAsia="Arial" w:hAnsi="Arial"/>
                <w:sz w:val="11"/>
                <w:szCs w:val="11"/>
                <w:color w:val="auto"/>
              </w:rPr>
              <w:t>7 years</w:t>
            </w:r>
          </w:p>
        </w:tc>
        <w:tc>
          <w:tcPr>
            <w:tcW w:w="100" w:type="dxa"/>
            <w:vAlign w:val="bottom"/>
          </w:tcPr>
          <w:p>
            <w:pPr>
              <w:spacing w:after="0"/>
              <w:rPr>
                <w:sz w:val="13"/>
                <w:szCs w:val="13"/>
                <w:color w:val="auto"/>
              </w:rPr>
            </w:pPr>
          </w:p>
        </w:tc>
        <w:tc>
          <w:tcPr>
            <w:tcW w:w="1160" w:type="dxa"/>
            <w:vAlign w:val="bottom"/>
          </w:tcPr>
          <w:p>
            <w:pPr>
              <w:jc w:val="right"/>
              <w:ind w:right="28"/>
              <w:spacing w:after="0"/>
              <w:rPr>
                <w:sz w:val="20"/>
                <w:szCs w:val="20"/>
                <w:color w:val="auto"/>
              </w:rPr>
            </w:pPr>
            <w:r>
              <w:rPr>
                <w:rFonts w:ascii="Arial" w:cs="Arial" w:eastAsia="Arial" w:hAnsi="Arial"/>
                <w:sz w:val="11"/>
                <w:szCs w:val="11"/>
                <w:color w:val="auto"/>
              </w:rPr>
              <w:t>(2,941)</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28"/>
              <w:spacing w:after="0"/>
              <w:rPr>
                <w:sz w:val="20"/>
                <w:szCs w:val="20"/>
                <w:color w:val="auto"/>
              </w:rPr>
            </w:pPr>
            <w:r>
              <w:rPr>
                <w:rFonts w:ascii="Arial" w:cs="Arial" w:eastAsia="Arial" w:hAnsi="Arial"/>
                <w:sz w:val="11"/>
                <w:szCs w:val="11"/>
                <w:color w:val="auto"/>
              </w:rPr>
              <w:t>(2,930)</w:t>
            </w: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20" w:type="dxa"/>
            <w:vAlign w:val="bottom"/>
          </w:tcPr>
          <w:p>
            <w:pPr>
              <w:jc w:val="right"/>
              <w:ind w:right="27"/>
              <w:spacing w:after="0"/>
              <w:rPr>
                <w:sz w:val="20"/>
                <w:szCs w:val="20"/>
                <w:color w:val="auto"/>
              </w:rPr>
            </w:pPr>
            <w:r>
              <w:rPr>
                <w:rFonts w:ascii="Arial" w:cs="Arial" w:eastAsia="Arial" w:hAnsi="Arial"/>
                <w:sz w:val="11"/>
                <w:szCs w:val="11"/>
                <w:color w:val="auto"/>
              </w:rPr>
              <w:t>(2,959)</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20" w:type="dxa"/>
            <w:vAlign w:val="bottom"/>
          </w:tcPr>
          <w:p>
            <w:pPr>
              <w:jc w:val="right"/>
              <w:ind w:right="28"/>
              <w:spacing w:after="0"/>
              <w:rPr>
                <w:sz w:val="20"/>
                <w:szCs w:val="20"/>
                <w:color w:val="auto"/>
              </w:rPr>
            </w:pPr>
            <w:r>
              <w:rPr>
                <w:rFonts w:ascii="Arial" w:cs="Arial" w:eastAsia="Arial" w:hAnsi="Arial"/>
                <w:sz w:val="11"/>
                <w:szCs w:val="11"/>
                <w:color w:val="auto"/>
              </w:rPr>
              <w:t>(354)</w:t>
            </w: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28"/>
              <w:spacing w:after="0"/>
              <w:rPr>
                <w:sz w:val="20"/>
                <w:szCs w:val="20"/>
                <w:color w:val="auto"/>
              </w:rPr>
            </w:pPr>
            <w:r>
              <w:rPr>
                <w:rFonts w:ascii="Arial" w:cs="Arial" w:eastAsia="Arial" w:hAnsi="Arial"/>
                <w:sz w:val="11"/>
                <w:szCs w:val="11"/>
                <w:color w:val="auto"/>
              </w:rPr>
              <w:t>(353)</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20" w:type="dxa"/>
            <w:vAlign w:val="bottom"/>
          </w:tcPr>
          <w:p>
            <w:pPr>
              <w:jc w:val="right"/>
              <w:ind w:right="7"/>
              <w:spacing w:after="0"/>
              <w:rPr>
                <w:sz w:val="20"/>
                <w:szCs w:val="20"/>
                <w:color w:val="auto"/>
              </w:rPr>
            </w:pPr>
            <w:r>
              <w:rPr>
                <w:rFonts w:ascii="Arial" w:cs="Arial" w:eastAsia="Arial" w:hAnsi="Arial"/>
                <w:sz w:val="11"/>
                <w:szCs w:val="11"/>
                <w:color w:val="auto"/>
              </w:rPr>
              <w:t>(352)</w:t>
            </w:r>
          </w:p>
        </w:tc>
      </w:tr>
      <w:tr>
        <w:trPr>
          <w:trHeight w:val="22"/>
        </w:trPr>
        <w:tc>
          <w:tcPr>
            <w:tcW w:w="3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r>
      <w:tr>
        <w:trPr>
          <w:trHeight w:val="180"/>
        </w:trPr>
        <w:tc>
          <w:tcPr>
            <w:tcW w:w="31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10 years</w:t>
            </w:r>
          </w:p>
        </w:tc>
        <w:tc>
          <w:tcPr>
            <w:tcW w:w="100" w:type="dxa"/>
            <w:vAlign w:val="bottom"/>
            <w:tcBorders>
              <w:bottom w:val="single" w:sz="8" w:color="CCEEFF"/>
            </w:tcBorders>
            <w:shd w:val="clear" w:color="auto" w:fill="CCEEFF"/>
          </w:tcPr>
          <w:p>
            <w:pPr>
              <w:spacing w:after="0"/>
              <w:rPr>
                <w:sz w:val="15"/>
                <w:szCs w:val="15"/>
                <w:color w:val="auto"/>
              </w:rPr>
            </w:pPr>
          </w:p>
        </w:tc>
        <w:tc>
          <w:tcPr>
            <w:tcW w:w="116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(700)</w:t>
            </w:r>
          </w:p>
        </w:tc>
        <w:tc>
          <w:tcPr>
            <w:tcW w:w="120" w:type="dxa"/>
            <w:vAlign w:val="bottom"/>
            <w:tcBorders>
              <w:bottom w:val="single" w:sz="8" w:color="CCEEFF"/>
            </w:tcBorders>
            <w:shd w:val="clear" w:color="auto" w:fill="CCEEFF"/>
          </w:tcPr>
          <w:p>
            <w:pPr>
              <w:spacing w:after="0"/>
              <w:rPr>
                <w:sz w:val="15"/>
                <w:szCs w:val="15"/>
                <w:color w:val="auto"/>
              </w:rPr>
            </w:pPr>
          </w:p>
        </w:tc>
        <w:tc>
          <w:tcPr>
            <w:tcW w:w="140" w:type="dxa"/>
            <w:vAlign w:val="bottom"/>
            <w:tcBorders>
              <w:bottom w:val="single" w:sz="8" w:color="CCEEFF"/>
            </w:tcBorders>
            <w:shd w:val="clear" w:color="auto" w:fill="CCEEFF"/>
          </w:tcPr>
          <w:p>
            <w:pPr>
              <w:spacing w:after="0"/>
              <w:rPr>
                <w:sz w:val="15"/>
                <w:szCs w:val="15"/>
                <w:color w:val="auto"/>
              </w:rPr>
            </w:pPr>
          </w:p>
        </w:tc>
        <w:tc>
          <w:tcPr>
            <w:tcW w:w="11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(697)</w:t>
            </w:r>
          </w:p>
        </w:tc>
        <w:tc>
          <w:tcPr>
            <w:tcW w:w="12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102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(732)</w:t>
            </w:r>
          </w:p>
        </w:tc>
        <w:tc>
          <w:tcPr>
            <w:tcW w:w="10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2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(1,085)</w:t>
            </w:r>
          </w:p>
        </w:tc>
        <w:tc>
          <w:tcPr>
            <w:tcW w:w="100" w:type="dxa"/>
            <w:vAlign w:val="bottom"/>
            <w:tcBorders>
              <w:bottom w:val="single" w:sz="8" w:color="CCEEFF"/>
            </w:tcBorders>
            <w:shd w:val="clear" w:color="auto" w:fill="CCEEFF"/>
          </w:tcPr>
          <w:p>
            <w:pPr>
              <w:spacing w:after="0"/>
              <w:rPr>
                <w:sz w:val="15"/>
                <w:szCs w:val="15"/>
                <w:color w:val="auto"/>
              </w:rPr>
            </w:pPr>
          </w:p>
        </w:tc>
        <w:tc>
          <w:tcPr>
            <w:tcW w:w="140" w:type="dxa"/>
            <w:vAlign w:val="bottom"/>
            <w:tcBorders>
              <w:bottom w:val="single" w:sz="8" w:color="CCEEFF"/>
            </w:tcBorders>
            <w:shd w:val="clear" w:color="auto" w:fill="CCEEFF"/>
          </w:tcPr>
          <w:p>
            <w:pPr>
              <w:spacing w:after="0"/>
              <w:rPr>
                <w:sz w:val="15"/>
                <w:szCs w:val="15"/>
                <w:color w:val="auto"/>
              </w:rPr>
            </w:pPr>
          </w:p>
        </w:tc>
        <w:tc>
          <w:tcPr>
            <w:tcW w:w="11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(1,078)</w:t>
            </w: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1020" w:type="dxa"/>
            <w:vAlign w:val="bottom"/>
            <w:tcBorders>
              <w:bottom w:val="single" w:sz="8" w:color="CCEEFF"/>
            </w:tcBorders>
            <w:shd w:val="clear" w:color="auto" w:fill="CCEEFF"/>
          </w:tcPr>
          <w:p>
            <w:pPr>
              <w:jc w:val="right"/>
              <w:ind w:right="7"/>
              <w:spacing w:after="0"/>
              <w:rPr>
                <w:sz w:val="20"/>
                <w:szCs w:val="20"/>
                <w:color w:val="auto"/>
              </w:rPr>
            </w:pPr>
            <w:r>
              <w:rPr>
                <w:rFonts w:ascii="Arial" w:cs="Arial" w:eastAsia="Arial" w:hAnsi="Arial"/>
                <w:sz w:val="11"/>
                <w:szCs w:val="11"/>
                <w:color w:val="auto"/>
              </w:rPr>
              <w:t>(1,070)</w:t>
            </w:r>
          </w:p>
        </w:tc>
      </w:tr>
      <w:tr>
        <w:trPr>
          <w:trHeight w:val="167"/>
        </w:trPr>
        <w:tc>
          <w:tcPr>
            <w:tcW w:w="3140" w:type="dxa"/>
            <w:vAlign w:val="bottom"/>
            <w:gridSpan w:val="2"/>
          </w:tcPr>
          <w:p>
            <w:pPr>
              <w:ind w:left="20"/>
              <w:spacing w:after="0"/>
              <w:rPr>
                <w:sz w:val="20"/>
                <w:szCs w:val="20"/>
                <w:color w:val="auto"/>
              </w:rPr>
            </w:pPr>
            <w:r>
              <w:rPr>
                <w:rFonts w:ascii="Arial" w:cs="Arial" w:eastAsia="Arial" w:hAnsi="Arial"/>
                <w:sz w:val="11"/>
                <w:szCs w:val="11"/>
                <w:color w:val="auto"/>
              </w:rPr>
              <w:t>Total U.S. Treasury securities, net</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w w:val="97"/>
              </w:rPr>
              <w:t>$</w:t>
            </w:r>
          </w:p>
        </w:tc>
        <w:tc>
          <w:tcPr>
            <w:tcW w:w="1160" w:type="dxa"/>
            <w:vAlign w:val="bottom"/>
            <w:tcBorders>
              <w:top w:val="single" w:sz="8" w:color="auto"/>
              <w:bottom w:val="single" w:sz="8" w:color="auto"/>
            </w:tcBorders>
          </w:tcPr>
          <w:p>
            <w:pPr>
              <w:jc w:val="right"/>
              <w:ind w:right="28"/>
              <w:spacing w:after="0"/>
              <w:rPr>
                <w:sz w:val="20"/>
                <w:szCs w:val="20"/>
                <w:color w:val="auto"/>
              </w:rPr>
            </w:pPr>
            <w:r>
              <w:rPr>
                <w:rFonts w:ascii="Arial" w:cs="Arial" w:eastAsia="Arial" w:hAnsi="Arial"/>
                <w:sz w:val="11"/>
                <w:szCs w:val="11"/>
                <w:color w:val="auto"/>
              </w:rPr>
              <w:t>(5,311)</w:t>
            </w:r>
          </w:p>
        </w:tc>
        <w:tc>
          <w:tcPr>
            <w:tcW w:w="12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top w:val="single" w:sz="8" w:color="auto"/>
              <w:bottom w:val="single" w:sz="8" w:color="auto"/>
            </w:tcBorders>
          </w:tcPr>
          <w:p>
            <w:pPr>
              <w:jc w:val="right"/>
              <w:ind w:right="28"/>
              <w:spacing w:after="0"/>
              <w:rPr>
                <w:sz w:val="20"/>
                <w:szCs w:val="20"/>
                <w:color w:val="auto"/>
              </w:rPr>
            </w:pPr>
            <w:r>
              <w:rPr>
                <w:rFonts w:ascii="Arial" w:cs="Arial" w:eastAsia="Arial" w:hAnsi="Arial"/>
                <w:sz w:val="11"/>
                <w:szCs w:val="11"/>
                <w:color w:val="auto"/>
              </w:rPr>
              <w:t>(5,310)</w:t>
            </w:r>
          </w:p>
        </w:tc>
        <w:tc>
          <w:tcPr>
            <w:tcW w:w="120" w:type="dxa"/>
            <w:vAlign w:val="bottom"/>
          </w:tcPr>
          <w:p>
            <w:pPr>
              <w:spacing w:after="0"/>
              <w:rPr>
                <w:sz w:val="14"/>
                <w:szCs w:val="14"/>
                <w:color w:val="auto"/>
              </w:rPr>
            </w:pPr>
          </w:p>
        </w:tc>
        <w:tc>
          <w:tcPr>
            <w:tcW w:w="200" w:type="dxa"/>
            <w:vAlign w:val="bottom"/>
            <w:tcBorders>
              <w:top w:val="single" w:sz="8" w:color="auto"/>
              <w:bottom w:val="single" w:sz="8" w:color="auto"/>
            </w:tcBorders>
          </w:tcPr>
          <w:p>
            <w:pPr>
              <w:jc w:val="right"/>
              <w:ind w:right="91"/>
              <w:spacing w:after="0"/>
              <w:rPr>
                <w:sz w:val="20"/>
                <w:szCs w:val="20"/>
                <w:color w:val="auto"/>
              </w:rPr>
            </w:pPr>
            <w:r>
              <w:rPr>
                <w:rFonts w:ascii="Arial" w:cs="Arial" w:eastAsia="Arial" w:hAnsi="Arial"/>
                <w:sz w:val="10"/>
                <w:szCs w:val="10"/>
                <w:color w:val="auto"/>
                <w:w w:val="71"/>
              </w:rPr>
              <w:t>$</w:t>
            </w:r>
          </w:p>
        </w:tc>
        <w:tc>
          <w:tcPr>
            <w:tcW w:w="1020" w:type="dxa"/>
            <w:vAlign w:val="bottom"/>
            <w:tcBorders>
              <w:top w:val="single" w:sz="8" w:color="auto"/>
              <w:bottom w:val="single" w:sz="8" w:color="auto"/>
            </w:tcBorders>
          </w:tcPr>
          <w:p>
            <w:pPr>
              <w:jc w:val="right"/>
              <w:ind w:right="27"/>
              <w:spacing w:after="0"/>
              <w:rPr>
                <w:sz w:val="20"/>
                <w:szCs w:val="20"/>
                <w:color w:val="auto"/>
              </w:rPr>
            </w:pPr>
            <w:r>
              <w:rPr>
                <w:rFonts w:ascii="Arial" w:cs="Arial" w:eastAsia="Arial" w:hAnsi="Arial"/>
                <w:sz w:val="11"/>
                <w:szCs w:val="11"/>
                <w:color w:val="auto"/>
              </w:rPr>
              <w:t>(5,379)</w:t>
            </w:r>
          </w:p>
        </w:tc>
        <w:tc>
          <w:tcPr>
            <w:tcW w:w="100" w:type="dxa"/>
            <w:vAlign w:val="bottom"/>
          </w:tcPr>
          <w:p>
            <w:pPr>
              <w:spacing w:after="0"/>
              <w:rPr>
                <w:sz w:val="14"/>
                <w:szCs w:val="14"/>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w w:val="97"/>
              </w:rPr>
              <w:t>$</w:t>
            </w:r>
          </w:p>
        </w:tc>
        <w:tc>
          <w:tcPr>
            <w:tcW w:w="1220" w:type="dxa"/>
            <w:vAlign w:val="bottom"/>
            <w:tcBorders>
              <w:top w:val="single" w:sz="8" w:color="auto"/>
              <w:bottom w:val="single" w:sz="8" w:color="auto"/>
            </w:tcBorders>
          </w:tcPr>
          <w:p>
            <w:pPr>
              <w:jc w:val="right"/>
              <w:ind w:right="28"/>
              <w:spacing w:after="0"/>
              <w:rPr>
                <w:sz w:val="20"/>
                <w:szCs w:val="20"/>
                <w:color w:val="auto"/>
              </w:rPr>
            </w:pPr>
            <w:r>
              <w:rPr>
                <w:rFonts w:ascii="Arial" w:cs="Arial" w:eastAsia="Arial" w:hAnsi="Arial"/>
                <w:sz w:val="11"/>
                <w:szCs w:val="11"/>
                <w:color w:val="auto"/>
              </w:rPr>
              <w:t>(1,689)</w:t>
            </w:r>
          </w:p>
        </w:tc>
        <w:tc>
          <w:tcPr>
            <w:tcW w:w="10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ind w:right="6"/>
              <w:spacing w:after="0"/>
              <w:rPr>
                <w:sz w:val="20"/>
                <w:szCs w:val="20"/>
                <w:color w:val="auto"/>
              </w:rPr>
            </w:pPr>
            <w:r>
              <w:rPr>
                <w:rFonts w:ascii="Arial" w:cs="Arial" w:eastAsia="Arial" w:hAnsi="Arial"/>
                <w:sz w:val="11"/>
                <w:szCs w:val="11"/>
                <w:color w:val="auto"/>
                <w:w w:val="97"/>
              </w:rPr>
              <w:t>$</w:t>
            </w:r>
          </w:p>
        </w:tc>
        <w:tc>
          <w:tcPr>
            <w:tcW w:w="1100" w:type="dxa"/>
            <w:vAlign w:val="bottom"/>
            <w:tcBorders>
              <w:top w:val="single" w:sz="8" w:color="auto"/>
              <w:bottom w:val="single" w:sz="8" w:color="auto"/>
            </w:tcBorders>
          </w:tcPr>
          <w:p>
            <w:pPr>
              <w:jc w:val="right"/>
              <w:ind w:right="28"/>
              <w:spacing w:after="0"/>
              <w:rPr>
                <w:sz w:val="20"/>
                <w:szCs w:val="20"/>
                <w:color w:val="auto"/>
              </w:rPr>
            </w:pPr>
            <w:r>
              <w:rPr>
                <w:rFonts w:ascii="Arial" w:cs="Arial" w:eastAsia="Arial" w:hAnsi="Arial"/>
                <w:sz w:val="11"/>
                <w:szCs w:val="11"/>
                <w:color w:val="auto"/>
              </w:rPr>
              <w:t>(1,680)</w:t>
            </w:r>
          </w:p>
        </w:tc>
        <w:tc>
          <w:tcPr>
            <w:tcW w:w="100" w:type="dxa"/>
            <w:vAlign w:val="bottom"/>
          </w:tcPr>
          <w:p>
            <w:pPr>
              <w:spacing w:after="0"/>
              <w:rPr>
                <w:sz w:val="14"/>
                <w:szCs w:val="14"/>
                <w:color w:val="auto"/>
              </w:rPr>
            </w:pPr>
          </w:p>
        </w:tc>
        <w:tc>
          <w:tcPr>
            <w:tcW w:w="200" w:type="dxa"/>
            <w:vAlign w:val="bottom"/>
            <w:tcBorders>
              <w:top w:val="single" w:sz="8" w:color="auto"/>
              <w:bottom w:val="single" w:sz="8" w:color="auto"/>
            </w:tcBorders>
          </w:tcPr>
          <w:p>
            <w:pPr>
              <w:jc w:val="right"/>
              <w:ind w:right="66"/>
              <w:spacing w:after="0"/>
              <w:rPr>
                <w:sz w:val="20"/>
                <w:szCs w:val="20"/>
                <w:color w:val="auto"/>
              </w:rPr>
            </w:pPr>
            <w:r>
              <w:rPr>
                <w:rFonts w:ascii="Arial" w:cs="Arial" w:eastAsia="Arial" w:hAnsi="Arial"/>
                <w:sz w:val="11"/>
                <w:szCs w:val="11"/>
                <w:color w:val="auto"/>
                <w:w w:val="97"/>
              </w:rPr>
              <w:t>$</w:t>
            </w:r>
          </w:p>
        </w:tc>
        <w:tc>
          <w:tcPr>
            <w:tcW w:w="1020" w:type="dxa"/>
            <w:vAlign w:val="bottom"/>
            <w:tcBorders>
              <w:top w:val="single" w:sz="8" w:color="auto"/>
              <w:bottom w:val="single" w:sz="8" w:color="auto"/>
            </w:tcBorders>
          </w:tcPr>
          <w:p>
            <w:pPr>
              <w:jc w:val="right"/>
              <w:ind w:right="7"/>
              <w:spacing w:after="0"/>
              <w:rPr>
                <w:sz w:val="20"/>
                <w:szCs w:val="20"/>
                <w:color w:val="auto"/>
              </w:rPr>
            </w:pPr>
            <w:r>
              <w:rPr>
                <w:rFonts w:ascii="Arial" w:cs="Arial" w:eastAsia="Arial" w:hAnsi="Arial"/>
                <w:sz w:val="11"/>
                <w:szCs w:val="11"/>
                <w:color w:val="auto"/>
              </w:rPr>
              <w:t>(1,671)</w:t>
            </w:r>
          </w:p>
        </w:tc>
      </w:tr>
    </w:tbl>
    <w:p>
      <w:pPr>
        <w:spacing w:after="0" w:line="207"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our U.S. Treasury futures as of September 30, 2016 and December 31, 2015 (in millions):</w:t>
      </w: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27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gridSpan w:val="3"/>
          </w:tcPr>
          <w:p>
            <w:pPr>
              <w:jc w:val="right"/>
              <w:spacing w:after="0"/>
              <w:rPr>
                <w:sz w:val="20"/>
                <w:szCs w:val="20"/>
                <w:color w:val="auto"/>
              </w:rPr>
            </w:pPr>
            <w:r>
              <w:rPr>
                <w:rFonts w:ascii="Arial" w:cs="Arial" w:eastAsia="Arial" w:hAnsi="Arial"/>
                <w:sz w:val="10"/>
                <w:szCs w:val="10"/>
                <w:b w:val="1"/>
                <w:bCs w:val="1"/>
                <w:color w:val="auto"/>
              </w:rPr>
              <w:t>September 30, 2016</w:t>
            </w:r>
          </w:p>
        </w:tc>
        <w:tc>
          <w:tcPr>
            <w:tcW w:w="6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gridSpan w:val="3"/>
          </w:tcPr>
          <w:p>
            <w:pPr>
              <w:jc w:val="right"/>
              <w:ind w:right="12"/>
              <w:spacing w:after="0"/>
              <w:rPr>
                <w:sz w:val="20"/>
                <w:szCs w:val="20"/>
                <w:color w:val="auto"/>
              </w:rPr>
            </w:pPr>
            <w:r>
              <w:rPr>
                <w:rFonts w:ascii="Arial" w:cs="Arial" w:eastAsia="Arial" w:hAnsi="Arial"/>
                <w:sz w:val="10"/>
                <w:szCs w:val="10"/>
                <w:b w:val="1"/>
                <w:bCs w:val="1"/>
                <w:color w:val="auto"/>
              </w:rPr>
              <w:t>December 31, 2015</w:t>
            </w:r>
          </w:p>
        </w:tc>
        <w:tc>
          <w:tcPr>
            <w:tcW w:w="6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r>
      <w:tr>
        <w:trPr>
          <w:trHeight w:val="90"/>
        </w:trPr>
        <w:tc>
          <w:tcPr>
            <w:tcW w:w="27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80" w:type="dxa"/>
            <w:vAlign w:val="bottom"/>
            <w:gridSpan w:val="2"/>
          </w:tcPr>
          <w:p>
            <w:pPr>
              <w:ind w:left="320"/>
              <w:spacing w:after="0" w:line="91" w:lineRule="exact"/>
              <w:rPr>
                <w:sz w:val="20"/>
                <w:szCs w:val="20"/>
                <w:color w:val="auto"/>
              </w:rPr>
            </w:pPr>
            <w:r>
              <w:rPr>
                <w:rFonts w:ascii="Arial" w:cs="Arial" w:eastAsia="Arial" w:hAnsi="Arial"/>
                <w:sz w:val="8"/>
                <w:szCs w:val="8"/>
                <w:b w:val="1"/>
                <w:bCs w:val="1"/>
                <w:color w:val="auto"/>
              </w:rPr>
              <w:t>Notional</w:t>
            </w:r>
          </w:p>
        </w:tc>
        <w:tc>
          <w:tcPr>
            <w:tcW w:w="200" w:type="dxa"/>
            <w:vAlign w:val="bottom"/>
          </w:tcPr>
          <w:p>
            <w:pPr>
              <w:spacing w:after="0"/>
              <w:rPr>
                <w:sz w:val="7"/>
                <w:szCs w:val="7"/>
                <w:color w:val="auto"/>
              </w:rPr>
            </w:pPr>
          </w:p>
        </w:tc>
        <w:tc>
          <w:tcPr>
            <w:tcW w:w="840" w:type="dxa"/>
            <w:vAlign w:val="bottom"/>
            <w:gridSpan w:val="2"/>
          </w:tcPr>
          <w:p>
            <w:pPr>
              <w:ind w:left="180"/>
              <w:spacing w:after="0" w:line="91" w:lineRule="exact"/>
              <w:rPr>
                <w:sz w:val="20"/>
                <w:szCs w:val="20"/>
                <w:color w:val="auto"/>
              </w:rPr>
            </w:pPr>
            <w:r>
              <w:rPr>
                <w:rFonts w:ascii="Arial" w:cs="Arial" w:eastAsia="Arial" w:hAnsi="Arial"/>
                <w:sz w:val="8"/>
                <w:szCs w:val="8"/>
                <w:b w:val="1"/>
                <w:bCs w:val="1"/>
                <w:color w:val="auto"/>
              </w:rPr>
              <w:t>Cost</w:t>
            </w:r>
          </w:p>
        </w:tc>
        <w:tc>
          <w:tcPr>
            <w:tcW w:w="280" w:type="dxa"/>
            <w:vAlign w:val="bottom"/>
          </w:tcPr>
          <w:p>
            <w:pPr>
              <w:spacing w:after="0"/>
              <w:rPr>
                <w:sz w:val="7"/>
                <w:szCs w:val="7"/>
                <w:color w:val="auto"/>
              </w:rPr>
            </w:pPr>
          </w:p>
        </w:tc>
        <w:tc>
          <w:tcPr>
            <w:tcW w:w="760" w:type="dxa"/>
            <w:vAlign w:val="bottom"/>
            <w:gridSpan w:val="2"/>
          </w:tcPr>
          <w:p>
            <w:pPr>
              <w:ind w:left="40"/>
              <w:spacing w:after="0" w:line="91" w:lineRule="exact"/>
              <w:rPr>
                <w:sz w:val="20"/>
                <w:szCs w:val="20"/>
                <w:color w:val="auto"/>
              </w:rPr>
            </w:pPr>
            <w:r>
              <w:rPr>
                <w:rFonts w:ascii="Arial" w:cs="Arial" w:eastAsia="Arial" w:hAnsi="Arial"/>
                <w:sz w:val="8"/>
                <w:szCs w:val="8"/>
                <w:b w:val="1"/>
                <w:bCs w:val="1"/>
                <w:color w:val="auto"/>
              </w:rPr>
              <w:t>Market</w:t>
            </w:r>
          </w:p>
        </w:tc>
        <w:tc>
          <w:tcPr>
            <w:tcW w:w="8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160" w:type="dxa"/>
            <w:vAlign w:val="bottom"/>
            <w:gridSpan w:val="2"/>
          </w:tcPr>
          <w:p>
            <w:pPr>
              <w:ind w:left="300"/>
              <w:spacing w:after="0" w:line="91" w:lineRule="exact"/>
              <w:rPr>
                <w:sz w:val="20"/>
                <w:szCs w:val="20"/>
                <w:color w:val="auto"/>
              </w:rPr>
            </w:pPr>
            <w:r>
              <w:rPr>
                <w:rFonts w:ascii="Arial" w:cs="Arial" w:eastAsia="Arial" w:hAnsi="Arial"/>
                <w:sz w:val="8"/>
                <w:szCs w:val="8"/>
                <w:b w:val="1"/>
                <w:bCs w:val="1"/>
                <w:color w:val="auto"/>
              </w:rPr>
              <w:t>Notional</w:t>
            </w:r>
          </w:p>
        </w:tc>
        <w:tc>
          <w:tcPr>
            <w:tcW w:w="200" w:type="dxa"/>
            <w:vAlign w:val="bottom"/>
          </w:tcPr>
          <w:p>
            <w:pPr>
              <w:spacing w:after="0"/>
              <w:rPr>
                <w:sz w:val="7"/>
                <w:szCs w:val="7"/>
                <w:color w:val="auto"/>
              </w:rPr>
            </w:pPr>
          </w:p>
        </w:tc>
        <w:tc>
          <w:tcPr>
            <w:tcW w:w="800" w:type="dxa"/>
            <w:vAlign w:val="bottom"/>
            <w:gridSpan w:val="2"/>
          </w:tcPr>
          <w:p>
            <w:pPr>
              <w:ind w:left="160"/>
              <w:spacing w:after="0" w:line="91" w:lineRule="exact"/>
              <w:rPr>
                <w:sz w:val="20"/>
                <w:szCs w:val="20"/>
                <w:color w:val="auto"/>
              </w:rPr>
            </w:pPr>
            <w:r>
              <w:rPr>
                <w:rFonts w:ascii="Arial" w:cs="Arial" w:eastAsia="Arial" w:hAnsi="Arial"/>
                <w:sz w:val="8"/>
                <w:szCs w:val="8"/>
                <w:b w:val="1"/>
                <w:bCs w:val="1"/>
                <w:color w:val="auto"/>
              </w:rPr>
              <w:t>Cost</w:t>
            </w:r>
          </w:p>
        </w:tc>
        <w:tc>
          <w:tcPr>
            <w:tcW w:w="280" w:type="dxa"/>
            <w:vAlign w:val="bottom"/>
          </w:tcPr>
          <w:p>
            <w:pPr>
              <w:spacing w:after="0"/>
              <w:rPr>
                <w:sz w:val="7"/>
                <w:szCs w:val="7"/>
                <w:color w:val="auto"/>
              </w:rPr>
            </w:pPr>
          </w:p>
        </w:tc>
        <w:tc>
          <w:tcPr>
            <w:tcW w:w="740" w:type="dxa"/>
            <w:vAlign w:val="bottom"/>
            <w:gridSpan w:val="2"/>
          </w:tcPr>
          <w:p>
            <w:pPr>
              <w:ind w:left="40"/>
              <w:spacing w:after="0" w:line="91" w:lineRule="exact"/>
              <w:rPr>
                <w:sz w:val="20"/>
                <w:szCs w:val="20"/>
                <w:color w:val="auto"/>
              </w:rPr>
            </w:pPr>
            <w:r>
              <w:rPr>
                <w:rFonts w:ascii="Arial" w:cs="Arial" w:eastAsia="Arial" w:hAnsi="Arial"/>
                <w:sz w:val="8"/>
                <w:szCs w:val="8"/>
                <w:b w:val="1"/>
                <w:bCs w:val="1"/>
                <w:color w:val="auto"/>
              </w:rPr>
              <w:t>Market</w:t>
            </w:r>
          </w:p>
        </w:tc>
        <w:tc>
          <w:tcPr>
            <w:tcW w:w="60" w:type="dxa"/>
            <w:vAlign w:val="bottom"/>
          </w:tcPr>
          <w:p>
            <w:pPr>
              <w:spacing w:after="0"/>
              <w:rPr>
                <w:sz w:val="7"/>
                <w:szCs w:val="7"/>
                <w:color w:val="auto"/>
              </w:rPr>
            </w:pPr>
          </w:p>
        </w:tc>
        <w:tc>
          <w:tcPr>
            <w:tcW w:w="840" w:type="dxa"/>
            <w:vAlign w:val="bottom"/>
          </w:tcPr>
          <w:p>
            <w:pPr>
              <w:spacing w:after="0"/>
              <w:rPr>
                <w:sz w:val="7"/>
                <w:szCs w:val="7"/>
                <w:color w:val="auto"/>
              </w:rPr>
            </w:pPr>
          </w:p>
        </w:tc>
      </w:tr>
      <w:tr>
        <w:trPr>
          <w:trHeight w:val="113"/>
        </w:trPr>
        <w:tc>
          <w:tcPr>
            <w:tcW w:w="2760" w:type="dxa"/>
            <w:vAlign w:val="bottom"/>
            <w:tcBorders>
              <w:bottom w:val="single" w:sz="8" w:color="auto"/>
            </w:tcBorders>
          </w:tcPr>
          <w:p>
            <w:pPr>
              <w:ind w:left="20"/>
              <w:spacing w:after="0"/>
              <w:rPr>
                <w:sz w:val="20"/>
                <w:szCs w:val="20"/>
                <w:color w:val="auto"/>
              </w:rPr>
            </w:pPr>
            <w:r>
              <w:rPr>
                <w:rFonts w:ascii="Arial" w:cs="Arial" w:eastAsia="Arial" w:hAnsi="Arial"/>
                <w:sz w:val="8"/>
                <w:szCs w:val="8"/>
                <w:b w:val="1"/>
                <w:bCs w:val="1"/>
                <w:color w:val="auto"/>
              </w:rPr>
              <w:t>Maturity</w:t>
            </w:r>
          </w:p>
        </w:tc>
        <w:tc>
          <w:tcPr>
            <w:tcW w:w="120" w:type="dxa"/>
            <w:vAlign w:val="bottom"/>
            <w:tcBorders>
              <w:bottom w:val="single" w:sz="8" w:color="CCEEFF"/>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1060" w:type="dxa"/>
            <w:vAlign w:val="bottom"/>
            <w:tcBorders>
              <w:bottom w:val="single" w:sz="8" w:color="auto"/>
            </w:tcBorders>
          </w:tcPr>
          <w:p>
            <w:pPr>
              <w:jc w:val="right"/>
              <w:ind w:right="94"/>
              <w:spacing w:after="0"/>
              <w:rPr>
                <w:sz w:val="20"/>
                <w:szCs w:val="20"/>
                <w:color w:val="auto"/>
              </w:rPr>
            </w:pPr>
            <w:r>
              <w:rPr>
                <w:rFonts w:ascii="Arial" w:cs="Arial" w:eastAsia="Arial" w:hAnsi="Arial"/>
                <w:sz w:val="8"/>
                <w:szCs w:val="8"/>
                <w:b w:val="1"/>
                <w:bCs w:val="1"/>
                <w:color w:val="auto"/>
                <w:w w:val="99"/>
              </w:rPr>
              <w:t xml:space="preserve">Amount - Long (Short) </w:t>
            </w:r>
            <w:r>
              <w:rPr>
                <w:rFonts w:ascii="Arial" w:cs="Arial" w:eastAsia="Arial" w:hAnsi="Arial"/>
                <w:sz w:val="5"/>
                <w:szCs w:val="5"/>
                <w:b w:val="1"/>
                <w:bCs w:val="1"/>
                <w:color w:val="auto"/>
                <w:w w:val="99"/>
              </w:rPr>
              <w:t>1</w:t>
            </w:r>
          </w:p>
        </w:tc>
        <w:tc>
          <w:tcPr>
            <w:tcW w:w="120" w:type="dxa"/>
            <w:vAlign w:val="bottom"/>
            <w:tcBorders>
              <w:bottom w:val="single" w:sz="8" w:color="CCEEFF"/>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720" w:type="dxa"/>
            <w:vAlign w:val="bottom"/>
            <w:tcBorders>
              <w:bottom w:val="single" w:sz="8" w:color="auto"/>
            </w:tcBorders>
          </w:tcPr>
          <w:p>
            <w:pPr>
              <w:jc w:val="right"/>
              <w:ind w:right="294"/>
              <w:spacing w:after="0"/>
              <w:rPr>
                <w:sz w:val="20"/>
                <w:szCs w:val="20"/>
                <w:color w:val="auto"/>
              </w:rPr>
            </w:pPr>
            <w:r>
              <w:rPr>
                <w:rFonts w:ascii="Arial" w:cs="Arial" w:eastAsia="Arial" w:hAnsi="Arial"/>
                <w:sz w:val="8"/>
                <w:szCs w:val="8"/>
                <w:b w:val="1"/>
                <w:bCs w:val="1"/>
                <w:color w:val="auto"/>
              </w:rPr>
              <w:t xml:space="preserve">Basis </w:t>
            </w:r>
            <w:r>
              <w:rPr>
                <w:rFonts w:ascii="Arial" w:cs="Arial" w:eastAsia="Arial" w:hAnsi="Arial"/>
                <w:sz w:val="5"/>
                <w:szCs w:val="5"/>
                <w:b w:val="1"/>
                <w:bCs w:val="1"/>
                <w:color w:val="auto"/>
              </w:rPr>
              <w:t>2</w:t>
            </w:r>
          </w:p>
        </w:tc>
        <w:tc>
          <w:tcPr>
            <w:tcW w:w="120" w:type="dxa"/>
            <w:vAlign w:val="bottom"/>
            <w:tcBorders>
              <w:bottom w:val="single" w:sz="8" w:color="CCEEFF"/>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640" w:type="dxa"/>
            <w:vAlign w:val="bottom"/>
            <w:tcBorders>
              <w:bottom w:val="single" w:sz="8" w:color="auto"/>
            </w:tcBorders>
          </w:tcPr>
          <w:p>
            <w:pPr>
              <w:jc w:val="right"/>
              <w:ind w:right="294"/>
              <w:spacing w:after="0"/>
              <w:rPr>
                <w:sz w:val="20"/>
                <w:szCs w:val="20"/>
                <w:color w:val="auto"/>
              </w:rPr>
            </w:pPr>
            <w:r>
              <w:rPr>
                <w:rFonts w:ascii="Arial" w:cs="Arial" w:eastAsia="Arial" w:hAnsi="Arial"/>
                <w:sz w:val="8"/>
                <w:szCs w:val="8"/>
                <w:b w:val="1"/>
                <w:bCs w:val="1"/>
                <w:color w:val="auto"/>
              </w:rPr>
              <w:t xml:space="preserve">Value </w:t>
            </w:r>
            <w:r>
              <w:rPr>
                <w:rFonts w:ascii="Arial" w:cs="Arial" w:eastAsia="Arial" w:hAnsi="Arial"/>
                <w:sz w:val="5"/>
                <w:szCs w:val="5"/>
                <w:b w:val="1"/>
                <w:bCs w:val="1"/>
                <w:color w:val="auto"/>
              </w:rPr>
              <w:t>3</w:t>
            </w:r>
          </w:p>
        </w:tc>
        <w:tc>
          <w:tcPr>
            <w:tcW w:w="120" w:type="dxa"/>
            <w:vAlign w:val="bottom"/>
            <w:tcBorders>
              <w:bottom w:val="single" w:sz="8" w:color="CCEEFF"/>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860" w:type="dxa"/>
            <w:vAlign w:val="bottom"/>
            <w:tcBorders>
              <w:bottom w:val="single" w:sz="8" w:color="auto"/>
            </w:tcBorders>
          </w:tcPr>
          <w:p>
            <w:pPr>
              <w:jc w:val="right"/>
              <w:ind w:right="53"/>
              <w:spacing w:after="0"/>
              <w:rPr>
                <w:sz w:val="20"/>
                <w:szCs w:val="20"/>
                <w:color w:val="auto"/>
              </w:rPr>
            </w:pPr>
            <w:r>
              <w:rPr>
                <w:rFonts w:ascii="Arial" w:cs="Arial" w:eastAsia="Arial" w:hAnsi="Arial"/>
                <w:sz w:val="8"/>
                <w:szCs w:val="8"/>
                <w:b w:val="1"/>
                <w:bCs w:val="1"/>
                <w:color w:val="auto"/>
                <w:w w:val="96"/>
              </w:rPr>
              <w:t xml:space="preserve">Net Carrying Value </w:t>
            </w:r>
            <w:r>
              <w:rPr>
                <w:rFonts w:ascii="Arial" w:cs="Arial" w:eastAsia="Arial" w:hAnsi="Arial"/>
                <w:sz w:val="5"/>
                <w:szCs w:val="5"/>
                <w:b w:val="1"/>
                <w:bCs w:val="1"/>
                <w:color w:val="auto"/>
                <w:w w:val="96"/>
              </w:rPr>
              <w:t>4</w:t>
            </w:r>
          </w:p>
        </w:tc>
        <w:tc>
          <w:tcPr>
            <w:tcW w:w="100" w:type="dxa"/>
            <w:vAlign w:val="bottom"/>
            <w:tcBorders>
              <w:bottom w:val="single" w:sz="8" w:color="CCEEFF"/>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1040" w:type="dxa"/>
            <w:vAlign w:val="bottom"/>
            <w:tcBorders>
              <w:bottom w:val="single" w:sz="8" w:color="auto"/>
            </w:tcBorders>
          </w:tcPr>
          <w:p>
            <w:pPr>
              <w:jc w:val="right"/>
              <w:ind w:right="94"/>
              <w:spacing w:after="0"/>
              <w:rPr>
                <w:sz w:val="20"/>
                <w:szCs w:val="20"/>
                <w:color w:val="auto"/>
              </w:rPr>
            </w:pPr>
            <w:r>
              <w:rPr>
                <w:rFonts w:ascii="Arial" w:cs="Arial" w:eastAsia="Arial" w:hAnsi="Arial"/>
                <w:sz w:val="8"/>
                <w:szCs w:val="8"/>
                <w:b w:val="1"/>
                <w:bCs w:val="1"/>
                <w:color w:val="auto"/>
                <w:w w:val="97"/>
              </w:rPr>
              <w:t xml:space="preserve">Amount - Long (Short) </w:t>
            </w:r>
            <w:r>
              <w:rPr>
                <w:rFonts w:ascii="Arial" w:cs="Arial" w:eastAsia="Arial" w:hAnsi="Arial"/>
                <w:sz w:val="5"/>
                <w:szCs w:val="5"/>
                <w:b w:val="1"/>
                <w:bCs w:val="1"/>
                <w:color w:val="auto"/>
                <w:w w:val="97"/>
              </w:rPr>
              <w:t>1</w:t>
            </w:r>
          </w:p>
        </w:tc>
        <w:tc>
          <w:tcPr>
            <w:tcW w:w="120" w:type="dxa"/>
            <w:vAlign w:val="bottom"/>
            <w:tcBorders>
              <w:bottom w:val="single" w:sz="8" w:color="CCEEFF"/>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700" w:type="dxa"/>
            <w:vAlign w:val="bottom"/>
            <w:tcBorders>
              <w:bottom w:val="single" w:sz="8" w:color="auto"/>
            </w:tcBorders>
          </w:tcPr>
          <w:p>
            <w:pPr>
              <w:jc w:val="right"/>
              <w:ind w:right="294"/>
              <w:spacing w:after="0"/>
              <w:rPr>
                <w:sz w:val="20"/>
                <w:szCs w:val="20"/>
                <w:color w:val="auto"/>
              </w:rPr>
            </w:pPr>
            <w:r>
              <w:rPr>
                <w:rFonts w:ascii="Arial" w:cs="Arial" w:eastAsia="Arial" w:hAnsi="Arial"/>
                <w:sz w:val="8"/>
                <w:szCs w:val="8"/>
                <w:b w:val="1"/>
                <w:bCs w:val="1"/>
                <w:color w:val="auto"/>
              </w:rPr>
              <w:t xml:space="preserve">Basis </w:t>
            </w:r>
            <w:r>
              <w:rPr>
                <w:rFonts w:ascii="Arial" w:cs="Arial" w:eastAsia="Arial" w:hAnsi="Arial"/>
                <w:sz w:val="5"/>
                <w:szCs w:val="5"/>
                <w:b w:val="1"/>
                <w:bCs w:val="1"/>
                <w:color w:val="auto"/>
              </w:rPr>
              <w:t>2</w:t>
            </w:r>
          </w:p>
        </w:tc>
        <w:tc>
          <w:tcPr>
            <w:tcW w:w="100" w:type="dxa"/>
            <w:vAlign w:val="bottom"/>
            <w:tcBorders>
              <w:bottom w:val="single" w:sz="8" w:color="CCEEFF"/>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620" w:type="dxa"/>
            <w:vAlign w:val="bottom"/>
            <w:tcBorders>
              <w:bottom w:val="single" w:sz="8" w:color="auto"/>
            </w:tcBorders>
          </w:tcPr>
          <w:p>
            <w:pPr>
              <w:jc w:val="right"/>
              <w:ind w:right="274"/>
              <w:spacing w:after="0"/>
              <w:rPr>
                <w:sz w:val="20"/>
                <w:szCs w:val="20"/>
                <w:color w:val="auto"/>
              </w:rPr>
            </w:pPr>
            <w:r>
              <w:rPr>
                <w:rFonts w:ascii="Arial" w:cs="Arial" w:eastAsia="Arial" w:hAnsi="Arial"/>
                <w:sz w:val="8"/>
                <w:szCs w:val="8"/>
                <w:b w:val="1"/>
                <w:bCs w:val="1"/>
                <w:color w:val="auto"/>
              </w:rPr>
              <w:t xml:space="preserve">Value </w:t>
            </w:r>
            <w:r>
              <w:rPr>
                <w:rFonts w:ascii="Arial" w:cs="Arial" w:eastAsia="Arial" w:hAnsi="Arial"/>
                <w:sz w:val="5"/>
                <w:szCs w:val="5"/>
                <w:b w:val="1"/>
                <w:bCs w:val="1"/>
                <w:color w:val="auto"/>
              </w:rPr>
              <w:t>3</w:t>
            </w:r>
          </w:p>
        </w:tc>
        <w:tc>
          <w:tcPr>
            <w:tcW w:w="120" w:type="dxa"/>
            <w:vAlign w:val="bottom"/>
            <w:tcBorders>
              <w:bottom w:val="single" w:sz="8" w:color="CCEEFF"/>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840" w:type="dxa"/>
            <w:vAlign w:val="bottom"/>
            <w:tcBorders>
              <w:bottom w:val="single" w:sz="8" w:color="auto"/>
            </w:tcBorders>
          </w:tcPr>
          <w:p>
            <w:pPr>
              <w:jc w:val="right"/>
              <w:ind w:right="33"/>
              <w:spacing w:after="0"/>
              <w:rPr>
                <w:sz w:val="20"/>
                <w:szCs w:val="20"/>
                <w:color w:val="auto"/>
              </w:rPr>
            </w:pPr>
            <w:r>
              <w:rPr>
                <w:rFonts w:ascii="Arial" w:cs="Arial" w:eastAsia="Arial" w:hAnsi="Arial"/>
                <w:sz w:val="8"/>
                <w:szCs w:val="8"/>
                <w:b w:val="1"/>
                <w:bCs w:val="1"/>
                <w:color w:val="auto"/>
                <w:w w:val="96"/>
              </w:rPr>
              <w:t xml:space="preserve">Net Carrying Value </w:t>
            </w:r>
            <w:r>
              <w:rPr>
                <w:rFonts w:ascii="Arial" w:cs="Arial" w:eastAsia="Arial" w:hAnsi="Arial"/>
                <w:sz w:val="5"/>
                <w:szCs w:val="5"/>
                <w:b w:val="1"/>
                <w:bCs w:val="1"/>
                <w:color w:val="auto"/>
                <w:w w:val="96"/>
              </w:rPr>
              <w:t>4</w:t>
            </w:r>
          </w:p>
        </w:tc>
      </w:tr>
      <w:tr>
        <w:trPr>
          <w:trHeight w:val="166"/>
        </w:trPr>
        <w:tc>
          <w:tcPr>
            <w:tcW w:w="28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5 years</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ind w:right="34"/>
              <w:spacing w:after="0"/>
              <w:rPr>
                <w:sz w:val="20"/>
                <w:szCs w:val="20"/>
                <w:color w:val="auto"/>
              </w:rPr>
            </w:pPr>
            <w:r>
              <w:rPr>
                <w:rFonts w:ascii="Arial" w:cs="Arial" w:eastAsia="Arial" w:hAnsi="Arial"/>
                <w:sz w:val="10"/>
                <w:szCs w:val="10"/>
                <w:color w:val="auto"/>
              </w:rPr>
              <w:t>(730)</w:t>
            </w:r>
          </w:p>
        </w:tc>
        <w:tc>
          <w:tcPr>
            <w:tcW w:w="12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shd w:val="clear" w:color="auto" w:fill="CCEEFF"/>
          </w:tcPr>
          <w:p>
            <w:pPr>
              <w:jc w:val="right"/>
              <w:ind w:right="34"/>
              <w:spacing w:after="0"/>
              <w:rPr>
                <w:sz w:val="20"/>
                <w:szCs w:val="20"/>
                <w:color w:val="auto"/>
              </w:rPr>
            </w:pPr>
            <w:r>
              <w:rPr>
                <w:rFonts w:ascii="Arial" w:cs="Arial" w:eastAsia="Arial" w:hAnsi="Arial"/>
                <w:sz w:val="10"/>
                <w:szCs w:val="10"/>
                <w:color w:val="auto"/>
              </w:rPr>
              <w:t>(886)</w:t>
            </w:r>
          </w:p>
        </w:tc>
        <w:tc>
          <w:tcPr>
            <w:tcW w:w="120" w:type="dxa"/>
            <w:vAlign w:val="bottom"/>
            <w:shd w:val="clear" w:color="auto" w:fill="CCEEFF"/>
          </w:tcPr>
          <w:p>
            <w:pPr>
              <w:spacing w:after="0"/>
              <w:rPr>
                <w:sz w:val="14"/>
                <w:szCs w:val="14"/>
                <w:color w:val="auto"/>
              </w:rPr>
            </w:pPr>
          </w:p>
        </w:tc>
        <w:tc>
          <w:tcPr>
            <w:tcW w:w="280" w:type="dxa"/>
            <w:vAlign w:val="bottom"/>
            <w:shd w:val="clear" w:color="auto" w:fill="CCEEFF"/>
          </w:tcPr>
          <w:p>
            <w:pPr>
              <w:jc w:val="right"/>
              <w:ind w:right="172"/>
              <w:spacing w:after="0"/>
              <w:rPr>
                <w:sz w:val="20"/>
                <w:szCs w:val="20"/>
                <w:color w:val="auto"/>
              </w:rPr>
            </w:pPr>
            <w:r>
              <w:rPr>
                <w:rFonts w:ascii="Arial" w:cs="Arial" w:eastAsia="Arial" w:hAnsi="Arial"/>
                <w:sz w:val="10"/>
                <w:szCs w:val="10"/>
                <w:color w:val="auto"/>
                <w:w w:val="71"/>
              </w:rPr>
              <w:t>$</w:t>
            </w:r>
          </w:p>
        </w:tc>
        <w:tc>
          <w:tcPr>
            <w:tcW w:w="640" w:type="dxa"/>
            <w:vAlign w:val="bottom"/>
            <w:shd w:val="clear" w:color="auto" w:fill="CCEEFF"/>
          </w:tcPr>
          <w:p>
            <w:pPr>
              <w:jc w:val="right"/>
              <w:ind w:right="34"/>
              <w:spacing w:after="0"/>
              <w:rPr>
                <w:sz w:val="20"/>
                <w:szCs w:val="20"/>
                <w:color w:val="auto"/>
              </w:rPr>
            </w:pPr>
            <w:r>
              <w:rPr>
                <w:rFonts w:ascii="Arial" w:cs="Arial" w:eastAsia="Arial" w:hAnsi="Arial"/>
                <w:sz w:val="10"/>
                <w:szCs w:val="10"/>
                <w:color w:val="auto"/>
              </w:rPr>
              <w:t>(887)</w:t>
            </w: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shd w:val="clear" w:color="auto" w:fill="CCEEFF"/>
          </w:tcPr>
          <w:p>
            <w:pPr>
              <w:jc w:val="right"/>
              <w:ind w:right="53"/>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4"/>
                <w:szCs w:val="14"/>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40" w:type="dxa"/>
            <w:vAlign w:val="bottom"/>
            <w:shd w:val="clear" w:color="auto" w:fill="CCEEFF"/>
          </w:tcPr>
          <w:p>
            <w:pPr>
              <w:jc w:val="right"/>
              <w:ind w:right="34"/>
              <w:spacing w:after="0"/>
              <w:rPr>
                <w:sz w:val="20"/>
                <w:szCs w:val="20"/>
                <w:color w:val="auto"/>
              </w:rPr>
            </w:pPr>
            <w:r>
              <w:rPr>
                <w:rFonts w:ascii="Arial" w:cs="Arial" w:eastAsia="Arial" w:hAnsi="Arial"/>
                <w:sz w:val="10"/>
                <w:szCs w:val="10"/>
                <w:color w:val="auto"/>
              </w:rPr>
              <w:t>(730)</w:t>
            </w:r>
          </w:p>
        </w:tc>
        <w:tc>
          <w:tcPr>
            <w:tcW w:w="12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34"/>
              <w:spacing w:after="0"/>
              <w:rPr>
                <w:sz w:val="20"/>
                <w:szCs w:val="20"/>
                <w:color w:val="auto"/>
              </w:rPr>
            </w:pPr>
            <w:r>
              <w:rPr>
                <w:rFonts w:ascii="Arial" w:cs="Arial" w:eastAsia="Arial" w:hAnsi="Arial"/>
                <w:sz w:val="10"/>
                <w:szCs w:val="10"/>
                <w:color w:val="auto"/>
              </w:rPr>
              <w:t>(866)</w:t>
            </w:r>
          </w:p>
        </w:tc>
        <w:tc>
          <w:tcPr>
            <w:tcW w:w="100" w:type="dxa"/>
            <w:vAlign w:val="bottom"/>
            <w:shd w:val="clear" w:color="auto" w:fill="CCEEFF"/>
          </w:tcPr>
          <w:p>
            <w:pPr>
              <w:spacing w:after="0"/>
              <w:rPr>
                <w:sz w:val="14"/>
                <w:szCs w:val="14"/>
                <w:color w:val="auto"/>
              </w:rPr>
            </w:pPr>
          </w:p>
        </w:tc>
        <w:tc>
          <w:tcPr>
            <w:tcW w:w="280" w:type="dxa"/>
            <w:vAlign w:val="bottom"/>
            <w:shd w:val="clear" w:color="auto" w:fill="CCEEFF"/>
          </w:tcPr>
          <w:p>
            <w:pPr>
              <w:jc w:val="right"/>
              <w:ind w:right="152"/>
              <w:spacing w:after="0"/>
              <w:rPr>
                <w:sz w:val="20"/>
                <w:szCs w:val="20"/>
                <w:color w:val="auto"/>
              </w:rPr>
            </w:pPr>
            <w:r>
              <w:rPr>
                <w:rFonts w:ascii="Arial" w:cs="Arial" w:eastAsia="Arial" w:hAnsi="Arial"/>
                <w:sz w:val="10"/>
                <w:szCs w:val="10"/>
                <w:color w:val="auto"/>
              </w:rPr>
              <w:t>$</w:t>
            </w:r>
          </w:p>
        </w:tc>
        <w:tc>
          <w:tcPr>
            <w:tcW w:w="620" w:type="dxa"/>
            <w:vAlign w:val="bottom"/>
            <w:shd w:val="clear" w:color="auto" w:fill="CCEEFF"/>
          </w:tcPr>
          <w:p>
            <w:pPr>
              <w:jc w:val="right"/>
              <w:ind w:right="14"/>
              <w:spacing w:after="0"/>
              <w:rPr>
                <w:sz w:val="20"/>
                <w:szCs w:val="20"/>
                <w:color w:val="auto"/>
              </w:rPr>
            </w:pPr>
            <w:r>
              <w:rPr>
                <w:rFonts w:ascii="Arial" w:cs="Arial" w:eastAsia="Arial" w:hAnsi="Arial"/>
                <w:sz w:val="10"/>
                <w:szCs w:val="10"/>
                <w:color w:val="auto"/>
              </w:rPr>
              <w:t>(864)</w:t>
            </w:r>
          </w:p>
        </w:tc>
        <w:tc>
          <w:tcPr>
            <w:tcW w:w="120" w:type="dxa"/>
            <w:vAlign w:val="bottom"/>
            <w:shd w:val="clear" w:color="auto" w:fill="CCEEFF"/>
          </w:tcPr>
          <w:p>
            <w:pPr>
              <w:spacing w:after="0"/>
              <w:rPr>
                <w:sz w:val="14"/>
                <w:szCs w:val="14"/>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2</w:t>
            </w:r>
          </w:p>
        </w:tc>
      </w:tr>
      <w:tr>
        <w:trPr>
          <w:trHeight w:val="176"/>
        </w:trPr>
        <w:tc>
          <w:tcPr>
            <w:tcW w:w="2880" w:type="dxa"/>
            <w:vAlign w:val="bottom"/>
            <w:gridSpan w:val="2"/>
          </w:tcPr>
          <w:p>
            <w:pPr>
              <w:ind w:left="20"/>
              <w:spacing w:after="0"/>
              <w:rPr>
                <w:sz w:val="20"/>
                <w:szCs w:val="20"/>
                <w:color w:val="auto"/>
              </w:rPr>
            </w:pPr>
            <w:r>
              <w:rPr>
                <w:rFonts w:ascii="Arial" w:cs="Arial" w:eastAsia="Arial" w:hAnsi="Arial"/>
                <w:sz w:val="10"/>
                <w:szCs w:val="10"/>
                <w:color w:val="auto"/>
              </w:rPr>
              <w:t>10 years</w:t>
            </w:r>
          </w:p>
        </w:tc>
        <w:tc>
          <w:tcPr>
            <w:tcW w:w="100" w:type="dxa"/>
            <w:vAlign w:val="bottom"/>
          </w:tcPr>
          <w:p>
            <w:pPr>
              <w:spacing w:after="0"/>
              <w:rPr>
                <w:sz w:val="15"/>
                <w:szCs w:val="15"/>
                <w:color w:val="auto"/>
              </w:rPr>
            </w:pPr>
          </w:p>
        </w:tc>
        <w:tc>
          <w:tcPr>
            <w:tcW w:w="1060" w:type="dxa"/>
            <w:vAlign w:val="bottom"/>
          </w:tcPr>
          <w:p>
            <w:pPr>
              <w:jc w:val="right"/>
              <w:ind w:right="34"/>
              <w:spacing w:after="0"/>
              <w:rPr>
                <w:sz w:val="20"/>
                <w:szCs w:val="20"/>
                <w:color w:val="auto"/>
              </w:rPr>
            </w:pPr>
            <w:r>
              <w:rPr>
                <w:rFonts w:ascii="Arial" w:cs="Arial" w:eastAsia="Arial" w:hAnsi="Arial"/>
                <w:sz w:val="10"/>
                <w:szCs w:val="10"/>
                <w:color w:val="auto"/>
              </w:rPr>
              <w:t>(1,230)</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20" w:type="dxa"/>
            <w:vAlign w:val="bottom"/>
          </w:tcPr>
          <w:p>
            <w:pPr>
              <w:jc w:val="right"/>
              <w:ind w:right="34"/>
              <w:spacing w:after="0"/>
              <w:rPr>
                <w:sz w:val="20"/>
                <w:szCs w:val="20"/>
                <w:color w:val="auto"/>
              </w:rPr>
            </w:pPr>
            <w:r>
              <w:rPr>
                <w:rFonts w:ascii="Arial" w:cs="Arial" w:eastAsia="Arial" w:hAnsi="Arial"/>
                <w:sz w:val="10"/>
                <w:szCs w:val="10"/>
                <w:color w:val="auto"/>
              </w:rPr>
              <w:t>(1,612)</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640" w:type="dxa"/>
            <w:vAlign w:val="bottom"/>
          </w:tcPr>
          <w:p>
            <w:pPr>
              <w:jc w:val="right"/>
              <w:ind w:right="34"/>
              <w:spacing w:after="0"/>
              <w:rPr>
                <w:sz w:val="20"/>
                <w:szCs w:val="20"/>
                <w:color w:val="auto"/>
              </w:rPr>
            </w:pPr>
            <w:r>
              <w:rPr>
                <w:rFonts w:ascii="Arial" w:cs="Arial" w:eastAsia="Arial" w:hAnsi="Arial"/>
                <w:sz w:val="10"/>
                <w:szCs w:val="10"/>
                <w:color w:val="auto"/>
              </w:rPr>
              <w:t>(1,612)</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6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120" w:type="dxa"/>
            <w:vAlign w:val="bottom"/>
          </w:tcPr>
          <w:p>
            <w:pPr>
              <w:spacing w:after="0"/>
              <w:rPr>
                <w:sz w:val="15"/>
                <w:szCs w:val="15"/>
                <w:color w:val="auto"/>
              </w:rPr>
            </w:pPr>
          </w:p>
        </w:tc>
        <w:tc>
          <w:tcPr>
            <w:tcW w:w="1040" w:type="dxa"/>
            <w:vAlign w:val="bottom"/>
          </w:tcPr>
          <w:p>
            <w:pPr>
              <w:jc w:val="right"/>
              <w:ind w:right="34"/>
              <w:spacing w:after="0"/>
              <w:rPr>
                <w:sz w:val="20"/>
                <w:szCs w:val="20"/>
                <w:color w:val="auto"/>
              </w:rPr>
            </w:pPr>
            <w:r>
              <w:rPr>
                <w:rFonts w:ascii="Arial" w:cs="Arial" w:eastAsia="Arial" w:hAnsi="Arial"/>
                <w:sz w:val="10"/>
                <w:szCs w:val="10"/>
                <w:color w:val="auto"/>
              </w:rPr>
              <w:t>(1,130)</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4"/>
              <w:spacing w:after="0"/>
              <w:rPr>
                <w:sz w:val="20"/>
                <w:szCs w:val="20"/>
                <w:color w:val="auto"/>
              </w:rPr>
            </w:pPr>
            <w:r>
              <w:rPr>
                <w:rFonts w:ascii="Arial" w:cs="Arial" w:eastAsia="Arial" w:hAnsi="Arial"/>
                <w:sz w:val="10"/>
                <w:szCs w:val="10"/>
                <w:color w:val="auto"/>
              </w:rPr>
              <w:t>(1,424)</w:t>
            </w:r>
          </w:p>
        </w:tc>
        <w:tc>
          <w:tcPr>
            <w:tcW w:w="1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620" w:type="dxa"/>
            <w:vAlign w:val="bottom"/>
          </w:tcPr>
          <w:p>
            <w:pPr>
              <w:jc w:val="right"/>
              <w:ind w:right="14"/>
              <w:spacing w:after="0"/>
              <w:rPr>
                <w:sz w:val="20"/>
                <w:szCs w:val="20"/>
                <w:color w:val="auto"/>
              </w:rPr>
            </w:pPr>
            <w:r>
              <w:rPr>
                <w:rFonts w:ascii="Arial" w:cs="Arial" w:eastAsia="Arial" w:hAnsi="Arial"/>
                <w:sz w:val="10"/>
                <w:szCs w:val="10"/>
                <w:color w:val="auto"/>
              </w:rPr>
              <w:t>(1,422)</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40" w:type="dxa"/>
            <w:vAlign w:val="bottom"/>
          </w:tcPr>
          <w:p>
            <w:pPr>
              <w:jc w:val="right"/>
              <w:ind w:right="73"/>
              <w:spacing w:after="0"/>
              <w:rPr>
                <w:sz w:val="20"/>
                <w:szCs w:val="20"/>
                <w:color w:val="auto"/>
              </w:rPr>
            </w:pPr>
            <w:r>
              <w:rPr>
                <w:rFonts w:ascii="Arial" w:cs="Arial" w:eastAsia="Arial" w:hAnsi="Arial"/>
                <w:sz w:val="10"/>
                <w:szCs w:val="10"/>
                <w:color w:val="auto"/>
              </w:rPr>
              <w:t>2</w:t>
            </w:r>
          </w:p>
        </w:tc>
      </w:tr>
      <w:tr>
        <w:trPr>
          <w:trHeight w:val="175"/>
        </w:trPr>
        <w:tc>
          <w:tcPr>
            <w:tcW w:w="2880" w:type="dxa"/>
            <w:vAlign w:val="bottom"/>
            <w:tcBorders>
              <w:top w:val="single" w:sz="8" w:color="CCEEFF"/>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Total U.S. Treasury futures</w:t>
            </w: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Borders>
              <w:top w:val="single" w:sz="8" w:color="auto"/>
              <w:bottom w:val="single" w:sz="8" w:color="auto"/>
            </w:tcBorders>
            <w:shd w:val="clear" w:color="auto" w:fill="CCEEFF"/>
          </w:tcPr>
          <w:p>
            <w:pPr>
              <w:jc w:val="right"/>
              <w:ind w:right="34"/>
              <w:spacing w:after="0"/>
              <w:rPr>
                <w:sz w:val="20"/>
                <w:szCs w:val="20"/>
                <w:color w:val="auto"/>
              </w:rPr>
            </w:pPr>
            <w:r>
              <w:rPr>
                <w:rFonts w:ascii="Arial" w:cs="Arial" w:eastAsia="Arial" w:hAnsi="Arial"/>
                <w:sz w:val="10"/>
                <w:szCs w:val="10"/>
                <w:color w:val="auto"/>
              </w:rPr>
              <w:t>(1,960)</w:t>
            </w:r>
          </w:p>
        </w:tc>
        <w:tc>
          <w:tcPr>
            <w:tcW w:w="120" w:type="dxa"/>
            <w:vAlign w:val="bottom"/>
            <w:tcBorders>
              <w:top w:val="single" w:sz="8" w:color="CCEEFF"/>
              <w:bottom w:val="single" w:sz="8" w:color="CCEEFF"/>
            </w:tcBorders>
            <w:shd w:val="clear" w:color="auto" w:fill="CCEEFF"/>
          </w:tcPr>
          <w:p>
            <w:pPr>
              <w:spacing w:after="0"/>
              <w:rPr>
                <w:sz w:val="15"/>
                <w:szCs w:val="15"/>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top w:val="single" w:sz="8" w:color="auto"/>
              <w:bottom w:val="single" w:sz="8" w:color="auto"/>
            </w:tcBorders>
            <w:shd w:val="clear" w:color="auto" w:fill="CCEEFF"/>
          </w:tcPr>
          <w:p>
            <w:pPr>
              <w:jc w:val="right"/>
              <w:ind w:right="34"/>
              <w:spacing w:after="0"/>
              <w:rPr>
                <w:sz w:val="20"/>
                <w:szCs w:val="20"/>
                <w:color w:val="auto"/>
              </w:rPr>
            </w:pPr>
            <w:r>
              <w:rPr>
                <w:rFonts w:ascii="Arial" w:cs="Arial" w:eastAsia="Arial" w:hAnsi="Arial"/>
                <w:sz w:val="10"/>
                <w:szCs w:val="10"/>
                <w:color w:val="auto"/>
              </w:rPr>
              <w:t>(2,498)</w:t>
            </w:r>
          </w:p>
        </w:tc>
        <w:tc>
          <w:tcPr>
            <w:tcW w:w="120" w:type="dxa"/>
            <w:vAlign w:val="bottom"/>
            <w:tcBorders>
              <w:top w:val="single" w:sz="8" w:color="CCEEFF"/>
              <w:bottom w:val="single" w:sz="8" w:color="CCEEFF"/>
            </w:tcBorders>
            <w:shd w:val="clear" w:color="auto" w:fill="CCEEFF"/>
          </w:tcPr>
          <w:p>
            <w:pPr>
              <w:spacing w:after="0"/>
              <w:rPr>
                <w:sz w:val="15"/>
                <w:szCs w:val="15"/>
                <w:color w:val="auto"/>
              </w:rPr>
            </w:pPr>
          </w:p>
        </w:tc>
        <w:tc>
          <w:tcPr>
            <w:tcW w:w="280" w:type="dxa"/>
            <w:vAlign w:val="bottom"/>
            <w:tcBorders>
              <w:top w:val="single" w:sz="8" w:color="auto"/>
              <w:bottom w:val="single" w:sz="8" w:color="auto"/>
            </w:tcBorders>
            <w:shd w:val="clear" w:color="auto" w:fill="CCEEFF"/>
          </w:tcPr>
          <w:p>
            <w:pPr>
              <w:jc w:val="right"/>
              <w:ind w:right="172"/>
              <w:spacing w:after="0"/>
              <w:rPr>
                <w:sz w:val="20"/>
                <w:szCs w:val="20"/>
                <w:color w:val="auto"/>
              </w:rPr>
            </w:pPr>
            <w:r>
              <w:rPr>
                <w:rFonts w:ascii="Arial" w:cs="Arial" w:eastAsia="Arial" w:hAnsi="Arial"/>
                <w:sz w:val="10"/>
                <w:szCs w:val="10"/>
                <w:color w:val="auto"/>
                <w:w w:val="71"/>
              </w:rPr>
              <w:t>$</w:t>
            </w:r>
          </w:p>
        </w:tc>
        <w:tc>
          <w:tcPr>
            <w:tcW w:w="640" w:type="dxa"/>
            <w:vAlign w:val="bottom"/>
            <w:tcBorders>
              <w:top w:val="single" w:sz="8" w:color="auto"/>
              <w:bottom w:val="single" w:sz="8" w:color="auto"/>
            </w:tcBorders>
            <w:shd w:val="clear" w:color="auto" w:fill="CCEEFF"/>
          </w:tcPr>
          <w:p>
            <w:pPr>
              <w:jc w:val="right"/>
              <w:ind w:right="34"/>
              <w:spacing w:after="0"/>
              <w:rPr>
                <w:sz w:val="20"/>
                <w:szCs w:val="20"/>
                <w:color w:val="auto"/>
              </w:rPr>
            </w:pPr>
            <w:r>
              <w:rPr>
                <w:rFonts w:ascii="Arial" w:cs="Arial" w:eastAsia="Arial" w:hAnsi="Arial"/>
                <w:sz w:val="10"/>
                <w:szCs w:val="10"/>
                <w:color w:val="auto"/>
              </w:rPr>
              <w:t>(2,499)</w:t>
            </w:r>
          </w:p>
        </w:tc>
        <w:tc>
          <w:tcPr>
            <w:tcW w:w="120" w:type="dxa"/>
            <w:vAlign w:val="bottom"/>
            <w:tcBorders>
              <w:top w:val="single" w:sz="8" w:color="CCEEFF"/>
              <w:bottom w:val="single" w:sz="8" w:color="CCEEFF"/>
            </w:tcBorders>
            <w:shd w:val="clear" w:color="auto" w:fill="CCEEFF"/>
          </w:tcPr>
          <w:p>
            <w:pPr>
              <w:spacing w:after="0"/>
              <w:rPr>
                <w:sz w:val="15"/>
                <w:szCs w:val="15"/>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Borders>
              <w:top w:val="single" w:sz="8" w:color="auto"/>
              <w:bottom w:val="single" w:sz="8" w:color="auto"/>
            </w:tcBorders>
            <w:shd w:val="clear" w:color="auto" w:fill="CCEEFF"/>
          </w:tcPr>
          <w:p>
            <w:pPr>
              <w:jc w:val="right"/>
              <w:ind w:right="53"/>
              <w:spacing w:after="0"/>
              <w:rPr>
                <w:sz w:val="20"/>
                <w:szCs w:val="20"/>
                <w:color w:val="auto"/>
              </w:rPr>
            </w:pPr>
            <w:r>
              <w:rPr>
                <w:rFonts w:ascii="Arial" w:cs="Arial" w:eastAsia="Arial" w:hAnsi="Arial"/>
                <w:sz w:val="10"/>
                <w:szCs w:val="10"/>
                <w:color w:val="auto"/>
              </w:rPr>
              <w:t>(1)</w:t>
            </w:r>
          </w:p>
        </w:tc>
        <w:tc>
          <w:tcPr>
            <w:tcW w:w="100" w:type="dxa"/>
            <w:vAlign w:val="bottom"/>
            <w:tcBorders>
              <w:top w:val="single" w:sz="8" w:color="CCEEFF"/>
              <w:bottom w:val="single" w:sz="8" w:color="CCEEFF"/>
            </w:tcBorders>
            <w:shd w:val="clear" w:color="auto" w:fill="CCEEFF"/>
          </w:tcPr>
          <w:p>
            <w:pPr>
              <w:spacing w:after="0"/>
              <w:rPr>
                <w:sz w:val="15"/>
                <w:szCs w:val="15"/>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40" w:type="dxa"/>
            <w:vAlign w:val="bottom"/>
            <w:tcBorders>
              <w:top w:val="single" w:sz="8" w:color="auto"/>
              <w:bottom w:val="single" w:sz="8" w:color="auto"/>
            </w:tcBorders>
            <w:shd w:val="clear" w:color="auto" w:fill="CCEEFF"/>
          </w:tcPr>
          <w:p>
            <w:pPr>
              <w:jc w:val="right"/>
              <w:ind w:right="34"/>
              <w:spacing w:after="0"/>
              <w:rPr>
                <w:sz w:val="20"/>
                <w:szCs w:val="20"/>
                <w:color w:val="auto"/>
              </w:rPr>
            </w:pPr>
            <w:r>
              <w:rPr>
                <w:rFonts w:ascii="Arial" w:cs="Arial" w:eastAsia="Arial" w:hAnsi="Arial"/>
                <w:sz w:val="10"/>
                <w:szCs w:val="10"/>
                <w:color w:val="auto"/>
              </w:rPr>
              <w:t>(1,860)</w:t>
            </w:r>
          </w:p>
        </w:tc>
        <w:tc>
          <w:tcPr>
            <w:tcW w:w="120" w:type="dxa"/>
            <w:vAlign w:val="bottom"/>
            <w:tcBorders>
              <w:top w:val="single" w:sz="8" w:color="CCEEFF"/>
              <w:bottom w:val="single" w:sz="8" w:color="CCEEFF"/>
            </w:tcBorders>
            <w:shd w:val="clear" w:color="auto" w:fill="CCEEFF"/>
          </w:tcPr>
          <w:p>
            <w:pPr>
              <w:spacing w:after="0"/>
              <w:rPr>
                <w:sz w:val="15"/>
                <w:szCs w:val="15"/>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shd w:val="clear" w:color="auto" w:fill="CCEEFF"/>
          </w:tcPr>
          <w:p>
            <w:pPr>
              <w:jc w:val="right"/>
              <w:ind w:right="34"/>
              <w:spacing w:after="0"/>
              <w:rPr>
                <w:sz w:val="20"/>
                <w:szCs w:val="20"/>
                <w:color w:val="auto"/>
              </w:rPr>
            </w:pPr>
            <w:r>
              <w:rPr>
                <w:rFonts w:ascii="Arial" w:cs="Arial" w:eastAsia="Arial" w:hAnsi="Arial"/>
                <w:sz w:val="10"/>
                <w:szCs w:val="10"/>
                <w:color w:val="auto"/>
              </w:rPr>
              <w:t>(2,290)</w:t>
            </w:r>
          </w:p>
        </w:tc>
        <w:tc>
          <w:tcPr>
            <w:tcW w:w="100" w:type="dxa"/>
            <w:vAlign w:val="bottom"/>
            <w:tcBorders>
              <w:top w:val="single" w:sz="8" w:color="CCEEFF"/>
              <w:bottom w:val="single" w:sz="8" w:color="CCEEFF"/>
            </w:tcBorders>
            <w:shd w:val="clear" w:color="auto" w:fill="CCEEFF"/>
          </w:tcPr>
          <w:p>
            <w:pPr>
              <w:spacing w:after="0"/>
              <w:rPr>
                <w:sz w:val="15"/>
                <w:szCs w:val="15"/>
                <w:color w:val="auto"/>
              </w:rPr>
            </w:pPr>
          </w:p>
        </w:tc>
        <w:tc>
          <w:tcPr>
            <w:tcW w:w="280" w:type="dxa"/>
            <w:vAlign w:val="bottom"/>
            <w:tcBorders>
              <w:top w:val="single" w:sz="8" w:color="auto"/>
              <w:bottom w:val="single" w:sz="8" w:color="auto"/>
            </w:tcBorders>
            <w:shd w:val="clear" w:color="auto" w:fill="CCEEFF"/>
          </w:tcPr>
          <w:p>
            <w:pPr>
              <w:jc w:val="right"/>
              <w:ind w:right="152"/>
              <w:spacing w:after="0"/>
              <w:rPr>
                <w:sz w:val="20"/>
                <w:szCs w:val="20"/>
                <w:color w:val="auto"/>
              </w:rPr>
            </w:pPr>
            <w:r>
              <w:rPr>
                <w:rFonts w:ascii="Arial" w:cs="Arial" w:eastAsia="Arial" w:hAnsi="Arial"/>
                <w:sz w:val="10"/>
                <w:szCs w:val="10"/>
                <w:color w:val="auto"/>
              </w:rPr>
              <w:t>$</w:t>
            </w:r>
          </w:p>
        </w:tc>
        <w:tc>
          <w:tcPr>
            <w:tcW w:w="620" w:type="dxa"/>
            <w:vAlign w:val="bottom"/>
            <w:tcBorders>
              <w:top w:val="single" w:sz="8" w:color="auto"/>
              <w:bottom w:val="single" w:sz="8" w:color="auto"/>
            </w:tcBorders>
            <w:shd w:val="clear" w:color="auto" w:fill="CCEEFF"/>
          </w:tcPr>
          <w:p>
            <w:pPr>
              <w:jc w:val="right"/>
              <w:ind w:right="14"/>
              <w:spacing w:after="0"/>
              <w:rPr>
                <w:sz w:val="20"/>
                <w:szCs w:val="20"/>
                <w:color w:val="auto"/>
              </w:rPr>
            </w:pPr>
            <w:r>
              <w:rPr>
                <w:rFonts w:ascii="Arial" w:cs="Arial" w:eastAsia="Arial" w:hAnsi="Arial"/>
                <w:sz w:val="10"/>
                <w:szCs w:val="10"/>
                <w:color w:val="auto"/>
              </w:rPr>
              <w:t>(2,286)</w:t>
            </w:r>
          </w:p>
        </w:tc>
        <w:tc>
          <w:tcPr>
            <w:tcW w:w="120" w:type="dxa"/>
            <w:vAlign w:val="bottom"/>
            <w:tcBorders>
              <w:top w:val="single" w:sz="8" w:color="CCEEFF"/>
              <w:bottom w:val="single" w:sz="8" w:color="CCEEFF"/>
            </w:tcBorders>
            <w:shd w:val="clear" w:color="auto" w:fill="CCEEFF"/>
          </w:tcPr>
          <w:p>
            <w:pPr>
              <w:spacing w:after="0"/>
              <w:rPr>
                <w:sz w:val="15"/>
                <w:szCs w:val="15"/>
                <w:color w:val="auto"/>
              </w:rPr>
            </w:pPr>
          </w:p>
        </w:tc>
        <w:tc>
          <w:tcPr>
            <w:tcW w:w="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4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4</w:t>
            </w:r>
          </w:p>
        </w:tc>
      </w:tr>
      <w:tr>
        <w:trPr>
          <w:trHeight w:val="127"/>
        </w:trPr>
        <w:tc>
          <w:tcPr>
            <w:tcW w:w="2760" w:type="dxa"/>
            <w:vAlign w:val="bottom"/>
          </w:tcPr>
          <w:p>
            <w:pPr>
              <w:spacing w:after="0" w:line="127" w:lineRule="exact"/>
              <w:rPr>
                <w:sz w:val="20"/>
                <w:szCs w:val="20"/>
                <w:color w:val="auto"/>
              </w:rPr>
            </w:pPr>
            <w:r>
              <w:rPr>
                <w:rFonts w:ascii="Arial" w:cs="Arial" w:eastAsia="Arial" w:hAnsi="Arial"/>
                <w:sz w:val="12"/>
                <w:szCs w:val="12"/>
                <w:color w:val="auto"/>
              </w:rPr>
              <w:t>_____________________</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r>
    </w:tbl>
    <w:p>
      <w:pPr>
        <w:ind w:left="420" w:hanging="212"/>
        <w:spacing w:after="0" w:line="225" w:lineRule="auto"/>
        <w:tabs>
          <w:tab w:leader="none" w:pos="420" w:val="left"/>
        </w:tabs>
        <w:numPr>
          <w:ilvl w:val="0"/>
          <w:numId w:val="7"/>
        </w:numPr>
        <w:rPr>
          <w:rFonts w:ascii="Arial" w:cs="Arial" w:eastAsia="Arial" w:hAnsi="Arial"/>
          <w:sz w:val="10"/>
          <w:szCs w:val="10"/>
          <w:color w:val="auto"/>
        </w:rPr>
      </w:pPr>
      <w:r>
        <w:rPr>
          <w:rFonts w:ascii="Arial" w:cs="Arial" w:eastAsia="Arial" w:hAnsi="Arial"/>
          <w:sz w:val="10"/>
          <w:szCs w:val="10"/>
          <w:color w:val="auto"/>
        </w:rPr>
        <w:t>Notional amount represents the par value (or principal balance) of the underlying U.S. Treasury security.</w:t>
      </w:r>
    </w:p>
    <w:p>
      <w:pPr>
        <w:ind w:left="420" w:hanging="212"/>
        <w:spacing w:after="0" w:line="236" w:lineRule="auto"/>
        <w:tabs>
          <w:tab w:leader="none" w:pos="420" w:val="left"/>
        </w:tabs>
        <w:numPr>
          <w:ilvl w:val="0"/>
          <w:numId w:val="7"/>
        </w:numPr>
        <w:rPr>
          <w:rFonts w:ascii="Arial" w:cs="Arial" w:eastAsia="Arial" w:hAnsi="Arial"/>
          <w:sz w:val="10"/>
          <w:szCs w:val="10"/>
          <w:color w:val="auto"/>
        </w:rPr>
      </w:pPr>
      <w:r>
        <w:rPr>
          <w:rFonts w:ascii="Arial" w:cs="Arial" w:eastAsia="Arial" w:hAnsi="Arial"/>
          <w:sz w:val="10"/>
          <w:szCs w:val="10"/>
          <w:color w:val="auto"/>
        </w:rPr>
        <w:t>Cost basis represents the forward price to be paid / (received) for the underlying U.S. Treasury security.</w:t>
      </w:r>
    </w:p>
    <w:p>
      <w:pPr>
        <w:spacing w:after="0" w:line="153"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17</w:t>
      </w:r>
    </w:p>
    <w:p>
      <w:pPr>
        <w:sectPr>
          <w:pgSz w:w="11900" w:h="16838" w:orient="portrait"/>
          <w:cols w:equalWidth="0" w:num="1">
            <w:col w:w="11480"/>
          </w:cols>
          <w:pgMar w:left="220" w:top="584" w:right="199" w:bottom="1440" w:gutter="0" w:footer="0" w:header="0"/>
        </w:sectPr>
      </w:pPr>
    </w:p>
    <w:bookmarkStart w:id="18" w:name="page19"/>
    <w:bookmarkEnd w:id="18"/>
    <w:p>
      <w:pPr>
        <w:ind w:left="420" w:hanging="212"/>
        <w:spacing w:after="0"/>
        <w:tabs>
          <w:tab w:leader="none" w:pos="420" w:val="left"/>
        </w:tabs>
        <w:numPr>
          <w:ilvl w:val="0"/>
          <w:numId w:val="8"/>
        </w:numPr>
        <w:rPr>
          <w:rFonts w:ascii="Arial" w:cs="Arial" w:eastAsia="Arial" w:hAnsi="Arial"/>
          <w:sz w:val="10"/>
          <w:szCs w:val="10"/>
          <w:color w:val="auto"/>
        </w:rPr>
      </w:pPr>
      <w:r>
        <w:rPr>
          <w:rFonts w:ascii="Arial" w:cs="Arial" w:eastAsia="Arial" w:hAnsi="Arial"/>
          <w:sz w:val="10"/>
          <w:szCs w:val="10"/>
          <w:color w:val="auto"/>
        </w:rPr>
        <w:t>Market value represents the current market value of U.S. Treasury futures as of period-end.</w:t>
      </w:r>
    </w:p>
    <w:p>
      <w:pPr>
        <w:spacing w:after="0" w:line="1" w:lineRule="exact"/>
        <w:rPr>
          <w:rFonts w:ascii="Arial" w:cs="Arial" w:eastAsia="Arial" w:hAnsi="Arial"/>
          <w:sz w:val="10"/>
          <w:szCs w:val="10"/>
          <w:color w:val="auto"/>
        </w:rPr>
      </w:pPr>
    </w:p>
    <w:p>
      <w:pPr>
        <w:ind w:left="420" w:hanging="212"/>
        <w:spacing w:after="0" w:line="236" w:lineRule="auto"/>
        <w:tabs>
          <w:tab w:leader="none" w:pos="420" w:val="left"/>
        </w:tabs>
        <w:numPr>
          <w:ilvl w:val="0"/>
          <w:numId w:val="8"/>
        </w:numPr>
        <w:rPr>
          <w:rFonts w:ascii="Arial" w:cs="Arial" w:eastAsia="Arial" w:hAnsi="Arial"/>
          <w:sz w:val="10"/>
          <w:szCs w:val="10"/>
          <w:color w:val="auto"/>
        </w:rPr>
      </w:pPr>
      <w:r>
        <w:rPr>
          <w:rFonts w:ascii="Arial" w:cs="Arial" w:eastAsia="Arial" w:hAnsi="Arial"/>
          <w:sz w:val="10"/>
          <w:szCs w:val="10"/>
          <w:color w:val="auto"/>
        </w:rPr>
        <w:t>Net carrying value represents the difference between the market value and the cost basis of U.S. Treasury futures as of period-end and is reported in derivative assets / (liabilities), at fair value in our consolidated balance sheets.</w:t>
      </w:r>
    </w:p>
    <w:p>
      <w:pPr>
        <w:spacing w:after="0" w:line="99"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tables summarize our TBA securities as of September 30, 2016 and December 31, 2015 (in millions):</w:t>
      </w: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2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gridSpan w:val="3"/>
          </w:tcPr>
          <w:p>
            <w:pPr>
              <w:jc w:val="right"/>
              <w:spacing w:after="0"/>
              <w:rPr>
                <w:sz w:val="20"/>
                <w:szCs w:val="20"/>
                <w:color w:val="auto"/>
              </w:rPr>
            </w:pPr>
            <w:r>
              <w:rPr>
                <w:rFonts w:ascii="Arial" w:cs="Arial" w:eastAsia="Arial" w:hAnsi="Arial"/>
                <w:sz w:val="10"/>
                <w:szCs w:val="10"/>
                <w:b w:val="1"/>
                <w:bCs w:val="1"/>
                <w:color w:val="auto"/>
              </w:rPr>
              <w:t>September 30, 2016</w:t>
            </w:r>
          </w:p>
        </w:tc>
        <w:tc>
          <w:tcPr>
            <w:tcW w:w="6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gridSpan w:val="3"/>
          </w:tcPr>
          <w:p>
            <w:pPr>
              <w:jc w:val="right"/>
              <w:ind w:right="32"/>
              <w:spacing w:after="0"/>
              <w:rPr>
                <w:sz w:val="20"/>
                <w:szCs w:val="20"/>
                <w:color w:val="auto"/>
              </w:rPr>
            </w:pPr>
            <w:r>
              <w:rPr>
                <w:rFonts w:ascii="Arial" w:cs="Arial" w:eastAsia="Arial" w:hAnsi="Arial"/>
                <w:sz w:val="10"/>
                <w:szCs w:val="10"/>
                <w:b w:val="1"/>
                <w:bCs w:val="1"/>
                <w:color w:val="auto"/>
              </w:rPr>
              <w:t>December 31, 2015</w:t>
            </w:r>
          </w:p>
        </w:tc>
        <w:tc>
          <w:tcPr>
            <w:tcW w:w="7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r>
      <w:tr>
        <w:trPr>
          <w:trHeight w:val="90"/>
        </w:trPr>
        <w:tc>
          <w:tcPr>
            <w:tcW w:w="23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80" w:type="dxa"/>
            <w:vAlign w:val="bottom"/>
            <w:gridSpan w:val="2"/>
          </w:tcPr>
          <w:p>
            <w:pPr>
              <w:ind w:left="320"/>
              <w:spacing w:after="0" w:line="91" w:lineRule="exact"/>
              <w:rPr>
                <w:sz w:val="20"/>
                <w:szCs w:val="20"/>
                <w:color w:val="auto"/>
              </w:rPr>
            </w:pPr>
            <w:r>
              <w:rPr>
                <w:rFonts w:ascii="Arial" w:cs="Arial" w:eastAsia="Arial" w:hAnsi="Arial"/>
                <w:sz w:val="8"/>
                <w:szCs w:val="8"/>
                <w:b w:val="1"/>
                <w:bCs w:val="1"/>
                <w:color w:val="auto"/>
              </w:rPr>
              <w:t>Notional</w:t>
            </w:r>
          </w:p>
        </w:tc>
        <w:tc>
          <w:tcPr>
            <w:tcW w:w="200" w:type="dxa"/>
            <w:vAlign w:val="bottom"/>
          </w:tcPr>
          <w:p>
            <w:pPr>
              <w:spacing w:after="0"/>
              <w:rPr>
                <w:sz w:val="7"/>
                <w:szCs w:val="7"/>
                <w:color w:val="auto"/>
              </w:rPr>
            </w:pPr>
          </w:p>
        </w:tc>
        <w:tc>
          <w:tcPr>
            <w:tcW w:w="840" w:type="dxa"/>
            <w:vAlign w:val="bottom"/>
            <w:gridSpan w:val="2"/>
          </w:tcPr>
          <w:p>
            <w:pPr>
              <w:ind w:left="180"/>
              <w:spacing w:after="0" w:line="91" w:lineRule="exact"/>
              <w:rPr>
                <w:sz w:val="20"/>
                <w:szCs w:val="20"/>
                <w:color w:val="auto"/>
              </w:rPr>
            </w:pPr>
            <w:r>
              <w:rPr>
                <w:rFonts w:ascii="Arial" w:cs="Arial" w:eastAsia="Arial" w:hAnsi="Arial"/>
                <w:sz w:val="8"/>
                <w:szCs w:val="8"/>
                <w:b w:val="1"/>
                <w:bCs w:val="1"/>
                <w:color w:val="auto"/>
              </w:rPr>
              <w:t>Cost</w:t>
            </w:r>
          </w:p>
        </w:tc>
        <w:tc>
          <w:tcPr>
            <w:tcW w:w="280" w:type="dxa"/>
            <w:vAlign w:val="bottom"/>
          </w:tcPr>
          <w:p>
            <w:pPr>
              <w:spacing w:after="0"/>
              <w:rPr>
                <w:sz w:val="7"/>
                <w:szCs w:val="7"/>
                <w:color w:val="auto"/>
              </w:rPr>
            </w:pPr>
          </w:p>
        </w:tc>
        <w:tc>
          <w:tcPr>
            <w:tcW w:w="760" w:type="dxa"/>
            <w:vAlign w:val="bottom"/>
            <w:gridSpan w:val="2"/>
          </w:tcPr>
          <w:p>
            <w:pPr>
              <w:ind w:left="40"/>
              <w:spacing w:after="0" w:line="91" w:lineRule="exact"/>
              <w:rPr>
                <w:sz w:val="20"/>
                <w:szCs w:val="20"/>
                <w:color w:val="auto"/>
              </w:rPr>
            </w:pPr>
            <w:r>
              <w:rPr>
                <w:rFonts w:ascii="Arial" w:cs="Arial" w:eastAsia="Arial" w:hAnsi="Arial"/>
                <w:sz w:val="8"/>
                <w:szCs w:val="8"/>
                <w:b w:val="1"/>
                <w:bCs w:val="1"/>
                <w:color w:val="auto"/>
              </w:rPr>
              <w:t>Market</w:t>
            </w:r>
          </w:p>
        </w:tc>
        <w:tc>
          <w:tcPr>
            <w:tcW w:w="8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240" w:type="dxa"/>
            <w:vAlign w:val="bottom"/>
            <w:gridSpan w:val="2"/>
          </w:tcPr>
          <w:p>
            <w:pPr>
              <w:ind w:left="340"/>
              <w:spacing w:after="0" w:line="91" w:lineRule="exact"/>
              <w:rPr>
                <w:sz w:val="20"/>
                <w:szCs w:val="20"/>
                <w:color w:val="auto"/>
              </w:rPr>
            </w:pPr>
            <w:r>
              <w:rPr>
                <w:rFonts w:ascii="Arial" w:cs="Arial" w:eastAsia="Arial" w:hAnsi="Arial"/>
                <w:sz w:val="8"/>
                <w:szCs w:val="8"/>
                <w:b w:val="1"/>
                <w:bCs w:val="1"/>
                <w:color w:val="auto"/>
              </w:rPr>
              <w:t>Notional</w:t>
            </w:r>
          </w:p>
        </w:tc>
        <w:tc>
          <w:tcPr>
            <w:tcW w:w="240" w:type="dxa"/>
            <w:vAlign w:val="bottom"/>
          </w:tcPr>
          <w:p>
            <w:pPr>
              <w:spacing w:after="0"/>
              <w:rPr>
                <w:sz w:val="7"/>
                <w:szCs w:val="7"/>
                <w:color w:val="auto"/>
              </w:rPr>
            </w:pPr>
          </w:p>
        </w:tc>
        <w:tc>
          <w:tcPr>
            <w:tcW w:w="900" w:type="dxa"/>
            <w:vAlign w:val="bottom"/>
            <w:gridSpan w:val="2"/>
          </w:tcPr>
          <w:p>
            <w:pPr>
              <w:ind w:left="200"/>
              <w:spacing w:after="0" w:line="91" w:lineRule="exact"/>
              <w:rPr>
                <w:sz w:val="20"/>
                <w:szCs w:val="20"/>
                <w:color w:val="auto"/>
              </w:rPr>
            </w:pPr>
            <w:r>
              <w:rPr>
                <w:rFonts w:ascii="Arial" w:cs="Arial" w:eastAsia="Arial" w:hAnsi="Arial"/>
                <w:sz w:val="8"/>
                <w:szCs w:val="8"/>
                <w:b w:val="1"/>
                <w:bCs w:val="1"/>
                <w:color w:val="auto"/>
              </w:rPr>
              <w:t>Cost</w:t>
            </w:r>
          </w:p>
        </w:tc>
        <w:tc>
          <w:tcPr>
            <w:tcW w:w="280" w:type="dxa"/>
            <w:vAlign w:val="bottom"/>
          </w:tcPr>
          <w:p>
            <w:pPr>
              <w:spacing w:after="0"/>
              <w:rPr>
                <w:sz w:val="7"/>
                <w:szCs w:val="7"/>
                <w:color w:val="auto"/>
              </w:rPr>
            </w:pPr>
          </w:p>
        </w:tc>
        <w:tc>
          <w:tcPr>
            <w:tcW w:w="840" w:type="dxa"/>
            <w:vAlign w:val="bottom"/>
            <w:gridSpan w:val="2"/>
          </w:tcPr>
          <w:p>
            <w:pPr>
              <w:ind w:left="80"/>
              <w:spacing w:after="0" w:line="91" w:lineRule="exact"/>
              <w:rPr>
                <w:sz w:val="20"/>
                <w:szCs w:val="20"/>
                <w:color w:val="auto"/>
              </w:rPr>
            </w:pPr>
            <w:r>
              <w:rPr>
                <w:rFonts w:ascii="Arial" w:cs="Arial" w:eastAsia="Arial" w:hAnsi="Arial"/>
                <w:sz w:val="8"/>
                <w:szCs w:val="8"/>
                <w:b w:val="1"/>
                <w:bCs w:val="1"/>
                <w:color w:val="auto"/>
              </w:rPr>
              <w:t>Market</w:t>
            </w:r>
          </w:p>
        </w:tc>
        <w:tc>
          <w:tcPr>
            <w:tcW w:w="100" w:type="dxa"/>
            <w:vAlign w:val="bottom"/>
          </w:tcPr>
          <w:p>
            <w:pPr>
              <w:spacing w:after="0"/>
              <w:rPr>
                <w:sz w:val="7"/>
                <w:szCs w:val="7"/>
                <w:color w:val="auto"/>
              </w:rPr>
            </w:pPr>
          </w:p>
        </w:tc>
        <w:tc>
          <w:tcPr>
            <w:tcW w:w="920" w:type="dxa"/>
            <w:vAlign w:val="bottom"/>
          </w:tcPr>
          <w:p>
            <w:pPr>
              <w:spacing w:after="0"/>
              <w:rPr>
                <w:sz w:val="7"/>
                <w:szCs w:val="7"/>
                <w:color w:val="auto"/>
              </w:rPr>
            </w:pPr>
          </w:p>
        </w:tc>
      </w:tr>
      <w:tr>
        <w:trPr>
          <w:trHeight w:val="113"/>
        </w:trPr>
        <w:tc>
          <w:tcPr>
            <w:tcW w:w="2300" w:type="dxa"/>
            <w:vAlign w:val="bottom"/>
            <w:tcBorders>
              <w:bottom w:val="single" w:sz="8" w:color="auto"/>
            </w:tcBorders>
          </w:tcPr>
          <w:p>
            <w:pPr>
              <w:ind w:left="20"/>
              <w:spacing w:after="0"/>
              <w:rPr>
                <w:sz w:val="20"/>
                <w:szCs w:val="20"/>
                <w:color w:val="auto"/>
              </w:rPr>
            </w:pPr>
            <w:r>
              <w:rPr>
                <w:rFonts w:ascii="Arial" w:cs="Arial" w:eastAsia="Arial" w:hAnsi="Arial"/>
                <w:sz w:val="8"/>
                <w:szCs w:val="8"/>
                <w:b w:val="1"/>
                <w:bCs w:val="1"/>
                <w:color w:val="auto"/>
              </w:rPr>
              <w:t>TBA Securities by Coupon</w:t>
            </w:r>
          </w:p>
        </w:tc>
        <w:tc>
          <w:tcPr>
            <w:tcW w:w="120" w:type="dxa"/>
            <w:vAlign w:val="bottom"/>
            <w:tcBorders>
              <w:bottom w:val="single" w:sz="8" w:color="CCEEFF"/>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1060" w:type="dxa"/>
            <w:vAlign w:val="bottom"/>
            <w:tcBorders>
              <w:bottom w:val="single" w:sz="8" w:color="auto"/>
            </w:tcBorders>
          </w:tcPr>
          <w:p>
            <w:pPr>
              <w:jc w:val="right"/>
              <w:ind w:right="93"/>
              <w:spacing w:after="0"/>
              <w:rPr>
                <w:sz w:val="20"/>
                <w:szCs w:val="20"/>
                <w:color w:val="auto"/>
              </w:rPr>
            </w:pPr>
            <w:r>
              <w:rPr>
                <w:rFonts w:ascii="Arial" w:cs="Arial" w:eastAsia="Arial" w:hAnsi="Arial"/>
                <w:sz w:val="8"/>
                <w:szCs w:val="8"/>
                <w:b w:val="1"/>
                <w:bCs w:val="1"/>
                <w:color w:val="auto"/>
                <w:w w:val="99"/>
              </w:rPr>
              <w:t xml:space="preserve">Amount - Long (Short) </w:t>
            </w:r>
            <w:r>
              <w:rPr>
                <w:rFonts w:ascii="Arial" w:cs="Arial" w:eastAsia="Arial" w:hAnsi="Arial"/>
                <w:sz w:val="5"/>
                <w:szCs w:val="5"/>
                <w:b w:val="1"/>
                <w:bCs w:val="1"/>
                <w:color w:val="auto"/>
                <w:w w:val="99"/>
              </w:rPr>
              <w:t>1</w:t>
            </w:r>
          </w:p>
        </w:tc>
        <w:tc>
          <w:tcPr>
            <w:tcW w:w="120" w:type="dxa"/>
            <w:vAlign w:val="bottom"/>
            <w:tcBorders>
              <w:bottom w:val="single" w:sz="8" w:color="CCEEFF"/>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720" w:type="dxa"/>
            <w:vAlign w:val="bottom"/>
            <w:tcBorders>
              <w:bottom w:val="single" w:sz="8" w:color="auto"/>
            </w:tcBorders>
          </w:tcPr>
          <w:p>
            <w:pPr>
              <w:jc w:val="right"/>
              <w:ind w:right="293"/>
              <w:spacing w:after="0"/>
              <w:rPr>
                <w:sz w:val="20"/>
                <w:szCs w:val="20"/>
                <w:color w:val="auto"/>
              </w:rPr>
            </w:pPr>
            <w:r>
              <w:rPr>
                <w:rFonts w:ascii="Arial" w:cs="Arial" w:eastAsia="Arial" w:hAnsi="Arial"/>
                <w:sz w:val="8"/>
                <w:szCs w:val="8"/>
                <w:b w:val="1"/>
                <w:bCs w:val="1"/>
                <w:color w:val="auto"/>
              </w:rPr>
              <w:t xml:space="preserve">Basis </w:t>
            </w:r>
            <w:r>
              <w:rPr>
                <w:rFonts w:ascii="Arial" w:cs="Arial" w:eastAsia="Arial" w:hAnsi="Arial"/>
                <w:sz w:val="5"/>
                <w:szCs w:val="5"/>
                <w:b w:val="1"/>
                <w:bCs w:val="1"/>
                <w:color w:val="auto"/>
              </w:rPr>
              <w:t>2</w:t>
            </w:r>
          </w:p>
        </w:tc>
        <w:tc>
          <w:tcPr>
            <w:tcW w:w="120" w:type="dxa"/>
            <w:vAlign w:val="bottom"/>
            <w:tcBorders>
              <w:bottom w:val="single" w:sz="8" w:color="CCEEFF"/>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640" w:type="dxa"/>
            <w:vAlign w:val="bottom"/>
            <w:tcBorders>
              <w:bottom w:val="single" w:sz="8" w:color="auto"/>
            </w:tcBorders>
          </w:tcPr>
          <w:p>
            <w:pPr>
              <w:jc w:val="right"/>
              <w:ind w:right="293"/>
              <w:spacing w:after="0"/>
              <w:rPr>
                <w:sz w:val="20"/>
                <w:szCs w:val="20"/>
                <w:color w:val="auto"/>
              </w:rPr>
            </w:pPr>
            <w:r>
              <w:rPr>
                <w:rFonts w:ascii="Arial" w:cs="Arial" w:eastAsia="Arial" w:hAnsi="Arial"/>
                <w:sz w:val="8"/>
                <w:szCs w:val="8"/>
                <w:b w:val="1"/>
                <w:bCs w:val="1"/>
                <w:color w:val="auto"/>
              </w:rPr>
              <w:t xml:space="preserve">Value </w:t>
            </w:r>
            <w:r>
              <w:rPr>
                <w:rFonts w:ascii="Arial" w:cs="Arial" w:eastAsia="Arial" w:hAnsi="Arial"/>
                <w:sz w:val="5"/>
                <w:szCs w:val="5"/>
                <w:b w:val="1"/>
                <w:bCs w:val="1"/>
                <w:color w:val="auto"/>
              </w:rPr>
              <w:t>3</w:t>
            </w:r>
          </w:p>
        </w:tc>
        <w:tc>
          <w:tcPr>
            <w:tcW w:w="120" w:type="dxa"/>
            <w:vAlign w:val="bottom"/>
            <w:tcBorders>
              <w:bottom w:val="single" w:sz="8" w:color="CCEEFF"/>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860" w:type="dxa"/>
            <w:vAlign w:val="bottom"/>
            <w:tcBorders>
              <w:bottom w:val="single" w:sz="8" w:color="auto"/>
            </w:tcBorders>
          </w:tcPr>
          <w:p>
            <w:pPr>
              <w:jc w:val="right"/>
              <w:ind w:right="53"/>
              <w:spacing w:after="0"/>
              <w:rPr>
                <w:sz w:val="20"/>
                <w:szCs w:val="20"/>
                <w:color w:val="auto"/>
              </w:rPr>
            </w:pPr>
            <w:r>
              <w:rPr>
                <w:rFonts w:ascii="Arial" w:cs="Arial" w:eastAsia="Arial" w:hAnsi="Arial"/>
                <w:sz w:val="8"/>
                <w:szCs w:val="8"/>
                <w:b w:val="1"/>
                <w:bCs w:val="1"/>
                <w:color w:val="auto"/>
                <w:w w:val="96"/>
              </w:rPr>
              <w:t xml:space="preserve">Net Carrying Value </w:t>
            </w:r>
            <w:r>
              <w:rPr>
                <w:rFonts w:ascii="Arial" w:cs="Arial" w:eastAsia="Arial" w:hAnsi="Arial"/>
                <w:sz w:val="5"/>
                <w:szCs w:val="5"/>
                <w:b w:val="1"/>
                <w:bCs w:val="1"/>
                <w:color w:val="auto"/>
                <w:w w:val="96"/>
              </w:rPr>
              <w:t>4</w:t>
            </w:r>
          </w:p>
        </w:tc>
        <w:tc>
          <w:tcPr>
            <w:tcW w:w="100" w:type="dxa"/>
            <w:vAlign w:val="bottom"/>
            <w:tcBorders>
              <w:bottom w:val="single" w:sz="8" w:color="CCEEFF"/>
            </w:tcBorders>
          </w:tcPr>
          <w:p>
            <w:pPr>
              <w:spacing w:after="0"/>
              <w:rPr>
                <w:sz w:val="9"/>
                <w:szCs w:val="9"/>
                <w:color w:val="auto"/>
              </w:rPr>
            </w:pPr>
          </w:p>
        </w:tc>
        <w:tc>
          <w:tcPr>
            <w:tcW w:w="140" w:type="dxa"/>
            <w:vAlign w:val="bottom"/>
            <w:tcBorders>
              <w:bottom w:val="single" w:sz="8" w:color="auto"/>
            </w:tcBorders>
          </w:tcPr>
          <w:p>
            <w:pPr>
              <w:spacing w:after="0"/>
              <w:rPr>
                <w:sz w:val="9"/>
                <w:szCs w:val="9"/>
                <w:color w:val="auto"/>
              </w:rPr>
            </w:pPr>
          </w:p>
        </w:tc>
        <w:tc>
          <w:tcPr>
            <w:tcW w:w="1140" w:type="dxa"/>
            <w:vAlign w:val="bottom"/>
            <w:tcBorders>
              <w:bottom w:val="single" w:sz="8" w:color="auto"/>
            </w:tcBorders>
          </w:tcPr>
          <w:p>
            <w:pPr>
              <w:jc w:val="right"/>
              <w:ind w:right="153"/>
              <w:spacing w:after="0"/>
              <w:rPr>
                <w:sz w:val="20"/>
                <w:szCs w:val="20"/>
                <w:color w:val="auto"/>
              </w:rPr>
            </w:pPr>
            <w:r>
              <w:rPr>
                <w:rFonts w:ascii="Arial" w:cs="Arial" w:eastAsia="Arial" w:hAnsi="Arial"/>
                <w:sz w:val="8"/>
                <w:szCs w:val="8"/>
                <w:b w:val="1"/>
                <w:bCs w:val="1"/>
                <w:color w:val="auto"/>
              </w:rPr>
              <w:t xml:space="preserve">Amount - Long (Short) </w:t>
            </w:r>
            <w:r>
              <w:rPr>
                <w:rFonts w:ascii="Arial" w:cs="Arial" w:eastAsia="Arial" w:hAnsi="Arial"/>
                <w:sz w:val="5"/>
                <w:szCs w:val="5"/>
                <w:b w:val="1"/>
                <w:bCs w:val="1"/>
                <w:color w:val="auto"/>
              </w:rPr>
              <w:t>1</w:t>
            </w:r>
          </w:p>
        </w:tc>
        <w:tc>
          <w:tcPr>
            <w:tcW w:w="100" w:type="dxa"/>
            <w:vAlign w:val="bottom"/>
            <w:tcBorders>
              <w:bottom w:val="single" w:sz="8" w:color="CCEEFF"/>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780" w:type="dxa"/>
            <w:vAlign w:val="bottom"/>
            <w:tcBorders>
              <w:bottom w:val="single" w:sz="8" w:color="auto"/>
            </w:tcBorders>
          </w:tcPr>
          <w:p>
            <w:pPr>
              <w:jc w:val="right"/>
              <w:ind w:right="333"/>
              <w:spacing w:after="0"/>
              <w:rPr>
                <w:sz w:val="20"/>
                <w:szCs w:val="20"/>
                <w:color w:val="auto"/>
              </w:rPr>
            </w:pPr>
            <w:r>
              <w:rPr>
                <w:rFonts w:ascii="Arial" w:cs="Arial" w:eastAsia="Arial" w:hAnsi="Arial"/>
                <w:sz w:val="8"/>
                <w:szCs w:val="8"/>
                <w:b w:val="1"/>
                <w:bCs w:val="1"/>
                <w:color w:val="auto"/>
              </w:rPr>
              <w:t xml:space="preserve">Basis </w:t>
            </w:r>
            <w:r>
              <w:rPr>
                <w:rFonts w:ascii="Arial" w:cs="Arial" w:eastAsia="Arial" w:hAnsi="Arial"/>
                <w:sz w:val="5"/>
                <w:szCs w:val="5"/>
                <w:b w:val="1"/>
                <w:bCs w:val="1"/>
                <w:color w:val="auto"/>
              </w:rPr>
              <w:t>2</w:t>
            </w:r>
          </w:p>
        </w:tc>
        <w:tc>
          <w:tcPr>
            <w:tcW w:w="120" w:type="dxa"/>
            <w:vAlign w:val="bottom"/>
            <w:tcBorders>
              <w:bottom w:val="single" w:sz="8" w:color="CCEEFF"/>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jc w:val="right"/>
              <w:ind w:right="353"/>
              <w:spacing w:after="0"/>
              <w:rPr>
                <w:sz w:val="20"/>
                <w:szCs w:val="20"/>
                <w:color w:val="auto"/>
              </w:rPr>
            </w:pPr>
            <w:r>
              <w:rPr>
                <w:rFonts w:ascii="Arial" w:cs="Arial" w:eastAsia="Arial" w:hAnsi="Arial"/>
                <w:sz w:val="8"/>
                <w:szCs w:val="8"/>
                <w:b w:val="1"/>
                <w:bCs w:val="1"/>
                <w:color w:val="auto"/>
              </w:rPr>
              <w:t xml:space="preserve">Value </w:t>
            </w:r>
            <w:r>
              <w:rPr>
                <w:rFonts w:ascii="Arial" w:cs="Arial" w:eastAsia="Arial" w:hAnsi="Arial"/>
                <w:sz w:val="5"/>
                <w:szCs w:val="5"/>
                <w:b w:val="1"/>
                <w:bCs w:val="1"/>
                <w:color w:val="auto"/>
              </w:rPr>
              <w:t>3</w:t>
            </w:r>
          </w:p>
        </w:tc>
        <w:tc>
          <w:tcPr>
            <w:tcW w:w="100" w:type="dxa"/>
            <w:vAlign w:val="bottom"/>
            <w:tcBorders>
              <w:bottom w:val="single" w:sz="8" w:color="CCEEFF"/>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920" w:type="dxa"/>
            <w:vAlign w:val="bottom"/>
            <w:tcBorders>
              <w:bottom w:val="single" w:sz="8" w:color="auto"/>
            </w:tcBorders>
          </w:tcPr>
          <w:p>
            <w:pPr>
              <w:jc w:val="right"/>
              <w:ind w:right="93"/>
              <w:spacing w:after="0"/>
              <w:rPr>
                <w:sz w:val="20"/>
                <w:szCs w:val="20"/>
                <w:color w:val="auto"/>
              </w:rPr>
            </w:pPr>
            <w:r>
              <w:rPr>
                <w:rFonts w:ascii="Arial" w:cs="Arial" w:eastAsia="Arial" w:hAnsi="Arial"/>
                <w:sz w:val="8"/>
                <w:szCs w:val="8"/>
                <w:b w:val="1"/>
                <w:bCs w:val="1"/>
                <w:color w:val="auto"/>
                <w:w w:val="99"/>
              </w:rPr>
              <w:t xml:space="preserve">Net Carrying Value </w:t>
            </w:r>
            <w:r>
              <w:rPr>
                <w:rFonts w:ascii="Arial" w:cs="Arial" w:eastAsia="Arial" w:hAnsi="Arial"/>
                <w:sz w:val="5"/>
                <w:szCs w:val="5"/>
                <w:b w:val="1"/>
                <w:bCs w:val="1"/>
                <w:color w:val="auto"/>
                <w:w w:val="99"/>
              </w:rPr>
              <w:t>4</w:t>
            </w:r>
          </w:p>
        </w:tc>
      </w:tr>
      <w:tr>
        <w:trPr>
          <w:trHeight w:val="175"/>
        </w:trPr>
        <w:tc>
          <w:tcPr>
            <w:tcW w:w="24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15-Year TBA securities:</w:t>
            </w:r>
          </w:p>
        </w:tc>
        <w:tc>
          <w:tcPr>
            <w:tcW w:w="10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7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1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7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7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920" w:type="dxa"/>
            <w:vAlign w:val="bottom"/>
            <w:shd w:val="clear" w:color="auto" w:fill="CCEEFF"/>
          </w:tcPr>
          <w:p>
            <w:pPr>
              <w:spacing w:after="0"/>
              <w:rPr>
                <w:sz w:val="15"/>
                <w:szCs w:val="15"/>
                <w:color w:val="auto"/>
              </w:rPr>
            </w:pPr>
          </w:p>
        </w:tc>
      </w:tr>
      <w:tr>
        <w:trPr>
          <w:trHeight w:val="176"/>
        </w:trPr>
        <w:tc>
          <w:tcPr>
            <w:tcW w:w="2300" w:type="dxa"/>
            <w:vAlign w:val="bottom"/>
          </w:tcPr>
          <w:p>
            <w:pPr>
              <w:ind w:left="120"/>
              <w:spacing w:after="0"/>
              <w:rPr>
                <w:sz w:val="20"/>
                <w:szCs w:val="20"/>
                <w:color w:val="auto"/>
              </w:rPr>
            </w:pPr>
            <w:r>
              <w:rPr>
                <w:rFonts w:ascii="Arial" w:cs="Arial" w:eastAsia="Arial" w:hAnsi="Arial"/>
                <w:sz w:val="10"/>
                <w:szCs w:val="10"/>
                <w:color w:val="auto"/>
              </w:rPr>
              <w:t>2.5%</w:t>
            </w:r>
          </w:p>
        </w:tc>
        <w:tc>
          <w:tcPr>
            <w:tcW w:w="120" w:type="dxa"/>
            <w:vAlign w:val="bottom"/>
          </w:tcPr>
          <w:p>
            <w:pPr>
              <w:spacing w:after="0"/>
              <w:rPr>
                <w:sz w:val="15"/>
                <w:szCs w:val="15"/>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Pr>
          <w:p>
            <w:pPr>
              <w:jc w:val="right"/>
              <w:ind w:right="73"/>
              <w:spacing w:after="0"/>
              <w:rPr>
                <w:sz w:val="20"/>
                <w:szCs w:val="20"/>
                <w:color w:val="auto"/>
              </w:rPr>
            </w:pPr>
            <w:r>
              <w:rPr>
                <w:rFonts w:ascii="Arial" w:cs="Arial" w:eastAsia="Arial" w:hAnsi="Arial"/>
                <w:sz w:val="10"/>
                <w:szCs w:val="10"/>
                <w:color w:val="auto"/>
              </w:rPr>
              <w:t>1,839</w:t>
            </w:r>
          </w:p>
        </w:tc>
        <w:tc>
          <w:tcPr>
            <w:tcW w:w="120" w:type="dxa"/>
            <w:vAlign w:val="bottom"/>
          </w:tcPr>
          <w:p>
            <w:pPr>
              <w:spacing w:after="0"/>
              <w:rPr>
                <w:sz w:val="15"/>
                <w:szCs w:val="15"/>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Pr>
          <w:p>
            <w:pPr>
              <w:jc w:val="right"/>
              <w:ind w:right="73"/>
              <w:spacing w:after="0"/>
              <w:rPr>
                <w:sz w:val="20"/>
                <w:szCs w:val="20"/>
                <w:color w:val="auto"/>
              </w:rPr>
            </w:pPr>
            <w:r>
              <w:rPr>
                <w:rFonts w:ascii="Arial" w:cs="Arial" w:eastAsia="Arial" w:hAnsi="Arial"/>
                <w:sz w:val="10"/>
                <w:szCs w:val="10"/>
                <w:color w:val="auto"/>
              </w:rPr>
              <w:t>1,891</w:t>
            </w:r>
          </w:p>
        </w:tc>
        <w:tc>
          <w:tcPr>
            <w:tcW w:w="120" w:type="dxa"/>
            <w:vAlign w:val="bottom"/>
          </w:tcPr>
          <w:p>
            <w:pPr>
              <w:spacing w:after="0"/>
              <w:rPr>
                <w:sz w:val="15"/>
                <w:szCs w:val="15"/>
                <w:color w:val="auto"/>
              </w:rPr>
            </w:pPr>
          </w:p>
        </w:tc>
        <w:tc>
          <w:tcPr>
            <w:tcW w:w="280" w:type="dxa"/>
            <w:vAlign w:val="bottom"/>
          </w:tcPr>
          <w:p>
            <w:pPr>
              <w:jc w:val="right"/>
              <w:ind w:right="172"/>
              <w:spacing w:after="0"/>
              <w:rPr>
                <w:sz w:val="20"/>
                <w:szCs w:val="20"/>
                <w:color w:val="auto"/>
              </w:rPr>
            </w:pPr>
            <w:r>
              <w:rPr>
                <w:rFonts w:ascii="Arial" w:cs="Arial" w:eastAsia="Arial" w:hAnsi="Arial"/>
                <w:sz w:val="10"/>
                <w:szCs w:val="10"/>
                <w:color w:val="auto"/>
                <w:w w:val="71"/>
              </w:rPr>
              <w:t>$</w:t>
            </w:r>
          </w:p>
        </w:tc>
        <w:tc>
          <w:tcPr>
            <w:tcW w:w="640" w:type="dxa"/>
            <w:vAlign w:val="bottom"/>
          </w:tcPr>
          <w:p>
            <w:pPr>
              <w:jc w:val="right"/>
              <w:ind w:right="73"/>
              <w:spacing w:after="0"/>
              <w:rPr>
                <w:sz w:val="20"/>
                <w:szCs w:val="20"/>
                <w:color w:val="auto"/>
              </w:rPr>
            </w:pPr>
            <w:r>
              <w:rPr>
                <w:rFonts w:ascii="Arial" w:cs="Arial" w:eastAsia="Arial" w:hAnsi="Arial"/>
                <w:sz w:val="10"/>
                <w:szCs w:val="10"/>
                <w:color w:val="auto"/>
              </w:rPr>
              <w:t>1,899</w:t>
            </w:r>
          </w:p>
        </w:tc>
        <w:tc>
          <w:tcPr>
            <w:tcW w:w="12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Pr>
          <w:p>
            <w:pPr>
              <w:jc w:val="right"/>
              <w:ind w:right="73"/>
              <w:spacing w:after="0"/>
              <w:rPr>
                <w:sz w:val="20"/>
                <w:szCs w:val="20"/>
                <w:color w:val="auto"/>
              </w:rPr>
            </w:pPr>
            <w:r>
              <w:rPr>
                <w:rFonts w:ascii="Arial" w:cs="Arial" w:eastAsia="Arial" w:hAnsi="Arial"/>
                <w:sz w:val="10"/>
                <w:szCs w:val="10"/>
                <w:color w:val="auto"/>
              </w:rPr>
              <w:t>8</w:t>
            </w:r>
          </w:p>
        </w:tc>
        <w:tc>
          <w:tcPr>
            <w:tcW w:w="100" w:type="dxa"/>
            <w:vAlign w:val="bottom"/>
          </w:tcPr>
          <w:p>
            <w:pPr>
              <w:spacing w:after="0"/>
              <w:rPr>
                <w:sz w:val="15"/>
                <w:szCs w:val="15"/>
                <w:color w:val="auto"/>
              </w:rPr>
            </w:pPr>
          </w:p>
        </w:tc>
        <w:tc>
          <w:tcPr>
            <w:tcW w:w="140" w:type="dxa"/>
            <w:vAlign w:val="bottom"/>
          </w:tcPr>
          <w:p>
            <w:pPr>
              <w:jc w:val="right"/>
              <w:ind w:right="12"/>
              <w:spacing w:after="0"/>
              <w:rPr>
                <w:sz w:val="20"/>
                <w:szCs w:val="20"/>
                <w:color w:val="auto"/>
              </w:rPr>
            </w:pPr>
            <w:r>
              <w:rPr>
                <w:rFonts w:ascii="Arial" w:cs="Arial" w:eastAsia="Arial" w:hAnsi="Arial"/>
                <w:sz w:val="10"/>
                <w:szCs w:val="10"/>
                <w:color w:val="auto"/>
              </w:rPr>
              <w:t>$</w:t>
            </w:r>
          </w:p>
        </w:tc>
        <w:tc>
          <w:tcPr>
            <w:tcW w:w="1140" w:type="dxa"/>
            <w:vAlign w:val="bottom"/>
          </w:tcPr>
          <w:p>
            <w:pPr>
              <w:jc w:val="right"/>
              <w:ind w:right="33"/>
              <w:spacing w:after="0"/>
              <w:rPr>
                <w:sz w:val="20"/>
                <w:szCs w:val="20"/>
                <w:color w:val="auto"/>
              </w:rPr>
            </w:pPr>
            <w:r>
              <w:rPr>
                <w:rFonts w:ascii="Arial" w:cs="Arial" w:eastAsia="Arial" w:hAnsi="Arial"/>
                <w:sz w:val="10"/>
                <w:szCs w:val="10"/>
                <w:color w:val="auto"/>
              </w:rPr>
              <w:t>(80)</w:t>
            </w:r>
          </w:p>
        </w:tc>
        <w:tc>
          <w:tcPr>
            <w:tcW w:w="100" w:type="dxa"/>
            <w:vAlign w:val="bottom"/>
          </w:tcPr>
          <w:p>
            <w:pPr>
              <w:spacing w:after="0"/>
              <w:rPr>
                <w:sz w:val="15"/>
                <w:szCs w:val="15"/>
                <w:color w:val="auto"/>
              </w:rPr>
            </w:pPr>
          </w:p>
        </w:tc>
        <w:tc>
          <w:tcPr>
            <w:tcW w:w="240" w:type="dxa"/>
            <w:vAlign w:val="bottom"/>
          </w:tcPr>
          <w:p>
            <w:pPr>
              <w:jc w:val="right"/>
              <w:ind w:right="112"/>
              <w:spacing w:after="0"/>
              <w:rPr>
                <w:sz w:val="20"/>
                <w:szCs w:val="20"/>
                <w:color w:val="auto"/>
              </w:rPr>
            </w:pPr>
            <w:r>
              <w:rPr>
                <w:rFonts w:ascii="Arial" w:cs="Arial" w:eastAsia="Arial" w:hAnsi="Arial"/>
                <w:sz w:val="10"/>
                <w:szCs w:val="10"/>
                <w:color w:val="auto"/>
              </w:rPr>
              <w:t>$</w:t>
            </w:r>
          </w:p>
        </w:tc>
        <w:tc>
          <w:tcPr>
            <w:tcW w:w="780" w:type="dxa"/>
            <w:vAlign w:val="bottom"/>
          </w:tcPr>
          <w:p>
            <w:pPr>
              <w:jc w:val="right"/>
              <w:ind w:right="33"/>
              <w:spacing w:after="0"/>
              <w:rPr>
                <w:sz w:val="20"/>
                <w:szCs w:val="20"/>
                <w:color w:val="auto"/>
              </w:rPr>
            </w:pPr>
            <w:r>
              <w:rPr>
                <w:rFonts w:ascii="Arial" w:cs="Arial" w:eastAsia="Arial" w:hAnsi="Arial"/>
                <w:sz w:val="10"/>
                <w:szCs w:val="10"/>
                <w:color w:val="auto"/>
              </w:rPr>
              <w:t>(81)</w:t>
            </w:r>
          </w:p>
        </w:tc>
        <w:tc>
          <w:tcPr>
            <w:tcW w:w="120" w:type="dxa"/>
            <w:vAlign w:val="bottom"/>
          </w:tcPr>
          <w:p>
            <w:pPr>
              <w:spacing w:after="0"/>
              <w:rPr>
                <w:sz w:val="15"/>
                <w:szCs w:val="15"/>
                <w:color w:val="auto"/>
              </w:rPr>
            </w:pPr>
          </w:p>
        </w:tc>
        <w:tc>
          <w:tcPr>
            <w:tcW w:w="280" w:type="dxa"/>
            <w:vAlign w:val="bottom"/>
          </w:tcPr>
          <w:p>
            <w:pPr>
              <w:jc w:val="right"/>
              <w:ind w:right="172"/>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ind w:right="33"/>
              <w:spacing w:after="0"/>
              <w:rPr>
                <w:sz w:val="20"/>
                <w:szCs w:val="20"/>
                <w:color w:val="auto"/>
              </w:rPr>
            </w:pPr>
            <w:r>
              <w:rPr>
                <w:rFonts w:ascii="Arial" w:cs="Arial" w:eastAsia="Arial" w:hAnsi="Arial"/>
                <w:sz w:val="10"/>
                <w:szCs w:val="10"/>
                <w:color w:val="auto"/>
              </w:rPr>
              <w:t>(80)</w:t>
            </w:r>
          </w:p>
        </w:tc>
        <w:tc>
          <w:tcPr>
            <w:tcW w:w="100" w:type="dxa"/>
            <w:vAlign w:val="bottom"/>
          </w:tcPr>
          <w:p>
            <w:pPr>
              <w:spacing w:after="0"/>
              <w:rPr>
                <w:sz w:val="15"/>
                <w:szCs w:val="15"/>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73"/>
              <w:spacing w:after="0"/>
              <w:rPr>
                <w:sz w:val="20"/>
                <w:szCs w:val="20"/>
                <w:color w:val="auto"/>
              </w:rPr>
            </w:pPr>
            <w:r>
              <w:rPr>
                <w:rFonts w:ascii="Arial" w:cs="Arial" w:eastAsia="Arial" w:hAnsi="Arial"/>
                <w:sz w:val="10"/>
                <w:szCs w:val="10"/>
                <w:color w:val="auto"/>
              </w:rPr>
              <w:t>1</w:t>
            </w:r>
          </w:p>
        </w:tc>
      </w:tr>
      <w:tr>
        <w:trPr>
          <w:trHeight w:val="184"/>
        </w:trPr>
        <w:tc>
          <w:tcPr>
            <w:tcW w:w="23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3.0%</w:t>
            </w: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6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293</w:t>
            </w:r>
          </w:p>
        </w:tc>
        <w:tc>
          <w:tcPr>
            <w:tcW w:w="1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2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306</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6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307</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1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225</w:t>
            </w:r>
          </w:p>
        </w:tc>
        <w:tc>
          <w:tcPr>
            <w:tcW w:w="1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80" w:type="dxa"/>
            <w:vAlign w:val="bottom"/>
            <w:shd w:val="clear" w:color="auto" w:fill="CCEEFF"/>
          </w:tcPr>
          <w:p>
            <w:pPr>
              <w:jc w:val="right"/>
              <w:ind w:right="53"/>
              <w:spacing w:after="0"/>
              <w:rPr>
                <w:sz w:val="20"/>
                <w:szCs w:val="20"/>
                <w:color w:val="auto"/>
              </w:rPr>
            </w:pPr>
            <w:r>
              <w:rPr>
                <w:rFonts w:ascii="Arial" w:cs="Arial" w:eastAsia="Arial" w:hAnsi="Arial"/>
                <w:sz w:val="10"/>
                <w:szCs w:val="10"/>
                <w:color w:val="auto"/>
              </w:rPr>
              <w:t>233</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7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232</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right"/>
              <w:ind w:right="33"/>
              <w:spacing w:after="0"/>
              <w:rPr>
                <w:sz w:val="20"/>
                <w:szCs w:val="20"/>
                <w:color w:val="auto"/>
              </w:rPr>
            </w:pPr>
            <w:r>
              <w:rPr>
                <w:rFonts w:ascii="Arial" w:cs="Arial" w:eastAsia="Arial" w:hAnsi="Arial"/>
                <w:sz w:val="10"/>
                <w:szCs w:val="10"/>
                <w:color w:val="auto"/>
              </w:rPr>
              <w:t>(1)</w:t>
            </w:r>
          </w:p>
        </w:tc>
      </w:tr>
      <w:tr>
        <w:trPr>
          <w:trHeight w:val="176"/>
        </w:trPr>
        <w:tc>
          <w:tcPr>
            <w:tcW w:w="2300" w:type="dxa"/>
            <w:vAlign w:val="bottom"/>
          </w:tcPr>
          <w:p>
            <w:pPr>
              <w:ind w:left="120"/>
              <w:spacing w:after="0"/>
              <w:rPr>
                <w:sz w:val="20"/>
                <w:szCs w:val="20"/>
                <w:color w:val="auto"/>
              </w:rPr>
            </w:pPr>
            <w:r>
              <w:rPr>
                <w:rFonts w:ascii="Arial" w:cs="Arial" w:eastAsia="Arial" w:hAnsi="Arial"/>
                <w:sz w:val="10"/>
                <w:szCs w:val="10"/>
                <w:color w:val="auto"/>
              </w:rPr>
              <w:t>3.5%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60" w:type="dxa"/>
            <w:vAlign w:val="bottom"/>
          </w:tcPr>
          <w:p>
            <w:pPr>
              <w:jc w:val="right"/>
              <w:ind w:right="73"/>
              <w:spacing w:after="0"/>
              <w:rPr>
                <w:sz w:val="20"/>
                <w:szCs w:val="20"/>
                <w:color w:val="auto"/>
              </w:rPr>
            </w:pPr>
            <w:r>
              <w:rPr>
                <w:rFonts w:ascii="Arial" w:cs="Arial" w:eastAsia="Arial" w:hAnsi="Arial"/>
                <w:sz w:val="10"/>
                <w:szCs w:val="10"/>
                <w:color w:val="auto"/>
              </w:rPr>
              <w:t>95</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20" w:type="dxa"/>
            <w:vAlign w:val="bottom"/>
          </w:tcPr>
          <w:p>
            <w:pPr>
              <w:jc w:val="right"/>
              <w:ind w:right="73"/>
              <w:spacing w:after="0"/>
              <w:rPr>
                <w:sz w:val="20"/>
                <w:szCs w:val="20"/>
                <w:color w:val="auto"/>
              </w:rPr>
            </w:pPr>
            <w:r>
              <w:rPr>
                <w:rFonts w:ascii="Arial" w:cs="Arial" w:eastAsia="Arial" w:hAnsi="Arial"/>
                <w:sz w:val="10"/>
                <w:szCs w:val="10"/>
                <w:color w:val="auto"/>
              </w:rPr>
              <w:t>100</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640" w:type="dxa"/>
            <w:vAlign w:val="bottom"/>
          </w:tcPr>
          <w:p>
            <w:pPr>
              <w:jc w:val="right"/>
              <w:ind w:right="73"/>
              <w:spacing w:after="0"/>
              <w:rPr>
                <w:sz w:val="20"/>
                <w:szCs w:val="20"/>
                <w:color w:val="auto"/>
              </w:rPr>
            </w:pPr>
            <w:r>
              <w:rPr>
                <w:rFonts w:ascii="Arial" w:cs="Arial" w:eastAsia="Arial" w:hAnsi="Arial"/>
                <w:sz w:val="10"/>
                <w:szCs w:val="10"/>
                <w:color w:val="auto"/>
              </w:rPr>
              <w:t>100</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6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5"/>
                <w:szCs w:val="15"/>
                <w:color w:val="auto"/>
              </w:rPr>
            </w:pPr>
          </w:p>
        </w:tc>
        <w:tc>
          <w:tcPr>
            <w:tcW w:w="1140" w:type="dxa"/>
            <w:vAlign w:val="bottom"/>
          </w:tcPr>
          <w:p>
            <w:pPr>
              <w:jc w:val="right"/>
              <w:ind w:right="73"/>
              <w:spacing w:after="0"/>
              <w:rPr>
                <w:sz w:val="20"/>
                <w:szCs w:val="20"/>
                <w:color w:val="auto"/>
              </w:rPr>
            </w:pPr>
            <w:r>
              <w:rPr>
                <w:rFonts w:ascii="Arial" w:cs="Arial" w:eastAsia="Arial" w:hAnsi="Arial"/>
                <w:sz w:val="10"/>
                <w:szCs w:val="10"/>
                <w:color w:val="auto"/>
              </w:rPr>
              <w:t>136</w:t>
            </w: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80" w:type="dxa"/>
            <w:vAlign w:val="bottom"/>
          </w:tcPr>
          <w:p>
            <w:pPr>
              <w:jc w:val="right"/>
              <w:ind w:right="53"/>
              <w:spacing w:after="0"/>
              <w:rPr>
                <w:sz w:val="20"/>
                <w:szCs w:val="20"/>
                <w:color w:val="auto"/>
              </w:rPr>
            </w:pPr>
            <w:r>
              <w:rPr>
                <w:rFonts w:ascii="Arial" w:cs="Arial" w:eastAsia="Arial" w:hAnsi="Arial"/>
                <w:sz w:val="10"/>
                <w:szCs w:val="10"/>
                <w:color w:val="auto"/>
              </w:rPr>
              <w:t>143</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740" w:type="dxa"/>
            <w:vAlign w:val="bottom"/>
          </w:tcPr>
          <w:p>
            <w:pPr>
              <w:jc w:val="right"/>
              <w:ind w:right="73"/>
              <w:spacing w:after="0"/>
              <w:rPr>
                <w:sz w:val="20"/>
                <w:szCs w:val="20"/>
                <w:color w:val="auto"/>
              </w:rPr>
            </w:pPr>
            <w:r>
              <w:rPr>
                <w:rFonts w:ascii="Arial" w:cs="Arial" w:eastAsia="Arial" w:hAnsi="Arial"/>
                <w:sz w:val="10"/>
                <w:szCs w:val="10"/>
                <w:color w:val="auto"/>
              </w:rPr>
              <w:t>142</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jc w:val="right"/>
              <w:ind w:right="33"/>
              <w:spacing w:after="0"/>
              <w:rPr>
                <w:sz w:val="20"/>
                <w:szCs w:val="20"/>
                <w:color w:val="auto"/>
              </w:rPr>
            </w:pPr>
            <w:r>
              <w:rPr>
                <w:rFonts w:ascii="Arial" w:cs="Arial" w:eastAsia="Arial" w:hAnsi="Arial"/>
                <w:sz w:val="10"/>
                <w:szCs w:val="10"/>
                <w:color w:val="auto"/>
              </w:rPr>
              <w:t>(1)</w:t>
            </w:r>
          </w:p>
        </w:tc>
      </w:tr>
      <w:tr>
        <w:trPr>
          <w:trHeight w:val="164"/>
        </w:trPr>
        <w:tc>
          <w:tcPr>
            <w:tcW w:w="2420" w:type="dxa"/>
            <w:vAlign w:val="bottom"/>
            <w:tcBorders>
              <w:top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Total 15-Year TBAs</w:t>
            </w:r>
          </w:p>
        </w:tc>
        <w:tc>
          <w:tcPr>
            <w:tcW w:w="100" w:type="dxa"/>
            <w:vAlign w:val="bottom"/>
            <w:tcBorders>
              <w:top w:val="single" w:sz="8" w:color="auto"/>
              <w:bottom w:val="single" w:sz="8" w:color="auto"/>
            </w:tcBorders>
            <w:shd w:val="clear" w:color="auto" w:fill="CCEEFF"/>
          </w:tcPr>
          <w:p>
            <w:pPr>
              <w:spacing w:after="0"/>
              <w:rPr>
                <w:sz w:val="14"/>
                <w:szCs w:val="14"/>
                <w:color w:val="auto"/>
              </w:rPr>
            </w:pPr>
          </w:p>
        </w:tc>
        <w:tc>
          <w:tcPr>
            <w:tcW w:w="106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2,227</w:t>
            </w:r>
          </w:p>
        </w:tc>
        <w:tc>
          <w:tcPr>
            <w:tcW w:w="120" w:type="dxa"/>
            <w:vAlign w:val="bottom"/>
            <w:tcBorders>
              <w:top w:val="single" w:sz="8" w:color="CCEEFF"/>
            </w:tcBorders>
            <w:shd w:val="clear" w:color="auto" w:fill="CCEEFF"/>
          </w:tcPr>
          <w:p>
            <w:pPr>
              <w:spacing w:after="0"/>
              <w:rPr>
                <w:sz w:val="14"/>
                <w:szCs w:val="14"/>
                <w:color w:val="auto"/>
              </w:rPr>
            </w:pPr>
          </w:p>
        </w:tc>
        <w:tc>
          <w:tcPr>
            <w:tcW w:w="200" w:type="dxa"/>
            <w:vAlign w:val="bottom"/>
            <w:tcBorders>
              <w:top w:val="single" w:sz="8" w:color="auto"/>
              <w:bottom w:val="single" w:sz="8" w:color="auto"/>
            </w:tcBorders>
            <w:shd w:val="clear" w:color="auto" w:fill="CCEEFF"/>
          </w:tcPr>
          <w:p>
            <w:pPr>
              <w:spacing w:after="0"/>
              <w:rPr>
                <w:sz w:val="14"/>
                <w:szCs w:val="14"/>
                <w:color w:val="auto"/>
              </w:rPr>
            </w:pPr>
          </w:p>
        </w:tc>
        <w:tc>
          <w:tcPr>
            <w:tcW w:w="72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2,297</w:t>
            </w:r>
          </w:p>
        </w:tc>
        <w:tc>
          <w:tcPr>
            <w:tcW w:w="120" w:type="dxa"/>
            <w:vAlign w:val="bottom"/>
            <w:tcBorders>
              <w:top w:val="single" w:sz="8" w:color="CCEEFF"/>
            </w:tcBorders>
            <w:shd w:val="clear" w:color="auto" w:fill="CCEEFF"/>
          </w:tcPr>
          <w:p>
            <w:pPr>
              <w:spacing w:after="0"/>
              <w:rPr>
                <w:sz w:val="14"/>
                <w:szCs w:val="14"/>
                <w:color w:val="auto"/>
              </w:rPr>
            </w:pPr>
          </w:p>
        </w:tc>
        <w:tc>
          <w:tcPr>
            <w:tcW w:w="280" w:type="dxa"/>
            <w:vAlign w:val="bottom"/>
            <w:tcBorders>
              <w:top w:val="single" w:sz="8" w:color="auto"/>
              <w:bottom w:val="single" w:sz="8" w:color="auto"/>
            </w:tcBorders>
            <w:shd w:val="clear" w:color="auto" w:fill="CCEEFF"/>
          </w:tcPr>
          <w:p>
            <w:pPr>
              <w:spacing w:after="0"/>
              <w:rPr>
                <w:sz w:val="14"/>
                <w:szCs w:val="14"/>
                <w:color w:val="auto"/>
              </w:rPr>
            </w:pPr>
          </w:p>
        </w:tc>
        <w:tc>
          <w:tcPr>
            <w:tcW w:w="64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2,306</w:t>
            </w: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bottom w:val="single" w:sz="8" w:color="auto"/>
            </w:tcBorders>
            <w:shd w:val="clear" w:color="auto" w:fill="CCEEFF"/>
          </w:tcPr>
          <w:p>
            <w:pPr>
              <w:spacing w:after="0"/>
              <w:rPr>
                <w:sz w:val="14"/>
                <w:szCs w:val="14"/>
                <w:color w:val="auto"/>
              </w:rPr>
            </w:pPr>
          </w:p>
        </w:tc>
        <w:tc>
          <w:tcPr>
            <w:tcW w:w="86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9</w:t>
            </w:r>
          </w:p>
        </w:tc>
        <w:tc>
          <w:tcPr>
            <w:tcW w:w="10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bottom w:val="single" w:sz="8" w:color="auto"/>
            </w:tcBorders>
            <w:shd w:val="clear" w:color="auto" w:fill="CCEEFF"/>
          </w:tcPr>
          <w:p>
            <w:pPr>
              <w:spacing w:after="0"/>
              <w:rPr>
                <w:sz w:val="14"/>
                <w:szCs w:val="14"/>
                <w:color w:val="auto"/>
              </w:rPr>
            </w:pPr>
          </w:p>
        </w:tc>
        <w:tc>
          <w:tcPr>
            <w:tcW w:w="114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281</w:t>
            </w:r>
          </w:p>
        </w:tc>
        <w:tc>
          <w:tcPr>
            <w:tcW w:w="100" w:type="dxa"/>
            <w:vAlign w:val="bottom"/>
            <w:tcBorders>
              <w:top w:val="single" w:sz="8" w:color="CCEEFF"/>
            </w:tcBorders>
            <w:shd w:val="clear" w:color="auto" w:fill="CCEEFF"/>
          </w:tcPr>
          <w:p>
            <w:pPr>
              <w:spacing w:after="0"/>
              <w:rPr>
                <w:sz w:val="14"/>
                <w:szCs w:val="14"/>
                <w:color w:val="auto"/>
              </w:rPr>
            </w:pPr>
          </w:p>
        </w:tc>
        <w:tc>
          <w:tcPr>
            <w:tcW w:w="240" w:type="dxa"/>
            <w:vAlign w:val="bottom"/>
            <w:tcBorders>
              <w:top w:val="single" w:sz="8" w:color="auto"/>
              <w:bottom w:val="single" w:sz="8" w:color="auto"/>
            </w:tcBorders>
            <w:shd w:val="clear" w:color="auto" w:fill="CCEEFF"/>
          </w:tcPr>
          <w:p>
            <w:pPr>
              <w:spacing w:after="0"/>
              <w:rPr>
                <w:sz w:val="14"/>
                <w:szCs w:val="14"/>
                <w:color w:val="auto"/>
              </w:rPr>
            </w:pPr>
          </w:p>
        </w:tc>
        <w:tc>
          <w:tcPr>
            <w:tcW w:w="780" w:type="dxa"/>
            <w:vAlign w:val="bottom"/>
            <w:tcBorders>
              <w:top w:val="single" w:sz="8" w:color="auto"/>
              <w:bottom w:val="single" w:sz="8" w:color="auto"/>
            </w:tcBorders>
            <w:shd w:val="clear" w:color="auto" w:fill="CCEEFF"/>
          </w:tcPr>
          <w:p>
            <w:pPr>
              <w:jc w:val="right"/>
              <w:ind w:right="53"/>
              <w:spacing w:after="0"/>
              <w:rPr>
                <w:sz w:val="20"/>
                <w:szCs w:val="20"/>
                <w:color w:val="auto"/>
              </w:rPr>
            </w:pPr>
            <w:r>
              <w:rPr>
                <w:rFonts w:ascii="Arial" w:cs="Arial" w:eastAsia="Arial" w:hAnsi="Arial"/>
                <w:sz w:val="10"/>
                <w:szCs w:val="10"/>
                <w:color w:val="auto"/>
              </w:rPr>
              <w:t>295</w:t>
            </w:r>
          </w:p>
        </w:tc>
        <w:tc>
          <w:tcPr>
            <w:tcW w:w="120" w:type="dxa"/>
            <w:vAlign w:val="bottom"/>
            <w:tcBorders>
              <w:top w:val="single" w:sz="8" w:color="CCEEFF"/>
            </w:tcBorders>
            <w:shd w:val="clear" w:color="auto" w:fill="CCEEFF"/>
          </w:tcPr>
          <w:p>
            <w:pPr>
              <w:spacing w:after="0"/>
              <w:rPr>
                <w:sz w:val="14"/>
                <w:szCs w:val="14"/>
                <w:color w:val="auto"/>
              </w:rPr>
            </w:pPr>
          </w:p>
        </w:tc>
        <w:tc>
          <w:tcPr>
            <w:tcW w:w="280" w:type="dxa"/>
            <w:vAlign w:val="bottom"/>
            <w:tcBorders>
              <w:top w:val="single" w:sz="8" w:color="auto"/>
              <w:bottom w:val="single" w:sz="8" w:color="auto"/>
            </w:tcBorders>
            <w:shd w:val="clear" w:color="auto" w:fill="CCEEFF"/>
          </w:tcPr>
          <w:p>
            <w:pPr>
              <w:spacing w:after="0"/>
              <w:rPr>
                <w:sz w:val="14"/>
                <w:szCs w:val="14"/>
                <w:color w:val="auto"/>
              </w:rPr>
            </w:pPr>
          </w:p>
        </w:tc>
        <w:tc>
          <w:tcPr>
            <w:tcW w:w="74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294</w:t>
            </w:r>
          </w:p>
        </w:tc>
        <w:tc>
          <w:tcPr>
            <w:tcW w:w="10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bottom w:val="single" w:sz="8" w:color="auto"/>
            </w:tcBorders>
            <w:shd w:val="clear" w:color="auto" w:fill="CCEEFF"/>
          </w:tcPr>
          <w:p>
            <w:pPr>
              <w:spacing w:after="0"/>
              <w:rPr>
                <w:sz w:val="14"/>
                <w:szCs w:val="14"/>
                <w:color w:val="auto"/>
              </w:rPr>
            </w:pPr>
          </w:p>
        </w:tc>
        <w:tc>
          <w:tcPr>
            <w:tcW w:w="920" w:type="dxa"/>
            <w:vAlign w:val="bottom"/>
            <w:tcBorders>
              <w:top w:val="single" w:sz="8" w:color="auto"/>
              <w:bottom w:val="single" w:sz="8" w:color="auto"/>
            </w:tcBorders>
            <w:shd w:val="clear" w:color="auto" w:fill="CCEEFF"/>
          </w:tcPr>
          <w:p>
            <w:pPr>
              <w:jc w:val="right"/>
              <w:ind w:right="33"/>
              <w:spacing w:after="0"/>
              <w:rPr>
                <w:sz w:val="20"/>
                <w:szCs w:val="20"/>
                <w:color w:val="auto"/>
              </w:rPr>
            </w:pPr>
            <w:r>
              <w:rPr>
                <w:rFonts w:ascii="Arial" w:cs="Arial" w:eastAsia="Arial" w:hAnsi="Arial"/>
                <w:sz w:val="10"/>
                <w:szCs w:val="10"/>
                <w:color w:val="auto"/>
              </w:rPr>
              <w:t>(1)</w:t>
            </w:r>
          </w:p>
        </w:tc>
      </w:tr>
      <w:tr>
        <w:trPr>
          <w:trHeight w:val="165"/>
        </w:trPr>
        <w:tc>
          <w:tcPr>
            <w:tcW w:w="2420" w:type="dxa"/>
            <w:vAlign w:val="bottom"/>
            <w:gridSpan w:val="2"/>
          </w:tcPr>
          <w:p>
            <w:pPr>
              <w:ind w:left="20"/>
              <w:spacing w:after="0"/>
              <w:rPr>
                <w:sz w:val="20"/>
                <w:szCs w:val="20"/>
                <w:color w:val="auto"/>
              </w:rPr>
            </w:pPr>
            <w:r>
              <w:rPr>
                <w:rFonts w:ascii="Arial" w:cs="Arial" w:eastAsia="Arial" w:hAnsi="Arial"/>
                <w:sz w:val="10"/>
                <w:szCs w:val="10"/>
                <w:color w:val="auto"/>
              </w:rPr>
              <w:t>30-Year TBA securities:</w:t>
            </w:r>
          </w:p>
        </w:tc>
        <w:tc>
          <w:tcPr>
            <w:tcW w:w="10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tcPr>
          <w:p>
            <w:pPr>
              <w:spacing w:after="0"/>
              <w:rPr>
                <w:sz w:val="14"/>
                <w:szCs w:val="14"/>
                <w:color w:val="auto"/>
              </w:rPr>
            </w:pPr>
          </w:p>
        </w:tc>
      </w:tr>
      <w:tr>
        <w:trPr>
          <w:trHeight w:val="184"/>
        </w:trPr>
        <w:tc>
          <w:tcPr>
            <w:tcW w:w="23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 xml:space="preserve">3.0% </w:t>
            </w:r>
            <w:r>
              <w:rPr>
                <w:rFonts w:ascii="Arial" w:cs="Arial" w:eastAsia="Arial" w:hAnsi="Arial"/>
                <w:sz w:val="5"/>
                <w:szCs w:val="5"/>
                <w:color w:val="auto"/>
              </w:rPr>
              <w:t>5</w:t>
            </w: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6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7,031</w:t>
            </w:r>
          </w:p>
        </w:tc>
        <w:tc>
          <w:tcPr>
            <w:tcW w:w="1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2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7,276</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6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7,303</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27</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1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3,914</w:t>
            </w:r>
          </w:p>
        </w:tc>
        <w:tc>
          <w:tcPr>
            <w:tcW w:w="1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80" w:type="dxa"/>
            <w:vAlign w:val="bottom"/>
            <w:shd w:val="clear" w:color="auto" w:fill="CCEEFF"/>
          </w:tcPr>
          <w:p>
            <w:pPr>
              <w:jc w:val="right"/>
              <w:ind w:right="53"/>
              <w:spacing w:after="0"/>
              <w:rPr>
                <w:sz w:val="20"/>
                <w:szCs w:val="20"/>
                <w:color w:val="auto"/>
              </w:rPr>
            </w:pPr>
            <w:r>
              <w:rPr>
                <w:rFonts w:ascii="Arial" w:cs="Arial" w:eastAsia="Arial" w:hAnsi="Arial"/>
                <w:sz w:val="10"/>
                <w:szCs w:val="10"/>
                <w:color w:val="auto"/>
              </w:rPr>
              <w:t>3,911</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7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3,916</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5</w:t>
            </w:r>
          </w:p>
        </w:tc>
      </w:tr>
      <w:tr>
        <w:trPr>
          <w:trHeight w:val="176"/>
        </w:trPr>
        <w:tc>
          <w:tcPr>
            <w:tcW w:w="2300" w:type="dxa"/>
            <w:vAlign w:val="bottom"/>
          </w:tcPr>
          <w:p>
            <w:pPr>
              <w:ind w:left="120"/>
              <w:spacing w:after="0"/>
              <w:rPr>
                <w:sz w:val="20"/>
                <w:szCs w:val="20"/>
                <w:color w:val="auto"/>
              </w:rPr>
            </w:pPr>
            <w:r>
              <w:rPr>
                <w:rFonts w:ascii="Arial" w:cs="Arial" w:eastAsia="Arial" w:hAnsi="Arial"/>
                <w:sz w:val="10"/>
                <w:szCs w:val="10"/>
                <w:color w:val="auto"/>
              </w:rPr>
              <w:t>3.5%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60" w:type="dxa"/>
            <w:vAlign w:val="bottom"/>
          </w:tcPr>
          <w:p>
            <w:pPr>
              <w:jc w:val="right"/>
              <w:ind w:right="73"/>
              <w:spacing w:after="0"/>
              <w:rPr>
                <w:sz w:val="20"/>
                <w:szCs w:val="20"/>
                <w:color w:val="auto"/>
              </w:rPr>
            </w:pPr>
            <w:r>
              <w:rPr>
                <w:rFonts w:ascii="Arial" w:cs="Arial" w:eastAsia="Arial" w:hAnsi="Arial"/>
                <w:sz w:val="10"/>
                <w:szCs w:val="10"/>
                <w:color w:val="auto"/>
              </w:rPr>
              <w:t>3,156</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20" w:type="dxa"/>
            <w:vAlign w:val="bottom"/>
          </w:tcPr>
          <w:p>
            <w:pPr>
              <w:jc w:val="right"/>
              <w:ind w:right="73"/>
              <w:spacing w:after="0"/>
              <w:rPr>
                <w:sz w:val="20"/>
                <w:szCs w:val="20"/>
                <w:color w:val="auto"/>
              </w:rPr>
            </w:pPr>
            <w:r>
              <w:rPr>
                <w:rFonts w:ascii="Arial" w:cs="Arial" w:eastAsia="Arial" w:hAnsi="Arial"/>
                <w:sz w:val="10"/>
                <w:szCs w:val="10"/>
                <w:color w:val="auto"/>
              </w:rPr>
              <w:t>3,322</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640" w:type="dxa"/>
            <w:vAlign w:val="bottom"/>
          </w:tcPr>
          <w:p>
            <w:pPr>
              <w:jc w:val="right"/>
              <w:ind w:right="73"/>
              <w:spacing w:after="0"/>
              <w:rPr>
                <w:sz w:val="20"/>
                <w:szCs w:val="20"/>
                <w:color w:val="auto"/>
              </w:rPr>
            </w:pPr>
            <w:r>
              <w:rPr>
                <w:rFonts w:ascii="Arial" w:cs="Arial" w:eastAsia="Arial" w:hAnsi="Arial"/>
                <w:sz w:val="10"/>
                <w:szCs w:val="10"/>
                <w:color w:val="auto"/>
              </w:rPr>
              <w:t>3,327</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60" w:type="dxa"/>
            <w:vAlign w:val="bottom"/>
          </w:tcPr>
          <w:p>
            <w:pPr>
              <w:jc w:val="right"/>
              <w:ind w:right="73"/>
              <w:spacing w:after="0"/>
              <w:rPr>
                <w:sz w:val="20"/>
                <w:szCs w:val="20"/>
                <w:color w:val="auto"/>
              </w:rPr>
            </w:pPr>
            <w:r>
              <w:rPr>
                <w:rFonts w:ascii="Arial" w:cs="Arial" w:eastAsia="Arial" w:hAnsi="Arial"/>
                <w:sz w:val="10"/>
                <w:szCs w:val="10"/>
                <w:color w:val="auto"/>
              </w:rPr>
              <w:t>5</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140" w:type="dxa"/>
            <w:vAlign w:val="bottom"/>
          </w:tcPr>
          <w:p>
            <w:pPr>
              <w:jc w:val="right"/>
              <w:ind w:right="73"/>
              <w:spacing w:after="0"/>
              <w:rPr>
                <w:sz w:val="20"/>
                <w:szCs w:val="20"/>
                <w:color w:val="auto"/>
              </w:rPr>
            </w:pPr>
            <w:r>
              <w:rPr>
                <w:rFonts w:ascii="Arial" w:cs="Arial" w:eastAsia="Arial" w:hAnsi="Arial"/>
                <w:sz w:val="10"/>
                <w:szCs w:val="10"/>
                <w:color w:val="auto"/>
              </w:rPr>
              <w:t>1,497</w:t>
            </w: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80" w:type="dxa"/>
            <w:vAlign w:val="bottom"/>
          </w:tcPr>
          <w:p>
            <w:pPr>
              <w:jc w:val="right"/>
              <w:ind w:right="53"/>
              <w:spacing w:after="0"/>
              <w:rPr>
                <w:sz w:val="20"/>
                <w:szCs w:val="20"/>
                <w:color w:val="auto"/>
              </w:rPr>
            </w:pPr>
            <w:r>
              <w:rPr>
                <w:rFonts w:ascii="Arial" w:cs="Arial" w:eastAsia="Arial" w:hAnsi="Arial"/>
                <w:sz w:val="10"/>
                <w:szCs w:val="10"/>
                <w:color w:val="auto"/>
              </w:rPr>
              <w:t>1,536</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740" w:type="dxa"/>
            <w:vAlign w:val="bottom"/>
          </w:tcPr>
          <w:p>
            <w:pPr>
              <w:jc w:val="right"/>
              <w:ind w:right="73"/>
              <w:spacing w:after="0"/>
              <w:rPr>
                <w:sz w:val="20"/>
                <w:szCs w:val="20"/>
                <w:color w:val="auto"/>
              </w:rPr>
            </w:pPr>
            <w:r>
              <w:rPr>
                <w:rFonts w:ascii="Arial" w:cs="Arial" w:eastAsia="Arial" w:hAnsi="Arial"/>
                <w:sz w:val="10"/>
                <w:szCs w:val="10"/>
                <w:color w:val="auto"/>
              </w:rPr>
              <w:t>1,539</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jc w:val="right"/>
              <w:ind w:right="73"/>
              <w:spacing w:after="0"/>
              <w:rPr>
                <w:sz w:val="20"/>
                <w:szCs w:val="20"/>
                <w:color w:val="auto"/>
              </w:rPr>
            </w:pPr>
            <w:r>
              <w:rPr>
                <w:rFonts w:ascii="Arial" w:cs="Arial" w:eastAsia="Arial" w:hAnsi="Arial"/>
                <w:sz w:val="10"/>
                <w:szCs w:val="10"/>
                <w:color w:val="auto"/>
              </w:rPr>
              <w:t>3</w:t>
            </w:r>
          </w:p>
        </w:tc>
      </w:tr>
      <w:tr>
        <w:trPr>
          <w:trHeight w:val="184"/>
        </w:trPr>
        <w:tc>
          <w:tcPr>
            <w:tcW w:w="23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4.0%</w:t>
            </w: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6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2,368</w:t>
            </w:r>
          </w:p>
        </w:tc>
        <w:tc>
          <w:tcPr>
            <w:tcW w:w="1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2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2,537</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6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2,542</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5</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1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1,575</w:t>
            </w:r>
          </w:p>
        </w:tc>
        <w:tc>
          <w:tcPr>
            <w:tcW w:w="1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80" w:type="dxa"/>
            <w:vAlign w:val="bottom"/>
            <w:shd w:val="clear" w:color="auto" w:fill="CCEEFF"/>
          </w:tcPr>
          <w:p>
            <w:pPr>
              <w:jc w:val="right"/>
              <w:ind w:right="53"/>
              <w:spacing w:after="0"/>
              <w:rPr>
                <w:sz w:val="20"/>
                <w:szCs w:val="20"/>
                <w:color w:val="auto"/>
              </w:rPr>
            </w:pPr>
            <w:r>
              <w:rPr>
                <w:rFonts w:ascii="Arial" w:cs="Arial" w:eastAsia="Arial" w:hAnsi="Arial"/>
                <w:sz w:val="10"/>
                <w:szCs w:val="10"/>
                <w:color w:val="auto"/>
              </w:rPr>
              <w:t>1,658</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74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1,665</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7</w:t>
            </w:r>
          </w:p>
        </w:tc>
      </w:tr>
      <w:tr>
        <w:trPr>
          <w:trHeight w:val="176"/>
        </w:trPr>
        <w:tc>
          <w:tcPr>
            <w:tcW w:w="2300" w:type="dxa"/>
            <w:vAlign w:val="bottom"/>
          </w:tcPr>
          <w:p>
            <w:pPr>
              <w:ind w:left="120"/>
              <w:spacing w:after="0"/>
              <w:rPr>
                <w:sz w:val="20"/>
                <w:szCs w:val="20"/>
                <w:color w:val="auto"/>
              </w:rPr>
            </w:pPr>
            <w:r>
              <w:rPr>
                <w:rFonts w:ascii="Arial" w:cs="Arial" w:eastAsia="Arial" w:hAnsi="Arial"/>
                <w:sz w:val="10"/>
                <w:szCs w:val="10"/>
                <w:color w:val="auto"/>
              </w:rPr>
              <w:t>4.5%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60" w:type="dxa"/>
            <w:vAlign w:val="bottom"/>
          </w:tcPr>
          <w:p>
            <w:pPr>
              <w:jc w:val="right"/>
              <w:ind w:right="73"/>
              <w:spacing w:after="0"/>
              <w:rPr>
                <w:sz w:val="20"/>
                <w:szCs w:val="20"/>
                <w:color w:val="auto"/>
              </w:rPr>
            </w:pPr>
            <w:r>
              <w:rPr>
                <w:rFonts w:ascii="Arial" w:cs="Arial" w:eastAsia="Arial" w:hAnsi="Arial"/>
                <w:sz w:val="10"/>
                <w:szCs w:val="10"/>
                <w:color w:val="auto"/>
              </w:rPr>
              <w:t>99</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20" w:type="dxa"/>
            <w:vAlign w:val="bottom"/>
          </w:tcPr>
          <w:p>
            <w:pPr>
              <w:jc w:val="right"/>
              <w:ind w:right="73"/>
              <w:spacing w:after="0"/>
              <w:rPr>
                <w:sz w:val="20"/>
                <w:szCs w:val="20"/>
                <w:color w:val="auto"/>
              </w:rPr>
            </w:pPr>
            <w:r>
              <w:rPr>
                <w:rFonts w:ascii="Arial" w:cs="Arial" w:eastAsia="Arial" w:hAnsi="Arial"/>
                <w:sz w:val="10"/>
                <w:szCs w:val="10"/>
                <w:color w:val="auto"/>
              </w:rPr>
              <w:t>108</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640" w:type="dxa"/>
            <w:vAlign w:val="bottom"/>
          </w:tcPr>
          <w:p>
            <w:pPr>
              <w:jc w:val="right"/>
              <w:ind w:right="73"/>
              <w:spacing w:after="0"/>
              <w:rPr>
                <w:sz w:val="20"/>
                <w:szCs w:val="20"/>
                <w:color w:val="auto"/>
              </w:rPr>
            </w:pPr>
            <w:r>
              <w:rPr>
                <w:rFonts w:ascii="Arial" w:cs="Arial" w:eastAsia="Arial" w:hAnsi="Arial"/>
                <w:sz w:val="10"/>
                <w:szCs w:val="10"/>
                <w:color w:val="auto"/>
              </w:rPr>
              <w:t>108</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6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5"/>
                <w:szCs w:val="15"/>
                <w:color w:val="auto"/>
              </w:rPr>
            </w:pPr>
          </w:p>
        </w:tc>
        <w:tc>
          <w:tcPr>
            <w:tcW w:w="1140" w:type="dxa"/>
            <w:vAlign w:val="bottom"/>
          </w:tcPr>
          <w:p>
            <w:pPr>
              <w:jc w:val="right"/>
              <w:ind w:right="73"/>
              <w:spacing w:after="0"/>
              <w:rPr>
                <w:sz w:val="20"/>
                <w:szCs w:val="20"/>
                <w:color w:val="auto"/>
              </w:rPr>
            </w:pPr>
            <w:r>
              <w:rPr>
                <w:rFonts w:ascii="Arial" w:cs="Arial" w:eastAsia="Arial" w:hAnsi="Arial"/>
                <w:sz w:val="10"/>
                <w:szCs w:val="10"/>
                <w:color w:val="auto"/>
              </w:rPr>
              <w:t>28</w:t>
            </w: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80" w:type="dxa"/>
            <w:vAlign w:val="bottom"/>
          </w:tcPr>
          <w:p>
            <w:pPr>
              <w:jc w:val="right"/>
              <w:ind w:right="53"/>
              <w:spacing w:after="0"/>
              <w:rPr>
                <w:sz w:val="20"/>
                <w:szCs w:val="20"/>
                <w:color w:val="auto"/>
              </w:rPr>
            </w:pPr>
            <w:r>
              <w:rPr>
                <w:rFonts w:ascii="Arial" w:cs="Arial" w:eastAsia="Arial" w:hAnsi="Arial"/>
                <w:sz w:val="10"/>
                <w:szCs w:val="10"/>
                <w:color w:val="auto"/>
              </w:rPr>
              <w:t>30</w:t>
            </w:r>
          </w:p>
        </w:tc>
        <w:tc>
          <w:tcPr>
            <w:tcW w:w="1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740" w:type="dxa"/>
            <w:vAlign w:val="bottom"/>
          </w:tcPr>
          <w:p>
            <w:pPr>
              <w:jc w:val="right"/>
              <w:ind w:right="73"/>
              <w:spacing w:after="0"/>
              <w:rPr>
                <w:sz w:val="20"/>
                <w:szCs w:val="20"/>
                <w:color w:val="auto"/>
              </w:rPr>
            </w:pPr>
            <w:r>
              <w:rPr>
                <w:rFonts w:ascii="Arial" w:cs="Arial" w:eastAsia="Arial" w:hAnsi="Arial"/>
                <w:sz w:val="10"/>
                <w:szCs w:val="10"/>
                <w:color w:val="auto"/>
              </w:rPr>
              <w:t>30</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jc w:val="right"/>
              <w:ind w:right="73"/>
              <w:spacing w:after="0"/>
              <w:rPr>
                <w:sz w:val="20"/>
                <w:szCs w:val="20"/>
                <w:color w:val="auto"/>
              </w:rPr>
            </w:pPr>
            <w:r>
              <w:rPr>
                <w:rFonts w:ascii="Arial" w:cs="Arial" w:eastAsia="Arial" w:hAnsi="Arial"/>
                <w:sz w:val="10"/>
                <w:szCs w:val="10"/>
                <w:color w:val="auto"/>
              </w:rPr>
              <w:t>—</w:t>
            </w:r>
          </w:p>
        </w:tc>
      </w:tr>
      <w:tr>
        <w:trPr>
          <w:trHeight w:val="160"/>
        </w:trPr>
        <w:tc>
          <w:tcPr>
            <w:tcW w:w="2420" w:type="dxa"/>
            <w:vAlign w:val="bottom"/>
            <w:tcBorders>
              <w:top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Total 30-Year TBAs</w:t>
            </w:r>
          </w:p>
        </w:tc>
        <w:tc>
          <w:tcPr>
            <w:tcW w:w="100" w:type="dxa"/>
            <w:vAlign w:val="bottom"/>
            <w:tcBorders>
              <w:top w:val="single" w:sz="8" w:color="auto"/>
              <w:bottom w:val="single" w:sz="8" w:color="auto"/>
            </w:tcBorders>
            <w:shd w:val="clear" w:color="auto" w:fill="CCEEFF"/>
          </w:tcPr>
          <w:p>
            <w:pPr>
              <w:spacing w:after="0"/>
              <w:rPr>
                <w:sz w:val="13"/>
                <w:szCs w:val="13"/>
                <w:color w:val="auto"/>
              </w:rPr>
            </w:pPr>
          </w:p>
        </w:tc>
        <w:tc>
          <w:tcPr>
            <w:tcW w:w="106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12,654</w:t>
            </w:r>
          </w:p>
        </w:tc>
        <w:tc>
          <w:tcPr>
            <w:tcW w:w="120" w:type="dxa"/>
            <w:vAlign w:val="bottom"/>
            <w:tcBorders>
              <w:top w:val="single" w:sz="8" w:color="CCEEFF"/>
            </w:tcBorders>
            <w:shd w:val="clear" w:color="auto" w:fill="CCEEFF"/>
          </w:tcPr>
          <w:p>
            <w:pPr>
              <w:spacing w:after="0"/>
              <w:rPr>
                <w:sz w:val="13"/>
                <w:szCs w:val="13"/>
                <w:color w:val="auto"/>
              </w:rPr>
            </w:pPr>
          </w:p>
        </w:tc>
        <w:tc>
          <w:tcPr>
            <w:tcW w:w="200" w:type="dxa"/>
            <w:vAlign w:val="bottom"/>
            <w:tcBorders>
              <w:top w:val="single" w:sz="8" w:color="auto"/>
              <w:bottom w:val="single" w:sz="8" w:color="auto"/>
            </w:tcBorders>
            <w:shd w:val="clear" w:color="auto" w:fill="CCEEFF"/>
          </w:tcPr>
          <w:p>
            <w:pPr>
              <w:spacing w:after="0"/>
              <w:rPr>
                <w:sz w:val="13"/>
                <w:szCs w:val="13"/>
                <w:color w:val="auto"/>
              </w:rPr>
            </w:pPr>
          </w:p>
        </w:tc>
        <w:tc>
          <w:tcPr>
            <w:tcW w:w="72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13,243</w:t>
            </w:r>
          </w:p>
        </w:tc>
        <w:tc>
          <w:tcPr>
            <w:tcW w:w="120" w:type="dxa"/>
            <w:vAlign w:val="bottom"/>
            <w:tcBorders>
              <w:top w:val="single" w:sz="8" w:color="CCEEFF"/>
            </w:tcBorders>
            <w:shd w:val="clear" w:color="auto" w:fill="CCEEFF"/>
          </w:tcPr>
          <w:p>
            <w:pPr>
              <w:spacing w:after="0"/>
              <w:rPr>
                <w:sz w:val="13"/>
                <w:szCs w:val="13"/>
                <w:color w:val="auto"/>
              </w:rPr>
            </w:pPr>
          </w:p>
        </w:tc>
        <w:tc>
          <w:tcPr>
            <w:tcW w:w="280" w:type="dxa"/>
            <w:vAlign w:val="bottom"/>
            <w:tcBorders>
              <w:top w:val="single" w:sz="8" w:color="auto"/>
              <w:bottom w:val="single" w:sz="8" w:color="auto"/>
            </w:tcBorders>
            <w:shd w:val="clear" w:color="auto" w:fill="CCEEFF"/>
          </w:tcPr>
          <w:p>
            <w:pPr>
              <w:spacing w:after="0"/>
              <w:rPr>
                <w:sz w:val="13"/>
                <w:szCs w:val="13"/>
                <w:color w:val="auto"/>
              </w:rPr>
            </w:pPr>
          </w:p>
        </w:tc>
        <w:tc>
          <w:tcPr>
            <w:tcW w:w="64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13,280</w:t>
            </w:r>
          </w:p>
        </w:tc>
        <w:tc>
          <w:tcPr>
            <w:tcW w:w="12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bottom w:val="single" w:sz="8" w:color="auto"/>
            </w:tcBorders>
            <w:shd w:val="clear" w:color="auto" w:fill="CCEEFF"/>
          </w:tcPr>
          <w:p>
            <w:pPr>
              <w:spacing w:after="0"/>
              <w:rPr>
                <w:sz w:val="13"/>
                <w:szCs w:val="13"/>
                <w:color w:val="auto"/>
              </w:rPr>
            </w:pPr>
          </w:p>
        </w:tc>
        <w:tc>
          <w:tcPr>
            <w:tcW w:w="86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37</w:t>
            </w:r>
          </w:p>
        </w:tc>
        <w:tc>
          <w:tcPr>
            <w:tcW w:w="100" w:type="dxa"/>
            <w:vAlign w:val="bottom"/>
            <w:tcBorders>
              <w:top w:val="single" w:sz="8" w:color="CCEEFF"/>
            </w:tcBorders>
            <w:shd w:val="clear" w:color="auto" w:fill="CCEEFF"/>
          </w:tcPr>
          <w:p>
            <w:pPr>
              <w:spacing w:after="0"/>
              <w:rPr>
                <w:sz w:val="13"/>
                <w:szCs w:val="13"/>
                <w:color w:val="auto"/>
              </w:rPr>
            </w:pPr>
          </w:p>
        </w:tc>
        <w:tc>
          <w:tcPr>
            <w:tcW w:w="140" w:type="dxa"/>
            <w:vAlign w:val="bottom"/>
            <w:tcBorders>
              <w:top w:val="single" w:sz="8" w:color="auto"/>
              <w:bottom w:val="single" w:sz="8" w:color="auto"/>
            </w:tcBorders>
            <w:shd w:val="clear" w:color="auto" w:fill="CCEEFF"/>
          </w:tcPr>
          <w:p>
            <w:pPr>
              <w:spacing w:after="0"/>
              <w:rPr>
                <w:sz w:val="13"/>
                <w:szCs w:val="13"/>
                <w:color w:val="auto"/>
              </w:rPr>
            </w:pPr>
          </w:p>
        </w:tc>
        <w:tc>
          <w:tcPr>
            <w:tcW w:w="114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7,014</w:t>
            </w:r>
          </w:p>
        </w:tc>
        <w:tc>
          <w:tcPr>
            <w:tcW w:w="100" w:type="dxa"/>
            <w:vAlign w:val="bottom"/>
            <w:tcBorders>
              <w:top w:val="single" w:sz="8" w:color="CCEEFF"/>
            </w:tcBorders>
            <w:shd w:val="clear" w:color="auto" w:fill="CCEEFF"/>
          </w:tcPr>
          <w:p>
            <w:pPr>
              <w:spacing w:after="0"/>
              <w:rPr>
                <w:sz w:val="13"/>
                <w:szCs w:val="13"/>
                <w:color w:val="auto"/>
              </w:rPr>
            </w:pPr>
          </w:p>
        </w:tc>
        <w:tc>
          <w:tcPr>
            <w:tcW w:w="240" w:type="dxa"/>
            <w:vAlign w:val="bottom"/>
            <w:tcBorders>
              <w:top w:val="single" w:sz="8" w:color="auto"/>
              <w:bottom w:val="single" w:sz="8" w:color="auto"/>
            </w:tcBorders>
            <w:shd w:val="clear" w:color="auto" w:fill="CCEEFF"/>
          </w:tcPr>
          <w:p>
            <w:pPr>
              <w:spacing w:after="0"/>
              <w:rPr>
                <w:sz w:val="13"/>
                <w:szCs w:val="13"/>
                <w:color w:val="auto"/>
              </w:rPr>
            </w:pPr>
          </w:p>
        </w:tc>
        <w:tc>
          <w:tcPr>
            <w:tcW w:w="780" w:type="dxa"/>
            <w:vAlign w:val="bottom"/>
            <w:tcBorders>
              <w:top w:val="single" w:sz="8" w:color="auto"/>
              <w:bottom w:val="single" w:sz="8" w:color="auto"/>
            </w:tcBorders>
            <w:shd w:val="clear" w:color="auto" w:fill="CCEEFF"/>
          </w:tcPr>
          <w:p>
            <w:pPr>
              <w:jc w:val="right"/>
              <w:ind w:right="53"/>
              <w:spacing w:after="0"/>
              <w:rPr>
                <w:sz w:val="20"/>
                <w:szCs w:val="20"/>
                <w:color w:val="auto"/>
              </w:rPr>
            </w:pPr>
            <w:r>
              <w:rPr>
                <w:rFonts w:ascii="Arial" w:cs="Arial" w:eastAsia="Arial" w:hAnsi="Arial"/>
                <w:sz w:val="10"/>
                <w:szCs w:val="10"/>
                <w:color w:val="auto"/>
              </w:rPr>
              <w:t>7,135</w:t>
            </w:r>
          </w:p>
        </w:tc>
        <w:tc>
          <w:tcPr>
            <w:tcW w:w="120" w:type="dxa"/>
            <w:vAlign w:val="bottom"/>
            <w:tcBorders>
              <w:top w:val="single" w:sz="8" w:color="CCEEFF"/>
            </w:tcBorders>
            <w:shd w:val="clear" w:color="auto" w:fill="CCEEFF"/>
          </w:tcPr>
          <w:p>
            <w:pPr>
              <w:spacing w:after="0"/>
              <w:rPr>
                <w:sz w:val="13"/>
                <w:szCs w:val="13"/>
                <w:color w:val="auto"/>
              </w:rPr>
            </w:pPr>
          </w:p>
        </w:tc>
        <w:tc>
          <w:tcPr>
            <w:tcW w:w="280" w:type="dxa"/>
            <w:vAlign w:val="bottom"/>
            <w:tcBorders>
              <w:top w:val="single" w:sz="8" w:color="auto"/>
              <w:bottom w:val="single" w:sz="8" w:color="auto"/>
            </w:tcBorders>
            <w:shd w:val="clear" w:color="auto" w:fill="CCEEFF"/>
          </w:tcPr>
          <w:p>
            <w:pPr>
              <w:spacing w:after="0"/>
              <w:rPr>
                <w:sz w:val="13"/>
                <w:szCs w:val="13"/>
                <w:color w:val="auto"/>
              </w:rPr>
            </w:pPr>
          </w:p>
        </w:tc>
        <w:tc>
          <w:tcPr>
            <w:tcW w:w="74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7,150</w:t>
            </w:r>
          </w:p>
        </w:tc>
        <w:tc>
          <w:tcPr>
            <w:tcW w:w="100" w:type="dxa"/>
            <w:vAlign w:val="bottom"/>
            <w:tcBorders>
              <w:top w:val="single" w:sz="8" w:color="CCEEFF"/>
            </w:tcBorders>
            <w:shd w:val="clear" w:color="auto" w:fill="CCEEFF"/>
          </w:tcPr>
          <w:p>
            <w:pPr>
              <w:spacing w:after="0"/>
              <w:rPr>
                <w:sz w:val="13"/>
                <w:szCs w:val="13"/>
                <w:color w:val="auto"/>
              </w:rPr>
            </w:pPr>
          </w:p>
        </w:tc>
        <w:tc>
          <w:tcPr>
            <w:tcW w:w="100" w:type="dxa"/>
            <w:vAlign w:val="bottom"/>
            <w:tcBorders>
              <w:top w:val="single" w:sz="8" w:color="auto"/>
              <w:bottom w:val="single" w:sz="8" w:color="auto"/>
            </w:tcBorders>
            <w:shd w:val="clear" w:color="auto" w:fill="CCEEFF"/>
          </w:tcPr>
          <w:p>
            <w:pPr>
              <w:spacing w:after="0"/>
              <w:rPr>
                <w:sz w:val="13"/>
                <w:szCs w:val="13"/>
                <w:color w:val="auto"/>
              </w:rPr>
            </w:pPr>
          </w:p>
        </w:tc>
        <w:tc>
          <w:tcPr>
            <w:tcW w:w="92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15</w:t>
            </w:r>
          </w:p>
        </w:tc>
      </w:tr>
      <w:tr>
        <w:trPr>
          <w:trHeight w:val="162"/>
        </w:trPr>
        <w:tc>
          <w:tcPr>
            <w:tcW w:w="2420" w:type="dxa"/>
            <w:vAlign w:val="bottom"/>
            <w:gridSpan w:val="2"/>
          </w:tcPr>
          <w:p>
            <w:pPr>
              <w:ind w:left="20"/>
              <w:spacing w:after="0"/>
              <w:rPr>
                <w:sz w:val="20"/>
                <w:szCs w:val="20"/>
                <w:color w:val="auto"/>
              </w:rPr>
            </w:pPr>
            <w:r>
              <w:rPr>
                <w:rFonts w:ascii="Arial" w:cs="Arial" w:eastAsia="Arial" w:hAnsi="Arial"/>
                <w:sz w:val="10"/>
                <w:szCs w:val="10"/>
                <w:color w:val="auto"/>
              </w:rPr>
              <w:t>Total net TBA securities</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14,881</w:t>
            </w:r>
          </w:p>
        </w:tc>
        <w:tc>
          <w:tcPr>
            <w:tcW w:w="120" w:type="dxa"/>
            <w:vAlign w:val="bottom"/>
          </w:tcPr>
          <w:p>
            <w:pPr>
              <w:spacing w:after="0"/>
              <w:rPr>
                <w:sz w:val="14"/>
                <w:szCs w:val="14"/>
                <w:color w:val="auto"/>
              </w:rPr>
            </w:pPr>
          </w:p>
        </w:tc>
        <w:tc>
          <w:tcPr>
            <w:tcW w:w="2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15,540</w:t>
            </w:r>
          </w:p>
        </w:tc>
        <w:tc>
          <w:tcPr>
            <w:tcW w:w="120" w:type="dxa"/>
            <w:vAlign w:val="bottom"/>
          </w:tcPr>
          <w:p>
            <w:pPr>
              <w:spacing w:after="0"/>
              <w:rPr>
                <w:sz w:val="14"/>
                <w:szCs w:val="14"/>
                <w:color w:val="auto"/>
              </w:rPr>
            </w:pPr>
          </w:p>
        </w:tc>
        <w:tc>
          <w:tcPr>
            <w:tcW w:w="280" w:type="dxa"/>
            <w:vAlign w:val="bottom"/>
            <w:tcBorders>
              <w:bottom w:val="single" w:sz="8" w:color="auto"/>
            </w:tcBorders>
          </w:tcPr>
          <w:p>
            <w:pPr>
              <w:jc w:val="right"/>
              <w:ind w:right="172"/>
              <w:spacing w:after="0"/>
              <w:rPr>
                <w:sz w:val="20"/>
                <w:szCs w:val="20"/>
                <w:color w:val="auto"/>
              </w:rPr>
            </w:pPr>
            <w:r>
              <w:rPr>
                <w:rFonts w:ascii="Arial" w:cs="Arial" w:eastAsia="Arial" w:hAnsi="Arial"/>
                <w:sz w:val="10"/>
                <w:szCs w:val="10"/>
                <w:color w:val="auto"/>
                <w:w w:val="71"/>
              </w:rPr>
              <w:t>$</w:t>
            </w:r>
          </w:p>
        </w:tc>
        <w:tc>
          <w:tcPr>
            <w:tcW w:w="64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15,586</w:t>
            </w:r>
          </w:p>
        </w:tc>
        <w:tc>
          <w:tcPr>
            <w:tcW w:w="120" w:type="dxa"/>
            <w:vAlign w:val="bottom"/>
          </w:tcPr>
          <w:p>
            <w:pPr>
              <w:spacing w:after="0"/>
              <w:rPr>
                <w:sz w:val="14"/>
                <w:szCs w:val="14"/>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46</w:t>
            </w:r>
          </w:p>
        </w:tc>
        <w:tc>
          <w:tcPr>
            <w:tcW w:w="100" w:type="dxa"/>
            <w:vAlign w:val="bottom"/>
          </w:tcPr>
          <w:p>
            <w:pPr>
              <w:spacing w:after="0"/>
              <w:rPr>
                <w:sz w:val="14"/>
                <w:szCs w:val="14"/>
                <w:color w:val="auto"/>
              </w:rPr>
            </w:pPr>
          </w:p>
        </w:tc>
        <w:tc>
          <w:tcPr>
            <w:tcW w:w="14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w:t>
            </w:r>
          </w:p>
        </w:tc>
        <w:tc>
          <w:tcPr>
            <w:tcW w:w="114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7,295</w:t>
            </w:r>
          </w:p>
        </w:tc>
        <w:tc>
          <w:tcPr>
            <w:tcW w:w="100" w:type="dxa"/>
            <w:vAlign w:val="bottom"/>
          </w:tcPr>
          <w:p>
            <w:pPr>
              <w:spacing w:after="0"/>
              <w:rPr>
                <w:sz w:val="14"/>
                <w:szCs w:val="14"/>
                <w:color w:val="auto"/>
              </w:rPr>
            </w:pPr>
          </w:p>
        </w:tc>
        <w:tc>
          <w:tcPr>
            <w:tcW w:w="24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rPr>
              <w:t>$</w:t>
            </w:r>
          </w:p>
        </w:tc>
        <w:tc>
          <w:tcPr>
            <w:tcW w:w="780" w:type="dxa"/>
            <w:vAlign w:val="bottom"/>
            <w:tcBorders>
              <w:bottom w:val="single" w:sz="8" w:color="auto"/>
            </w:tcBorders>
          </w:tcPr>
          <w:p>
            <w:pPr>
              <w:jc w:val="right"/>
              <w:ind w:right="53"/>
              <w:spacing w:after="0"/>
              <w:rPr>
                <w:sz w:val="20"/>
                <w:szCs w:val="20"/>
                <w:color w:val="auto"/>
              </w:rPr>
            </w:pPr>
            <w:r>
              <w:rPr>
                <w:rFonts w:ascii="Arial" w:cs="Arial" w:eastAsia="Arial" w:hAnsi="Arial"/>
                <w:sz w:val="10"/>
                <w:szCs w:val="10"/>
                <w:color w:val="auto"/>
              </w:rPr>
              <w:t>7,430</w:t>
            </w:r>
          </w:p>
        </w:tc>
        <w:tc>
          <w:tcPr>
            <w:tcW w:w="120" w:type="dxa"/>
            <w:vAlign w:val="bottom"/>
          </w:tcPr>
          <w:p>
            <w:pPr>
              <w:spacing w:after="0"/>
              <w:rPr>
                <w:sz w:val="14"/>
                <w:szCs w:val="14"/>
                <w:color w:val="auto"/>
              </w:rPr>
            </w:pPr>
          </w:p>
        </w:tc>
        <w:tc>
          <w:tcPr>
            <w:tcW w:w="280" w:type="dxa"/>
            <w:vAlign w:val="bottom"/>
            <w:tcBorders>
              <w:bottom w:val="single" w:sz="8" w:color="auto"/>
            </w:tcBorders>
          </w:tcPr>
          <w:p>
            <w:pPr>
              <w:jc w:val="right"/>
              <w:ind w:right="172"/>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7,444</w:t>
            </w:r>
          </w:p>
        </w:tc>
        <w:tc>
          <w:tcPr>
            <w:tcW w:w="100" w:type="dxa"/>
            <w:vAlign w:val="bottom"/>
          </w:tcPr>
          <w:p>
            <w:pPr>
              <w:spacing w:after="0"/>
              <w:rPr>
                <w:sz w:val="14"/>
                <w:szCs w:val="14"/>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14</w:t>
            </w:r>
          </w:p>
        </w:tc>
      </w:tr>
    </w:tbl>
    <w:p>
      <w:pPr>
        <w:spacing w:after="0" w:line="247"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2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gridSpan w:val="3"/>
          </w:tcPr>
          <w:p>
            <w:pPr>
              <w:jc w:val="right"/>
              <w:spacing w:after="0"/>
              <w:rPr>
                <w:sz w:val="20"/>
                <w:szCs w:val="20"/>
                <w:color w:val="auto"/>
              </w:rPr>
            </w:pPr>
            <w:r>
              <w:rPr>
                <w:rFonts w:ascii="Arial" w:cs="Arial" w:eastAsia="Arial" w:hAnsi="Arial"/>
                <w:sz w:val="10"/>
                <w:szCs w:val="10"/>
                <w:b w:val="1"/>
                <w:bCs w:val="1"/>
                <w:color w:val="auto"/>
              </w:rPr>
              <w:t>September 30, 2016</w:t>
            </w:r>
          </w:p>
        </w:tc>
        <w:tc>
          <w:tcPr>
            <w:tcW w:w="6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gridSpan w:val="3"/>
          </w:tcPr>
          <w:p>
            <w:pPr>
              <w:jc w:val="right"/>
              <w:ind w:right="32"/>
              <w:spacing w:after="0"/>
              <w:rPr>
                <w:sz w:val="20"/>
                <w:szCs w:val="20"/>
                <w:color w:val="auto"/>
              </w:rPr>
            </w:pPr>
            <w:r>
              <w:rPr>
                <w:rFonts w:ascii="Arial" w:cs="Arial" w:eastAsia="Arial" w:hAnsi="Arial"/>
                <w:sz w:val="10"/>
                <w:szCs w:val="10"/>
                <w:b w:val="1"/>
                <w:bCs w:val="1"/>
                <w:color w:val="auto"/>
              </w:rPr>
              <w:t>December 31, 2015</w:t>
            </w:r>
          </w:p>
        </w:tc>
        <w:tc>
          <w:tcPr>
            <w:tcW w:w="7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r>
      <w:tr>
        <w:trPr>
          <w:trHeight w:val="90"/>
        </w:trPr>
        <w:tc>
          <w:tcPr>
            <w:tcW w:w="23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80" w:type="dxa"/>
            <w:vAlign w:val="bottom"/>
            <w:gridSpan w:val="2"/>
          </w:tcPr>
          <w:p>
            <w:pPr>
              <w:ind w:left="320"/>
              <w:spacing w:after="0" w:line="91" w:lineRule="exact"/>
              <w:rPr>
                <w:sz w:val="20"/>
                <w:szCs w:val="20"/>
                <w:color w:val="auto"/>
              </w:rPr>
            </w:pPr>
            <w:r>
              <w:rPr>
                <w:rFonts w:ascii="Arial" w:cs="Arial" w:eastAsia="Arial" w:hAnsi="Arial"/>
                <w:sz w:val="8"/>
                <w:szCs w:val="8"/>
                <w:b w:val="1"/>
                <w:bCs w:val="1"/>
                <w:color w:val="auto"/>
              </w:rPr>
              <w:t>Notional</w:t>
            </w:r>
          </w:p>
        </w:tc>
        <w:tc>
          <w:tcPr>
            <w:tcW w:w="200" w:type="dxa"/>
            <w:vAlign w:val="bottom"/>
          </w:tcPr>
          <w:p>
            <w:pPr>
              <w:spacing w:after="0"/>
              <w:rPr>
                <w:sz w:val="7"/>
                <w:szCs w:val="7"/>
                <w:color w:val="auto"/>
              </w:rPr>
            </w:pPr>
          </w:p>
        </w:tc>
        <w:tc>
          <w:tcPr>
            <w:tcW w:w="840" w:type="dxa"/>
            <w:vAlign w:val="bottom"/>
            <w:gridSpan w:val="2"/>
          </w:tcPr>
          <w:p>
            <w:pPr>
              <w:ind w:left="180"/>
              <w:spacing w:after="0" w:line="91" w:lineRule="exact"/>
              <w:rPr>
                <w:sz w:val="20"/>
                <w:szCs w:val="20"/>
                <w:color w:val="auto"/>
              </w:rPr>
            </w:pPr>
            <w:r>
              <w:rPr>
                <w:rFonts w:ascii="Arial" w:cs="Arial" w:eastAsia="Arial" w:hAnsi="Arial"/>
                <w:sz w:val="8"/>
                <w:szCs w:val="8"/>
                <w:b w:val="1"/>
                <w:bCs w:val="1"/>
                <w:color w:val="auto"/>
              </w:rPr>
              <w:t>Cost</w:t>
            </w:r>
          </w:p>
        </w:tc>
        <w:tc>
          <w:tcPr>
            <w:tcW w:w="280" w:type="dxa"/>
            <w:vAlign w:val="bottom"/>
          </w:tcPr>
          <w:p>
            <w:pPr>
              <w:spacing w:after="0"/>
              <w:rPr>
                <w:sz w:val="7"/>
                <w:szCs w:val="7"/>
                <w:color w:val="auto"/>
              </w:rPr>
            </w:pPr>
          </w:p>
        </w:tc>
        <w:tc>
          <w:tcPr>
            <w:tcW w:w="760" w:type="dxa"/>
            <w:vAlign w:val="bottom"/>
            <w:gridSpan w:val="2"/>
          </w:tcPr>
          <w:p>
            <w:pPr>
              <w:ind w:left="40"/>
              <w:spacing w:after="0" w:line="91" w:lineRule="exact"/>
              <w:rPr>
                <w:sz w:val="20"/>
                <w:szCs w:val="20"/>
                <w:color w:val="auto"/>
              </w:rPr>
            </w:pPr>
            <w:r>
              <w:rPr>
                <w:rFonts w:ascii="Arial" w:cs="Arial" w:eastAsia="Arial" w:hAnsi="Arial"/>
                <w:sz w:val="8"/>
                <w:szCs w:val="8"/>
                <w:b w:val="1"/>
                <w:bCs w:val="1"/>
                <w:color w:val="auto"/>
              </w:rPr>
              <w:t>Market</w:t>
            </w:r>
          </w:p>
        </w:tc>
        <w:tc>
          <w:tcPr>
            <w:tcW w:w="8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240" w:type="dxa"/>
            <w:vAlign w:val="bottom"/>
            <w:gridSpan w:val="2"/>
          </w:tcPr>
          <w:p>
            <w:pPr>
              <w:ind w:left="340"/>
              <w:spacing w:after="0" w:line="91" w:lineRule="exact"/>
              <w:rPr>
                <w:sz w:val="20"/>
                <w:szCs w:val="20"/>
                <w:color w:val="auto"/>
              </w:rPr>
            </w:pPr>
            <w:r>
              <w:rPr>
                <w:rFonts w:ascii="Arial" w:cs="Arial" w:eastAsia="Arial" w:hAnsi="Arial"/>
                <w:sz w:val="8"/>
                <w:szCs w:val="8"/>
                <w:b w:val="1"/>
                <w:bCs w:val="1"/>
                <w:color w:val="auto"/>
              </w:rPr>
              <w:t>Notional</w:t>
            </w:r>
          </w:p>
        </w:tc>
        <w:tc>
          <w:tcPr>
            <w:tcW w:w="240" w:type="dxa"/>
            <w:vAlign w:val="bottom"/>
          </w:tcPr>
          <w:p>
            <w:pPr>
              <w:spacing w:after="0"/>
              <w:rPr>
                <w:sz w:val="7"/>
                <w:szCs w:val="7"/>
                <w:color w:val="auto"/>
              </w:rPr>
            </w:pPr>
          </w:p>
        </w:tc>
        <w:tc>
          <w:tcPr>
            <w:tcW w:w="900" w:type="dxa"/>
            <w:vAlign w:val="bottom"/>
            <w:gridSpan w:val="2"/>
          </w:tcPr>
          <w:p>
            <w:pPr>
              <w:ind w:left="200"/>
              <w:spacing w:after="0" w:line="91" w:lineRule="exact"/>
              <w:rPr>
                <w:sz w:val="20"/>
                <w:szCs w:val="20"/>
                <w:color w:val="auto"/>
              </w:rPr>
            </w:pPr>
            <w:r>
              <w:rPr>
                <w:rFonts w:ascii="Arial" w:cs="Arial" w:eastAsia="Arial" w:hAnsi="Arial"/>
                <w:sz w:val="8"/>
                <w:szCs w:val="8"/>
                <w:b w:val="1"/>
                <w:bCs w:val="1"/>
                <w:color w:val="auto"/>
              </w:rPr>
              <w:t>Cost</w:t>
            </w:r>
          </w:p>
        </w:tc>
        <w:tc>
          <w:tcPr>
            <w:tcW w:w="280" w:type="dxa"/>
            <w:vAlign w:val="bottom"/>
          </w:tcPr>
          <w:p>
            <w:pPr>
              <w:spacing w:after="0"/>
              <w:rPr>
                <w:sz w:val="7"/>
                <w:szCs w:val="7"/>
                <w:color w:val="auto"/>
              </w:rPr>
            </w:pPr>
          </w:p>
        </w:tc>
        <w:tc>
          <w:tcPr>
            <w:tcW w:w="840" w:type="dxa"/>
            <w:vAlign w:val="bottom"/>
            <w:gridSpan w:val="2"/>
          </w:tcPr>
          <w:p>
            <w:pPr>
              <w:ind w:left="80"/>
              <w:spacing w:after="0" w:line="91" w:lineRule="exact"/>
              <w:rPr>
                <w:sz w:val="20"/>
                <w:szCs w:val="20"/>
                <w:color w:val="auto"/>
              </w:rPr>
            </w:pPr>
            <w:r>
              <w:rPr>
                <w:rFonts w:ascii="Arial" w:cs="Arial" w:eastAsia="Arial" w:hAnsi="Arial"/>
                <w:sz w:val="8"/>
                <w:szCs w:val="8"/>
                <w:b w:val="1"/>
                <w:bCs w:val="1"/>
                <w:color w:val="auto"/>
              </w:rPr>
              <w:t>Market</w:t>
            </w:r>
          </w:p>
        </w:tc>
        <w:tc>
          <w:tcPr>
            <w:tcW w:w="100" w:type="dxa"/>
            <w:vAlign w:val="bottom"/>
          </w:tcPr>
          <w:p>
            <w:pPr>
              <w:spacing w:after="0"/>
              <w:rPr>
                <w:sz w:val="7"/>
                <w:szCs w:val="7"/>
                <w:color w:val="auto"/>
              </w:rPr>
            </w:pPr>
          </w:p>
        </w:tc>
        <w:tc>
          <w:tcPr>
            <w:tcW w:w="920" w:type="dxa"/>
            <w:vAlign w:val="bottom"/>
          </w:tcPr>
          <w:p>
            <w:pPr>
              <w:spacing w:after="0"/>
              <w:rPr>
                <w:sz w:val="7"/>
                <w:szCs w:val="7"/>
                <w:color w:val="auto"/>
              </w:rPr>
            </w:pPr>
          </w:p>
        </w:tc>
      </w:tr>
      <w:tr>
        <w:trPr>
          <w:trHeight w:val="113"/>
        </w:trPr>
        <w:tc>
          <w:tcPr>
            <w:tcW w:w="2300" w:type="dxa"/>
            <w:vAlign w:val="bottom"/>
            <w:tcBorders>
              <w:bottom w:val="single" w:sz="8" w:color="auto"/>
            </w:tcBorders>
          </w:tcPr>
          <w:p>
            <w:pPr>
              <w:ind w:left="20"/>
              <w:spacing w:after="0"/>
              <w:rPr>
                <w:sz w:val="20"/>
                <w:szCs w:val="20"/>
                <w:color w:val="auto"/>
              </w:rPr>
            </w:pPr>
            <w:r>
              <w:rPr>
                <w:rFonts w:ascii="Arial" w:cs="Arial" w:eastAsia="Arial" w:hAnsi="Arial"/>
                <w:sz w:val="8"/>
                <w:szCs w:val="8"/>
                <w:b w:val="1"/>
                <w:bCs w:val="1"/>
                <w:color w:val="auto"/>
              </w:rPr>
              <w:t>TBA Securities by Issuer</w:t>
            </w:r>
          </w:p>
        </w:tc>
        <w:tc>
          <w:tcPr>
            <w:tcW w:w="120" w:type="dxa"/>
            <w:vAlign w:val="bottom"/>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1060" w:type="dxa"/>
            <w:vAlign w:val="bottom"/>
            <w:tcBorders>
              <w:bottom w:val="single" w:sz="8" w:color="auto"/>
            </w:tcBorders>
          </w:tcPr>
          <w:p>
            <w:pPr>
              <w:jc w:val="right"/>
              <w:ind w:right="94"/>
              <w:spacing w:after="0"/>
              <w:rPr>
                <w:sz w:val="20"/>
                <w:szCs w:val="20"/>
                <w:color w:val="auto"/>
              </w:rPr>
            </w:pPr>
            <w:r>
              <w:rPr>
                <w:rFonts w:ascii="Arial" w:cs="Arial" w:eastAsia="Arial" w:hAnsi="Arial"/>
                <w:sz w:val="8"/>
                <w:szCs w:val="8"/>
                <w:b w:val="1"/>
                <w:bCs w:val="1"/>
                <w:color w:val="auto"/>
                <w:w w:val="99"/>
              </w:rPr>
              <w:t xml:space="preserve">Amount - Long (Short) </w:t>
            </w:r>
            <w:r>
              <w:rPr>
                <w:rFonts w:ascii="Arial" w:cs="Arial" w:eastAsia="Arial" w:hAnsi="Arial"/>
                <w:sz w:val="5"/>
                <w:szCs w:val="5"/>
                <w:b w:val="1"/>
                <w:bCs w:val="1"/>
                <w:color w:val="auto"/>
                <w:w w:val="99"/>
              </w:rPr>
              <w:t>1</w:t>
            </w:r>
          </w:p>
        </w:tc>
        <w:tc>
          <w:tcPr>
            <w:tcW w:w="120" w:type="dxa"/>
            <w:vAlign w:val="bottom"/>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720" w:type="dxa"/>
            <w:vAlign w:val="bottom"/>
            <w:tcBorders>
              <w:bottom w:val="single" w:sz="8" w:color="auto"/>
            </w:tcBorders>
          </w:tcPr>
          <w:p>
            <w:pPr>
              <w:jc w:val="right"/>
              <w:ind w:right="294"/>
              <w:spacing w:after="0"/>
              <w:rPr>
                <w:sz w:val="20"/>
                <w:szCs w:val="20"/>
                <w:color w:val="auto"/>
              </w:rPr>
            </w:pPr>
            <w:r>
              <w:rPr>
                <w:rFonts w:ascii="Arial" w:cs="Arial" w:eastAsia="Arial" w:hAnsi="Arial"/>
                <w:sz w:val="8"/>
                <w:szCs w:val="8"/>
                <w:b w:val="1"/>
                <w:bCs w:val="1"/>
                <w:color w:val="auto"/>
              </w:rPr>
              <w:t xml:space="preserve">Basis </w:t>
            </w:r>
            <w:r>
              <w:rPr>
                <w:rFonts w:ascii="Arial" w:cs="Arial" w:eastAsia="Arial" w:hAnsi="Arial"/>
                <w:sz w:val="5"/>
                <w:szCs w:val="5"/>
                <w:b w:val="1"/>
                <w:bCs w:val="1"/>
                <w:color w:val="auto"/>
              </w:rPr>
              <w:t>2</w:t>
            </w:r>
          </w:p>
        </w:tc>
        <w:tc>
          <w:tcPr>
            <w:tcW w:w="120" w:type="dxa"/>
            <w:vAlign w:val="bottom"/>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640" w:type="dxa"/>
            <w:vAlign w:val="bottom"/>
            <w:tcBorders>
              <w:bottom w:val="single" w:sz="8" w:color="auto"/>
            </w:tcBorders>
          </w:tcPr>
          <w:p>
            <w:pPr>
              <w:jc w:val="right"/>
              <w:ind w:right="294"/>
              <w:spacing w:after="0"/>
              <w:rPr>
                <w:sz w:val="20"/>
                <w:szCs w:val="20"/>
                <w:color w:val="auto"/>
              </w:rPr>
            </w:pPr>
            <w:r>
              <w:rPr>
                <w:rFonts w:ascii="Arial" w:cs="Arial" w:eastAsia="Arial" w:hAnsi="Arial"/>
                <w:sz w:val="8"/>
                <w:szCs w:val="8"/>
                <w:b w:val="1"/>
                <w:bCs w:val="1"/>
                <w:color w:val="auto"/>
              </w:rPr>
              <w:t xml:space="preserve">Value </w:t>
            </w:r>
            <w:r>
              <w:rPr>
                <w:rFonts w:ascii="Arial" w:cs="Arial" w:eastAsia="Arial" w:hAnsi="Arial"/>
                <w:sz w:val="5"/>
                <w:szCs w:val="5"/>
                <w:b w:val="1"/>
                <w:bCs w:val="1"/>
                <w:color w:val="auto"/>
              </w:rPr>
              <w:t>3</w:t>
            </w:r>
          </w:p>
        </w:tc>
        <w:tc>
          <w:tcPr>
            <w:tcW w:w="120" w:type="dxa"/>
            <w:vAlign w:val="bottom"/>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860" w:type="dxa"/>
            <w:vAlign w:val="bottom"/>
            <w:tcBorders>
              <w:bottom w:val="single" w:sz="8" w:color="auto"/>
            </w:tcBorders>
          </w:tcPr>
          <w:p>
            <w:pPr>
              <w:jc w:val="right"/>
              <w:ind w:right="53"/>
              <w:spacing w:after="0"/>
              <w:rPr>
                <w:sz w:val="20"/>
                <w:szCs w:val="20"/>
                <w:color w:val="auto"/>
              </w:rPr>
            </w:pPr>
            <w:r>
              <w:rPr>
                <w:rFonts w:ascii="Arial" w:cs="Arial" w:eastAsia="Arial" w:hAnsi="Arial"/>
                <w:sz w:val="8"/>
                <w:szCs w:val="8"/>
                <w:b w:val="1"/>
                <w:bCs w:val="1"/>
                <w:color w:val="auto"/>
                <w:w w:val="96"/>
              </w:rPr>
              <w:t xml:space="preserve">Net Carrying Value </w:t>
            </w:r>
            <w:r>
              <w:rPr>
                <w:rFonts w:ascii="Arial" w:cs="Arial" w:eastAsia="Arial" w:hAnsi="Arial"/>
                <w:sz w:val="5"/>
                <w:szCs w:val="5"/>
                <w:b w:val="1"/>
                <w:bCs w:val="1"/>
                <w:color w:val="auto"/>
                <w:w w:val="96"/>
              </w:rPr>
              <w:t>4</w:t>
            </w:r>
          </w:p>
        </w:tc>
        <w:tc>
          <w:tcPr>
            <w:tcW w:w="100" w:type="dxa"/>
            <w:vAlign w:val="bottom"/>
          </w:tcPr>
          <w:p>
            <w:pPr>
              <w:spacing w:after="0"/>
              <w:rPr>
                <w:sz w:val="9"/>
                <w:szCs w:val="9"/>
                <w:color w:val="auto"/>
              </w:rPr>
            </w:pPr>
          </w:p>
        </w:tc>
        <w:tc>
          <w:tcPr>
            <w:tcW w:w="140" w:type="dxa"/>
            <w:vAlign w:val="bottom"/>
            <w:tcBorders>
              <w:bottom w:val="single" w:sz="8" w:color="auto"/>
            </w:tcBorders>
          </w:tcPr>
          <w:p>
            <w:pPr>
              <w:spacing w:after="0"/>
              <w:rPr>
                <w:sz w:val="9"/>
                <w:szCs w:val="9"/>
                <w:color w:val="auto"/>
              </w:rPr>
            </w:pPr>
          </w:p>
        </w:tc>
        <w:tc>
          <w:tcPr>
            <w:tcW w:w="1140" w:type="dxa"/>
            <w:vAlign w:val="bottom"/>
            <w:tcBorders>
              <w:bottom w:val="single" w:sz="8" w:color="auto"/>
            </w:tcBorders>
          </w:tcPr>
          <w:p>
            <w:pPr>
              <w:jc w:val="right"/>
              <w:ind w:right="154"/>
              <w:spacing w:after="0"/>
              <w:rPr>
                <w:sz w:val="20"/>
                <w:szCs w:val="20"/>
                <w:color w:val="auto"/>
              </w:rPr>
            </w:pPr>
            <w:r>
              <w:rPr>
                <w:rFonts w:ascii="Arial" w:cs="Arial" w:eastAsia="Arial" w:hAnsi="Arial"/>
                <w:sz w:val="8"/>
                <w:szCs w:val="8"/>
                <w:b w:val="1"/>
                <w:bCs w:val="1"/>
                <w:color w:val="auto"/>
              </w:rPr>
              <w:t xml:space="preserve">Amount - Long (Short) </w:t>
            </w:r>
            <w:r>
              <w:rPr>
                <w:rFonts w:ascii="Arial" w:cs="Arial" w:eastAsia="Arial" w:hAnsi="Arial"/>
                <w:sz w:val="5"/>
                <w:szCs w:val="5"/>
                <w:b w:val="1"/>
                <w:bCs w:val="1"/>
                <w:color w:val="auto"/>
              </w:rPr>
              <w:t>1</w:t>
            </w:r>
          </w:p>
        </w:tc>
        <w:tc>
          <w:tcPr>
            <w:tcW w:w="100" w:type="dxa"/>
            <w:vAlign w:val="bottom"/>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780" w:type="dxa"/>
            <w:vAlign w:val="bottom"/>
            <w:tcBorders>
              <w:bottom w:val="single" w:sz="8" w:color="auto"/>
            </w:tcBorders>
          </w:tcPr>
          <w:p>
            <w:pPr>
              <w:jc w:val="right"/>
              <w:ind w:right="334"/>
              <w:spacing w:after="0"/>
              <w:rPr>
                <w:sz w:val="20"/>
                <w:szCs w:val="20"/>
                <w:color w:val="auto"/>
              </w:rPr>
            </w:pPr>
            <w:r>
              <w:rPr>
                <w:rFonts w:ascii="Arial" w:cs="Arial" w:eastAsia="Arial" w:hAnsi="Arial"/>
                <w:sz w:val="8"/>
                <w:szCs w:val="8"/>
                <w:b w:val="1"/>
                <w:bCs w:val="1"/>
                <w:color w:val="auto"/>
              </w:rPr>
              <w:t xml:space="preserve">Basis </w:t>
            </w:r>
            <w:r>
              <w:rPr>
                <w:rFonts w:ascii="Arial" w:cs="Arial" w:eastAsia="Arial" w:hAnsi="Arial"/>
                <w:sz w:val="5"/>
                <w:szCs w:val="5"/>
                <w:b w:val="1"/>
                <w:bCs w:val="1"/>
                <w:color w:val="auto"/>
              </w:rPr>
              <w:t>2</w:t>
            </w:r>
          </w:p>
        </w:tc>
        <w:tc>
          <w:tcPr>
            <w:tcW w:w="120" w:type="dxa"/>
            <w:vAlign w:val="bottom"/>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jc w:val="right"/>
              <w:ind w:right="354"/>
              <w:spacing w:after="0"/>
              <w:rPr>
                <w:sz w:val="20"/>
                <w:szCs w:val="20"/>
                <w:color w:val="auto"/>
              </w:rPr>
            </w:pPr>
            <w:r>
              <w:rPr>
                <w:rFonts w:ascii="Arial" w:cs="Arial" w:eastAsia="Arial" w:hAnsi="Arial"/>
                <w:sz w:val="8"/>
                <w:szCs w:val="8"/>
                <w:b w:val="1"/>
                <w:bCs w:val="1"/>
                <w:color w:val="auto"/>
              </w:rPr>
              <w:t xml:space="preserve">Value </w:t>
            </w:r>
            <w:r>
              <w:rPr>
                <w:rFonts w:ascii="Arial" w:cs="Arial" w:eastAsia="Arial" w:hAnsi="Arial"/>
                <w:sz w:val="5"/>
                <w:szCs w:val="5"/>
                <w:b w:val="1"/>
                <w:bCs w:val="1"/>
                <w:color w:val="auto"/>
              </w:rPr>
              <w:t>3</w:t>
            </w:r>
          </w:p>
        </w:tc>
        <w:tc>
          <w:tcPr>
            <w:tcW w:w="100" w:type="dxa"/>
            <w:vAlign w:val="bottom"/>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920" w:type="dxa"/>
            <w:vAlign w:val="bottom"/>
            <w:tcBorders>
              <w:bottom w:val="single" w:sz="8" w:color="auto"/>
            </w:tcBorders>
          </w:tcPr>
          <w:p>
            <w:pPr>
              <w:jc w:val="right"/>
              <w:ind w:right="93"/>
              <w:spacing w:after="0"/>
              <w:rPr>
                <w:sz w:val="20"/>
                <w:szCs w:val="20"/>
                <w:color w:val="auto"/>
              </w:rPr>
            </w:pPr>
            <w:r>
              <w:rPr>
                <w:rFonts w:ascii="Arial" w:cs="Arial" w:eastAsia="Arial" w:hAnsi="Arial"/>
                <w:sz w:val="8"/>
                <w:szCs w:val="8"/>
                <w:b w:val="1"/>
                <w:bCs w:val="1"/>
                <w:color w:val="auto"/>
                <w:w w:val="99"/>
              </w:rPr>
              <w:t xml:space="preserve">Net Carrying Value </w:t>
            </w:r>
            <w:r>
              <w:rPr>
                <w:rFonts w:ascii="Arial" w:cs="Arial" w:eastAsia="Arial" w:hAnsi="Arial"/>
                <w:sz w:val="5"/>
                <w:szCs w:val="5"/>
                <w:b w:val="1"/>
                <w:bCs w:val="1"/>
                <w:color w:val="auto"/>
                <w:w w:val="99"/>
              </w:rPr>
              <w:t>4</w:t>
            </w:r>
          </w:p>
        </w:tc>
      </w:tr>
      <w:tr>
        <w:trPr>
          <w:trHeight w:val="162"/>
        </w:trPr>
        <w:tc>
          <w:tcPr>
            <w:tcW w:w="2420" w:type="dxa"/>
            <w:vAlign w:val="bottom"/>
            <w:gridSpan w:val="2"/>
          </w:tcPr>
          <w:p>
            <w:pPr>
              <w:ind w:left="20"/>
              <w:spacing w:after="0"/>
              <w:rPr>
                <w:sz w:val="20"/>
                <w:szCs w:val="20"/>
                <w:color w:val="auto"/>
              </w:rPr>
            </w:pPr>
            <w:r>
              <w:rPr>
                <w:rFonts w:ascii="Arial" w:cs="Arial" w:eastAsia="Arial" w:hAnsi="Arial"/>
                <w:sz w:val="11"/>
                <w:szCs w:val="11"/>
                <w:color w:val="auto"/>
              </w:rPr>
              <w:t>Fannie Mae</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Pr>
          <w:p>
            <w:pPr>
              <w:jc w:val="right"/>
              <w:ind w:right="74"/>
              <w:spacing w:after="0"/>
              <w:rPr>
                <w:sz w:val="20"/>
                <w:szCs w:val="20"/>
                <w:color w:val="auto"/>
              </w:rPr>
            </w:pPr>
            <w:r>
              <w:rPr>
                <w:rFonts w:ascii="Arial" w:cs="Arial" w:eastAsia="Arial" w:hAnsi="Arial"/>
                <w:sz w:val="10"/>
                <w:szCs w:val="10"/>
                <w:color w:val="auto"/>
              </w:rPr>
              <w:t>12,760</w:t>
            </w:r>
          </w:p>
        </w:tc>
        <w:tc>
          <w:tcPr>
            <w:tcW w:w="120" w:type="dxa"/>
            <w:vAlign w:val="bottom"/>
          </w:tcPr>
          <w:p>
            <w:pPr>
              <w:spacing w:after="0"/>
              <w:rPr>
                <w:sz w:val="14"/>
                <w:szCs w:val="14"/>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Pr>
          <w:p>
            <w:pPr>
              <w:jc w:val="right"/>
              <w:ind w:right="74"/>
              <w:spacing w:after="0"/>
              <w:rPr>
                <w:sz w:val="20"/>
                <w:szCs w:val="20"/>
                <w:color w:val="auto"/>
              </w:rPr>
            </w:pPr>
            <w:r>
              <w:rPr>
                <w:rFonts w:ascii="Arial" w:cs="Arial" w:eastAsia="Arial" w:hAnsi="Arial"/>
                <w:sz w:val="10"/>
                <w:szCs w:val="10"/>
                <w:color w:val="auto"/>
              </w:rPr>
              <w:t>13,328</w:t>
            </w:r>
          </w:p>
        </w:tc>
        <w:tc>
          <w:tcPr>
            <w:tcW w:w="120" w:type="dxa"/>
            <w:vAlign w:val="bottom"/>
          </w:tcPr>
          <w:p>
            <w:pPr>
              <w:spacing w:after="0"/>
              <w:rPr>
                <w:sz w:val="14"/>
                <w:szCs w:val="14"/>
                <w:color w:val="auto"/>
              </w:rPr>
            </w:pPr>
          </w:p>
        </w:tc>
        <w:tc>
          <w:tcPr>
            <w:tcW w:w="280" w:type="dxa"/>
            <w:vAlign w:val="bottom"/>
          </w:tcPr>
          <w:p>
            <w:pPr>
              <w:jc w:val="right"/>
              <w:ind w:right="172"/>
              <w:spacing w:after="0"/>
              <w:rPr>
                <w:sz w:val="20"/>
                <w:szCs w:val="20"/>
                <w:color w:val="auto"/>
              </w:rPr>
            </w:pPr>
            <w:r>
              <w:rPr>
                <w:rFonts w:ascii="Arial" w:cs="Arial" w:eastAsia="Arial" w:hAnsi="Arial"/>
                <w:sz w:val="10"/>
                <w:szCs w:val="10"/>
                <w:color w:val="auto"/>
                <w:w w:val="71"/>
              </w:rPr>
              <w:t>$</w:t>
            </w:r>
          </w:p>
        </w:tc>
        <w:tc>
          <w:tcPr>
            <w:tcW w:w="640" w:type="dxa"/>
            <w:vAlign w:val="bottom"/>
          </w:tcPr>
          <w:p>
            <w:pPr>
              <w:jc w:val="right"/>
              <w:ind w:right="74"/>
              <w:spacing w:after="0"/>
              <w:rPr>
                <w:sz w:val="20"/>
                <w:szCs w:val="20"/>
                <w:color w:val="auto"/>
              </w:rPr>
            </w:pPr>
            <w:r>
              <w:rPr>
                <w:rFonts w:ascii="Arial" w:cs="Arial" w:eastAsia="Arial" w:hAnsi="Arial"/>
                <w:sz w:val="10"/>
                <w:szCs w:val="10"/>
                <w:color w:val="auto"/>
              </w:rPr>
              <w:t>13,365</w:t>
            </w:r>
          </w:p>
        </w:tc>
        <w:tc>
          <w:tcPr>
            <w:tcW w:w="120" w:type="dxa"/>
            <w:vAlign w:val="bottom"/>
          </w:tcPr>
          <w:p>
            <w:pPr>
              <w:spacing w:after="0"/>
              <w:rPr>
                <w:sz w:val="14"/>
                <w:szCs w:val="14"/>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Pr>
          <w:p>
            <w:pPr>
              <w:jc w:val="right"/>
              <w:ind w:right="73"/>
              <w:spacing w:after="0"/>
              <w:rPr>
                <w:sz w:val="20"/>
                <w:szCs w:val="20"/>
                <w:color w:val="auto"/>
              </w:rPr>
            </w:pPr>
            <w:r>
              <w:rPr>
                <w:rFonts w:ascii="Arial" w:cs="Arial" w:eastAsia="Arial" w:hAnsi="Arial"/>
                <w:sz w:val="10"/>
                <w:szCs w:val="10"/>
                <w:color w:val="auto"/>
              </w:rPr>
              <w:t>37</w:t>
            </w:r>
          </w:p>
        </w:tc>
        <w:tc>
          <w:tcPr>
            <w:tcW w:w="100" w:type="dxa"/>
            <w:vAlign w:val="bottom"/>
          </w:tcPr>
          <w:p>
            <w:pPr>
              <w:spacing w:after="0"/>
              <w:rPr>
                <w:sz w:val="14"/>
                <w:szCs w:val="14"/>
                <w:color w:val="auto"/>
              </w:rPr>
            </w:pPr>
          </w:p>
        </w:tc>
        <w:tc>
          <w:tcPr>
            <w:tcW w:w="140" w:type="dxa"/>
            <w:vAlign w:val="bottom"/>
          </w:tcPr>
          <w:p>
            <w:pPr>
              <w:jc w:val="right"/>
              <w:ind w:right="12"/>
              <w:spacing w:after="0"/>
              <w:rPr>
                <w:sz w:val="20"/>
                <w:szCs w:val="20"/>
                <w:color w:val="auto"/>
              </w:rPr>
            </w:pPr>
            <w:r>
              <w:rPr>
                <w:rFonts w:ascii="Arial" w:cs="Arial" w:eastAsia="Arial" w:hAnsi="Arial"/>
                <w:sz w:val="10"/>
                <w:szCs w:val="10"/>
                <w:color w:val="auto"/>
              </w:rPr>
              <w:t>$</w:t>
            </w:r>
          </w:p>
        </w:tc>
        <w:tc>
          <w:tcPr>
            <w:tcW w:w="1140" w:type="dxa"/>
            <w:vAlign w:val="bottom"/>
          </w:tcPr>
          <w:p>
            <w:pPr>
              <w:jc w:val="right"/>
              <w:ind w:right="74"/>
              <w:spacing w:after="0"/>
              <w:rPr>
                <w:sz w:val="20"/>
                <w:szCs w:val="20"/>
                <w:color w:val="auto"/>
              </w:rPr>
            </w:pPr>
            <w:r>
              <w:rPr>
                <w:rFonts w:ascii="Arial" w:cs="Arial" w:eastAsia="Arial" w:hAnsi="Arial"/>
                <w:sz w:val="10"/>
                <w:szCs w:val="10"/>
                <w:color w:val="auto"/>
              </w:rPr>
              <w:t>6,033</w:t>
            </w:r>
          </w:p>
        </w:tc>
        <w:tc>
          <w:tcPr>
            <w:tcW w:w="100" w:type="dxa"/>
            <w:vAlign w:val="bottom"/>
          </w:tcPr>
          <w:p>
            <w:pPr>
              <w:spacing w:after="0"/>
              <w:rPr>
                <w:sz w:val="14"/>
                <w:szCs w:val="14"/>
                <w:color w:val="auto"/>
              </w:rPr>
            </w:pPr>
          </w:p>
        </w:tc>
        <w:tc>
          <w:tcPr>
            <w:tcW w:w="240" w:type="dxa"/>
            <w:vAlign w:val="bottom"/>
          </w:tcPr>
          <w:p>
            <w:pPr>
              <w:jc w:val="right"/>
              <w:ind w:right="112"/>
              <w:spacing w:after="0"/>
              <w:rPr>
                <w:sz w:val="20"/>
                <w:szCs w:val="20"/>
                <w:color w:val="auto"/>
              </w:rPr>
            </w:pPr>
            <w:r>
              <w:rPr>
                <w:rFonts w:ascii="Arial" w:cs="Arial" w:eastAsia="Arial" w:hAnsi="Arial"/>
                <w:sz w:val="10"/>
                <w:szCs w:val="10"/>
                <w:color w:val="auto"/>
              </w:rPr>
              <w:t>$</w:t>
            </w:r>
          </w:p>
        </w:tc>
        <w:tc>
          <w:tcPr>
            <w:tcW w:w="780" w:type="dxa"/>
            <w:vAlign w:val="bottom"/>
          </w:tcPr>
          <w:p>
            <w:pPr>
              <w:jc w:val="right"/>
              <w:ind w:right="54"/>
              <w:spacing w:after="0"/>
              <w:rPr>
                <w:sz w:val="20"/>
                <w:szCs w:val="20"/>
                <w:color w:val="auto"/>
              </w:rPr>
            </w:pPr>
            <w:r>
              <w:rPr>
                <w:rFonts w:ascii="Arial" w:cs="Arial" w:eastAsia="Arial" w:hAnsi="Arial"/>
                <w:sz w:val="10"/>
                <w:szCs w:val="10"/>
                <w:color w:val="auto"/>
              </w:rPr>
              <w:t>6,145</w:t>
            </w:r>
          </w:p>
        </w:tc>
        <w:tc>
          <w:tcPr>
            <w:tcW w:w="120" w:type="dxa"/>
            <w:vAlign w:val="bottom"/>
          </w:tcPr>
          <w:p>
            <w:pPr>
              <w:spacing w:after="0"/>
              <w:rPr>
                <w:sz w:val="14"/>
                <w:szCs w:val="14"/>
                <w:color w:val="auto"/>
              </w:rPr>
            </w:pPr>
          </w:p>
        </w:tc>
        <w:tc>
          <w:tcPr>
            <w:tcW w:w="280" w:type="dxa"/>
            <w:vAlign w:val="bottom"/>
          </w:tcPr>
          <w:p>
            <w:pPr>
              <w:jc w:val="right"/>
              <w:ind w:right="172"/>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ind w:right="74"/>
              <w:spacing w:after="0"/>
              <w:rPr>
                <w:sz w:val="20"/>
                <w:szCs w:val="20"/>
                <w:color w:val="auto"/>
              </w:rPr>
            </w:pPr>
            <w:r>
              <w:rPr>
                <w:rFonts w:ascii="Arial" w:cs="Arial" w:eastAsia="Arial" w:hAnsi="Arial"/>
                <w:sz w:val="10"/>
                <w:szCs w:val="10"/>
                <w:color w:val="auto"/>
              </w:rPr>
              <w:t>6,159</w:t>
            </w:r>
          </w:p>
        </w:tc>
        <w:tc>
          <w:tcPr>
            <w:tcW w:w="10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ind w:right="73"/>
              <w:spacing w:after="0"/>
              <w:rPr>
                <w:sz w:val="20"/>
                <w:szCs w:val="20"/>
                <w:color w:val="auto"/>
              </w:rPr>
            </w:pPr>
            <w:r>
              <w:rPr>
                <w:rFonts w:ascii="Arial" w:cs="Arial" w:eastAsia="Arial" w:hAnsi="Arial"/>
                <w:sz w:val="10"/>
                <w:szCs w:val="10"/>
                <w:color w:val="auto"/>
              </w:rPr>
              <w:t>14</w:t>
            </w:r>
          </w:p>
        </w:tc>
      </w:tr>
      <w:tr>
        <w:trPr>
          <w:trHeight w:val="184"/>
        </w:trPr>
        <w:tc>
          <w:tcPr>
            <w:tcW w:w="2420" w:type="dxa"/>
            <w:vAlign w:val="bottom"/>
            <w:gridSpan w:val="2"/>
            <w:shd w:val="clear" w:color="auto" w:fill="CCEEFF"/>
          </w:tcPr>
          <w:p>
            <w:pPr>
              <w:ind w:left="20"/>
              <w:spacing w:after="0"/>
              <w:rPr>
                <w:sz w:val="20"/>
                <w:szCs w:val="20"/>
                <w:color w:val="auto"/>
              </w:rPr>
            </w:pPr>
            <w:r>
              <w:rPr>
                <w:rFonts w:ascii="Arial" w:cs="Arial" w:eastAsia="Arial" w:hAnsi="Arial"/>
                <w:sz w:val="11"/>
                <w:szCs w:val="11"/>
                <w:color w:val="auto"/>
              </w:rPr>
              <w:t>Freddie Mac</w:t>
            </w:r>
          </w:p>
        </w:tc>
        <w:tc>
          <w:tcPr>
            <w:tcW w:w="100" w:type="dxa"/>
            <w:vAlign w:val="bottom"/>
            <w:shd w:val="clear" w:color="auto" w:fill="CCEEFF"/>
          </w:tcPr>
          <w:p>
            <w:pPr>
              <w:spacing w:after="0"/>
              <w:rPr>
                <w:sz w:val="16"/>
                <w:szCs w:val="16"/>
                <w:color w:val="auto"/>
              </w:rPr>
            </w:pPr>
          </w:p>
        </w:tc>
        <w:tc>
          <w:tcPr>
            <w:tcW w:w="106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1,648</w:t>
            </w:r>
          </w:p>
        </w:tc>
        <w:tc>
          <w:tcPr>
            <w:tcW w:w="1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2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1,723</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64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1,729</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6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6</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14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689</w:t>
            </w:r>
          </w:p>
        </w:tc>
        <w:tc>
          <w:tcPr>
            <w:tcW w:w="1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780" w:type="dxa"/>
            <w:vAlign w:val="bottom"/>
            <w:shd w:val="clear" w:color="auto" w:fill="CCEEFF"/>
          </w:tcPr>
          <w:p>
            <w:pPr>
              <w:jc w:val="right"/>
              <w:ind w:right="54"/>
              <w:spacing w:after="0"/>
              <w:rPr>
                <w:sz w:val="20"/>
                <w:szCs w:val="20"/>
                <w:color w:val="auto"/>
              </w:rPr>
            </w:pPr>
            <w:r>
              <w:rPr>
                <w:rFonts w:ascii="Arial" w:cs="Arial" w:eastAsia="Arial" w:hAnsi="Arial"/>
                <w:sz w:val="10"/>
                <w:szCs w:val="10"/>
                <w:color w:val="auto"/>
              </w:rPr>
              <w:t>703</w:t>
            </w:r>
          </w:p>
        </w:tc>
        <w:tc>
          <w:tcPr>
            <w:tcW w:w="1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74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703</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w:t>
            </w:r>
          </w:p>
        </w:tc>
      </w:tr>
      <w:tr>
        <w:trPr>
          <w:trHeight w:val="176"/>
        </w:trPr>
        <w:tc>
          <w:tcPr>
            <w:tcW w:w="2420" w:type="dxa"/>
            <w:vAlign w:val="bottom"/>
            <w:tcBorders>
              <w:bottom w:val="single" w:sz="8" w:color="CCEEFF"/>
            </w:tcBorders>
            <w:gridSpan w:val="2"/>
          </w:tcPr>
          <w:p>
            <w:pPr>
              <w:ind w:left="20"/>
              <w:spacing w:after="0"/>
              <w:rPr>
                <w:sz w:val="20"/>
                <w:szCs w:val="20"/>
                <w:color w:val="auto"/>
              </w:rPr>
            </w:pPr>
            <w:r>
              <w:rPr>
                <w:rFonts w:ascii="Arial" w:cs="Arial" w:eastAsia="Arial" w:hAnsi="Arial"/>
                <w:sz w:val="11"/>
                <w:szCs w:val="11"/>
                <w:color w:val="auto"/>
              </w:rPr>
              <w:t>Ginnie Mae</w:t>
            </w:r>
          </w:p>
        </w:tc>
        <w:tc>
          <w:tcPr>
            <w:tcW w:w="100" w:type="dxa"/>
            <w:vAlign w:val="bottom"/>
            <w:tcBorders>
              <w:bottom w:val="single" w:sz="8" w:color="auto"/>
            </w:tcBorders>
          </w:tcPr>
          <w:p>
            <w:pPr>
              <w:spacing w:after="0"/>
              <w:rPr>
                <w:sz w:val="15"/>
                <w:szCs w:val="15"/>
                <w:color w:val="auto"/>
              </w:rPr>
            </w:pPr>
          </w:p>
        </w:tc>
        <w:tc>
          <w:tcPr>
            <w:tcW w:w="1060" w:type="dxa"/>
            <w:vAlign w:val="bottom"/>
            <w:tcBorders>
              <w:bottom w:val="single" w:sz="8" w:color="auto"/>
            </w:tcBorders>
          </w:tcPr>
          <w:p>
            <w:pPr>
              <w:jc w:val="right"/>
              <w:ind w:right="74"/>
              <w:spacing w:after="0"/>
              <w:rPr>
                <w:sz w:val="20"/>
                <w:szCs w:val="20"/>
                <w:color w:val="auto"/>
              </w:rPr>
            </w:pPr>
            <w:r>
              <w:rPr>
                <w:rFonts w:ascii="Arial" w:cs="Arial" w:eastAsia="Arial" w:hAnsi="Arial"/>
                <w:sz w:val="10"/>
                <w:szCs w:val="10"/>
                <w:color w:val="auto"/>
              </w:rPr>
              <w:t>473</w:t>
            </w:r>
          </w:p>
        </w:tc>
        <w:tc>
          <w:tcPr>
            <w:tcW w:w="12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jc w:val="right"/>
              <w:ind w:right="74"/>
              <w:spacing w:after="0"/>
              <w:rPr>
                <w:sz w:val="20"/>
                <w:szCs w:val="20"/>
                <w:color w:val="auto"/>
              </w:rPr>
            </w:pPr>
            <w:r>
              <w:rPr>
                <w:rFonts w:ascii="Arial" w:cs="Arial" w:eastAsia="Arial" w:hAnsi="Arial"/>
                <w:sz w:val="10"/>
                <w:szCs w:val="10"/>
                <w:color w:val="auto"/>
              </w:rPr>
              <w:t>489</w:t>
            </w:r>
          </w:p>
        </w:tc>
        <w:tc>
          <w:tcPr>
            <w:tcW w:w="120" w:type="dxa"/>
            <w:vAlign w:val="bottom"/>
            <w:tcBorders>
              <w:bottom w:val="single" w:sz="8" w:color="CCEEFF"/>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640" w:type="dxa"/>
            <w:vAlign w:val="bottom"/>
            <w:tcBorders>
              <w:bottom w:val="single" w:sz="8" w:color="auto"/>
            </w:tcBorders>
          </w:tcPr>
          <w:p>
            <w:pPr>
              <w:jc w:val="right"/>
              <w:ind w:right="74"/>
              <w:spacing w:after="0"/>
              <w:rPr>
                <w:sz w:val="20"/>
                <w:szCs w:val="20"/>
                <w:color w:val="auto"/>
              </w:rPr>
            </w:pPr>
            <w:r>
              <w:rPr>
                <w:rFonts w:ascii="Arial" w:cs="Arial" w:eastAsia="Arial" w:hAnsi="Arial"/>
                <w:sz w:val="10"/>
                <w:szCs w:val="10"/>
                <w:color w:val="auto"/>
              </w:rPr>
              <w:t>492</w:t>
            </w:r>
          </w:p>
        </w:tc>
        <w:tc>
          <w:tcPr>
            <w:tcW w:w="120" w:type="dxa"/>
            <w:vAlign w:val="bottom"/>
            <w:tcBorders>
              <w:bottom w:val="single" w:sz="8" w:color="CCEEFF"/>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86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3</w:t>
            </w:r>
          </w:p>
        </w:tc>
        <w:tc>
          <w:tcPr>
            <w:tcW w:w="10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1140" w:type="dxa"/>
            <w:vAlign w:val="bottom"/>
            <w:tcBorders>
              <w:bottom w:val="single" w:sz="8" w:color="auto"/>
            </w:tcBorders>
          </w:tcPr>
          <w:p>
            <w:pPr>
              <w:jc w:val="right"/>
              <w:ind w:right="74"/>
              <w:spacing w:after="0"/>
              <w:rPr>
                <w:sz w:val="20"/>
                <w:szCs w:val="20"/>
                <w:color w:val="auto"/>
              </w:rPr>
            </w:pPr>
            <w:r>
              <w:rPr>
                <w:rFonts w:ascii="Arial" w:cs="Arial" w:eastAsia="Arial" w:hAnsi="Arial"/>
                <w:sz w:val="10"/>
                <w:szCs w:val="10"/>
                <w:color w:val="auto"/>
              </w:rPr>
              <w:t>573</w:t>
            </w:r>
          </w:p>
        </w:tc>
        <w:tc>
          <w:tcPr>
            <w:tcW w:w="100" w:type="dxa"/>
            <w:vAlign w:val="bottom"/>
            <w:tcBorders>
              <w:bottom w:val="single" w:sz="8" w:color="CCEEFF"/>
            </w:tcBorders>
          </w:tcPr>
          <w:p>
            <w:pPr>
              <w:spacing w:after="0"/>
              <w:rPr>
                <w:sz w:val="15"/>
                <w:szCs w:val="15"/>
                <w:color w:val="auto"/>
              </w:rPr>
            </w:pPr>
          </w:p>
        </w:tc>
        <w:tc>
          <w:tcPr>
            <w:tcW w:w="240" w:type="dxa"/>
            <w:vAlign w:val="bottom"/>
            <w:tcBorders>
              <w:bottom w:val="single" w:sz="8" w:color="auto"/>
            </w:tcBorders>
          </w:tcPr>
          <w:p>
            <w:pPr>
              <w:spacing w:after="0"/>
              <w:rPr>
                <w:sz w:val="15"/>
                <w:szCs w:val="15"/>
                <w:color w:val="auto"/>
              </w:rPr>
            </w:pPr>
          </w:p>
        </w:tc>
        <w:tc>
          <w:tcPr>
            <w:tcW w:w="780" w:type="dxa"/>
            <w:vAlign w:val="bottom"/>
            <w:tcBorders>
              <w:bottom w:val="single" w:sz="8" w:color="auto"/>
            </w:tcBorders>
          </w:tcPr>
          <w:p>
            <w:pPr>
              <w:jc w:val="right"/>
              <w:ind w:right="54"/>
              <w:spacing w:after="0"/>
              <w:rPr>
                <w:sz w:val="20"/>
                <w:szCs w:val="20"/>
                <w:color w:val="auto"/>
              </w:rPr>
            </w:pPr>
            <w:r>
              <w:rPr>
                <w:rFonts w:ascii="Arial" w:cs="Arial" w:eastAsia="Arial" w:hAnsi="Arial"/>
                <w:sz w:val="10"/>
                <w:szCs w:val="10"/>
                <w:color w:val="auto"/>
              </w:rPr>
              <w:t>582</w:t>
            </w:r>
          </w:p>
        </w:tc>
        <w:tc>
          <w:tcPr>
            <w:tcW w:w="120" w:type="dxa"/>
            <w:vAlign w:val="bottom"/>
            <w:tcBorders>
              <w:bottom w:val="single" w:sz="8" w:color="CCEEFF"/>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jc w:val="right"/>
              <w:ind w:right="74"/>
              <w:spacing w:after="0"/>
              <w:rPr>
                <w:sz w:val="20"/>
                <w:szCs w:val="20"/>
                <w:color w:val="auto"/>
              </w:rPr>
            </w:pPr>
            <w:r>
              <w:rPr>
                <w:rFonts w:ascii="Arial" w:cs="Arial" w:eastAsia="Arial" w:hAnsi="Arial"/>
                <w:sz w:val="10"/>
                <w:szCs w:val="10"/>
                <w:color w:val="auto"/>
              </w:rPr>
              <w:t>582</w:t>
            </w:r>
          </w:p>
        </w:tc>
        <w:tc>
          <w:tcPr>
            <w:tcW w:w="10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920" w:type="dxa"/>
            <w:vAlign w:val="bottom"/>
            <w:tcBorders>
              <w:bottom w:val="single" w:sz="8" w:color="auto"/>
            </w:tcBorders>
          </w:tcPr>
          <w:p>
            <w:pPr>
              <w:jc w:val="right"/>
              <w:ind w:right="73"/>
              <w:spacing w:after="0"/>
              <w:rPr>
                <w:sz w:val="20"/>
                <w:szCs w:val="20"/>
                <w:color w:val="auto"/>
              </w:rPr>
            </w:pPr>
            <w:r>
              <w:rPr>
                <w:rFonts w:ascii="Arial" w:cs="Arial" w:eastAsia="Arial" w:hAnsi="Arial"/>
                <w:sz w:val="10"/>
                <w:szCs w:val="10"/>
                <w:color w:val="auto"/>
              </w:rPr>
              <w:t>—</w:t>
            </w:r>
          </w:p>
        </w:tc>
      </w:tr>
      <w:tr>
        <w:trPr>
          <w:trHeight w:val="171"/>
        </w:trPr>
        <w:tc>
          <w:tcPr>
            <w:tcW w:w="24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TBA securities, net</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Borders>
              <w:bottom w:val="single" w:sz="8" w:color="auto"/>
            </w:tcBorders>
            <w:shd w:val="clear" w:color="auto" w:fill="CCEEFF"/>
          </w:tcPr>
          <w:p>
            <w:pPr>
              <w:jc w:val="right"/>
              <w:ind w:right="74"/>
              <w:spacing w:after="0"/>
              <w:rPr>
                <w:sz w:val="20"/>
                <w:szCs w:val="20"/>
                <w:color w:val="auto"/>
              </w:rPr>
            </w:pPr>
            <w:r>
              <w:rPr>
                <w:rFonts w:ascii="Arial" w:cs="Arial" w:eastAsia="Arial" w:hAnsi="Arial"/>
                <w:sz w:val="10"/>
                <w:szCs w:val="10"/>
                <w:color w:val="auto"/>
              </w:rPr>
              <w:t>14,881</w:t>
            </w:r>
          </w:p>
        </w:tc>
        <w:tc>
          <w:tcPr>
            <w:tcW w:w="12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ind w:right="74"/>
              <w:spacing w:after="0"/>
              <w:rPr>
                <w:sz w:val="20"/>
                <w:szCs w:val="20"/>
                <w:color w:val="auto"/>
              </w:rPr>
            </w:pPr>
            <w:r>
              <w:rPr>
                <w:rFonts w:ascii="Arial" w:cs="Arial" w:eastAsia="Arial" w:hAnsi="Arial"/>
                <w:sz w:val="10"/>
                <w:szCs w:val="10"/>
                <w:color w:val="auto"/>
              </w:rPr>
              <w:t>15,540</w:t>
            </w:r>
          </w:p>
        </w:tc>
        <w:tc>
          <w:tcPr>
            <w:tcW w:w="12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auto"/>
            </w:tcBorders>
            <w:shd w:val="clear" w:color="auto" w:fill="CCEEFF"/>
          </w:tcPr>
          <w:p>
            <w:pPr>
              <w:jc w:val="right"/>
              <w:ind w:right="172"/>
              <w:spacing w:after="0"/>
              <w:rPr>
                <w:sz w:val="20"/>
                <w:szCs w:val="20"/>
                <w:color w:val="auto"/>
              </w:rPr>
            </w:pPr>
            <w:r>
              <w:rPr>
                <w:rFonts w:ascii="Arial" w:cs="Arial" w:eastAsia="Arial" w:hAnsi="Arial"/>
                <w:sz w:val="10"/>
                <w:szCs w:val="10"/>
                <w:color w:val="auto"/>
                <w:w w:val="71"/>
              </w:rPr>
              <w:t>$</w:t>
            </w:r>
          </w:p>
        </w:tc>
        <w:tc>
          <w:tcPr>
            <w:tcW w:w="640" w:type="dxa"/>
            <w:vAlign w:val="bottom"/>
            <w:tcBorders>
              <w:bottom w:val="single" w:sz="8" w:color="auto"/>
            </w:tcBorders>
            <w:shd w:val="clear" w:color="auto" w:fill="CCEEFF"/>
          </w:tcPr>
          <w:p>
            <w:pPr>
              <w:jc w:val="right"/>
              <w:ind w:right="74"/>
              <w:spacing w:after="0"/>
              <w:rPr>
                <w:sz w:val="20"/>
                <w:szCs w:val="20"/>
                <w:color w:val="auto"/>
              </w:rPr>
            </w:pPr>
            <w:r>
              <w:rPr>
                <w:rFonts w:ascii="Arial" w:cs="Arial" w:eastAsia="Arial" w:hAnsi="Arial"/>
                <w:sz w:val="10"/>
                <w:szCs w:val="10"/>
                <w:color w:val="auto"/>
              </w:rPr>
              <w:t>15,586</w:t>
            </w:r>
          </w:p>
        </w:tc>
        <w:tc>
          <w:tcPr>
            <w:tcW w:w="120" w:type="dxa"/>
            <w:vAlign w:val="bottom"/>
            <w:tcBorders>
              <w:bottom w:val="single" w:sz="8" w:color="CCEEFF"/>
            </w:tcBorders>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46</w:t>
            </w:r>
          </w:p>
        </w:tc>
        <w:tc>
          <w:tcPr>
            <w:tcW w:w="10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1140" w:type="dxa"/>
            <w:vAlign w:val="bottom"/>
            <w:tcBorders>
              <w:bottom w:val="single" w:sz="8" w:color="auto"/>
            </w:tcBorders>
            <w:shd w:val="clear" w:color="auto" w:fill="CCEEFF"/>
          </w:tcPr>
          <w:p>
            <w:pPr>
              <w:jc w:val="right"/>
              <w:ind w:right="74"/>
              <w:spacing w:after="0"/>
              <w:rPr>
                <w:sz w:val="20"/>
                <w:szCs w:val="20"/>
                <w:color w:val="auto"/>
              </w:rPr>
            </w:pPr>
            <w:r>
              <w:rPr>
                <w:rFonts w:ascii="Arial" w:cs="Arial" w:eastAsia="Arial" w:hAnsi="Arial"/>
                <w:sz w:val="10"/>
                <w:szCs w:val="10"/>
                <w:color w:val="auto"/>
              </w:rPr>
              <w:t>7,295</w:t>
            </w:r>
          </w:p>
        </w:tc>
        <w:tc>
          <w:tcPr>
            <w:tcW w:w="100" w:type="dxa"/>
            <w:vAlign w:val="bottom"/>
            <w:tcBorders>
              <w:bottom w:val="single" w:sz="8" w:color="CCEEFF"/>
            </w:tcBorders>
            <w:shd w:val="clear" w:color="auto" w:fill="CCEEFF"/>
          </w:tcPr>
          <w:p>
            <w:pPr>
              <w:spacing w:after="0"/>
              <w:rPr>
                <w:sz w:val="14"/>
                <w:szCs w:val="14"/>
                <w:color w:val="auto"/>
              </w:rPr>
            </w:pPr>
          </w:p>
        </w:tc>
        <w:tc>
          <w:tcPr>
            <w:tcW w:w="24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rPr>
              <w:t>$</w:t>
            </w:r>
          </w:p>
        </w:tc>
        <w:tc>
          <w:tcPr>
            <w:tcW w:w="780" w:type="dxa"/>
            <w:vAlign w:val="bottom"/>
            <w:tcBorders>
              <w:bottom w:val="single" w:sz="8" w:color="auto"/>
            </w:tcBorders>
            <w:shd w:val="clear" w:color="auto" w:fill="CCEEFF"/>
          </w:tcPr>
          <w:p>
            <w:pPr>
              <w:jc w:val="right"/>
              <w:ind w:right="54"/>
              <w:spacing w:after="0"/>
              <w:rPr>
                <w:sz w:val="20"/>
                <w:szCs w:val="20"/>
                <w:color w:val="auto"/>
              </w:rPr>
            </w:pPr>
            <w:r>
              <w:rPr>
                <w:rFonts w:ascii="Arial" w:cs="Arial" w:eastAsia="Arial" w:hAnsi="Arial"/>
                <w:sz w:val="10"/>
                <w:szCs w:val="10"/>
                <w:color w:val="auto"/>
              </w:rPr>
              <w:t>7,430</w:t>
            </w:r>
          </w:p>
        </w:tc>
        <w:tc>
          <w:tcPr>
            <w:tcW w:w="12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auto"/>
            </w:tcBorders>
            <w:shd w:val="clear" w:color="auto" w:fill="CCEEFF"/>
          </w:tcPr>
          <w:p>
            <w:pPr>
              <w:jc w:val="right"/>
              <w:ind w:right="172"/>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shd w:val="clear" w:color="auto" w:fill="CCEEFF"/>
          </w:tcPr>
          <w:p>
            <w:pPr>
              <w:jc w:val="right"/>
              <w:ind w:right="74"/>
              <w:spacing w:after="0"/>
              <w:rPr>
                <w:sz w:val="20"/>
                <w:szCs w:val="20"/>
                <w:color w:val="auto"/>
              </w:rPr>
            </w:pPr>
            <w:r>
              <w:rPr>
                <w:rFonts w:ascii="Arial" w:cs="Arial" w:eastAsia="Arial" w:hAnsi="Arial"/>
                <w:sz w:val="10"/>
                <w:szCs w:val="10"/>
                <w:color w:val="auto"/>
              </w:rPr>
              <w:t>7,444</w:t>
            </w:r>
          </w:p>
        </w:tc>
        <w:tc>
          <w:tcPr>
            <w:tcW w:w="100" w:type="dxa"/>
            <w:vAlign w:val="bottom"/>
            <w:tcBorders>
              <w:bottom w:val="single" w:sz="8" w:color="CCEEFF"/>
            </w:tcBorders>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tcBorders>
              <w:bottom w:val="single" w:sz="8" w:color="auto"/>
            </w:tcBorders>
            <w:shd w:val="clear" w:color="auto" w:fill="CCEEFF"/>
          </w:tcPr>
          <w:p>
            <w:pPr>
              <w:jc w:val="right"/>
              <w:ind w:right="73"/>
              <w:spacing w:after="0"/>
              <w:rPr>
                <w:sz w:val="20"/>
                <w:szCs w:val="20"/>
                <w:color w:val="auto"/>
              </w:rPr>
            </w:pPr>
            <w:r>
              <w:rPr>
                <w:rFonts w:ascii="Arial" w:cs="Arial" w:eastAsia="Arial" w:hAnsi="Arial"/>
                <w:sz w:val="10"/>
                <w:szCs w:val="10"/>
                <w:color w:val="auto"/>
              </w:rPr>
              <w:t>14</w:t>
            </w:r>
          </w:p>
        </w:tc>
      </w:tr>
      <w:tr>
        <w:trPr>
          <w:trHeight w:val="131"/>
        </w:trPr>
        <w:tc>
          <w:tcPr>
            <w:tcW w:w="2300" w:type="dxa"/>
            <w:vAlign w:val="bottom"/>
          </w:tcPr>
          <w:p>
            <w:pPr>
              <w:spacing w:after="0" w:line="131" w:lineRule="exact"/>
              <w:rPr>
                <w:sz w:val="20"/>
                <w:szCs w:val="20"/>
                <w:color w:val="auto"/>
              </w:rPr>
            </w:pPr>
            <w:r>
              <w:rPr>
                <w:rFonts w:ascii="Arial" w:cs="Arial" w:eastAsia="Arial" w:hAnsi="Arial"/>
                <w:sz w:val="12"/>
                <w:szCs w:val="12"/>
                <w:color w:val="auto"/>
              </w:rPr>
              <w:t>_____________________</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r>
    </w:tbl>
    <w:p>
      <w:pPr>
        <w:ind w:left="420" w:hanging="212"/>
        <w:spacing w:after="0" w:line="225" w:lineRule="auto"/>
        <w:tabs>
          <w:tab w:leader="none" w:pos="420" w:val="left"/>
        </w:tabs>
        <w:numPr>
          <w:ilvl w:val="0"/>
          <w:numId w:val="9"/>
        </w:numPr>
        <w:rPr>
          <w:rFonts w:ascii="Arial" w:cs="Arial" w:eastAsia="Arial" w:hAnsi="Arial"/>
          <w:sz w:val="10"/>
          <w:szCs w:val="10"/>
          <w:color w:val="auto"/>
        </w:rPr>
      </w:pPr>
      <w:r>
        <w:rPr>
          <w:rFonts w:ascii="Arial" w:cs="Arial" w:eastAsia="Arial" w:hAnsi="Arial"/>
          <w:sz w:val="10"/>
          <w:szCs w:val="10"/>
          <w:color w:val="auto"/>
        </w:rPr>
        <w:t>Notional amount represents the par value (or principal balance) of the underlying agency security.</w:t>
      </w:r>
    </w:p>
    <w:p>
      <w:pPr>
        <w:ind w:left="420" w:hanging="212"/>
        <w:spacing w:after="0" w:line="225" w:lineRule="auto"/>
        <w:tabs>
          <w:tab w:leader="none" w:pos="420" w:val="left"/>
        </w:tabs>
        <w:numPr>
          <w:ilvl w:val="0"/>
          <w:numId w:val="9"/>
        </w:numPr>
        <w:rPr>
          <w:rFonts w:ascii="Arial" w:cs="Arial" w:eastAsia="Arial" w:hAnsi="Arial"/>
          <w:sz w:val="10"/>
          <w:szCs w:val="10"/>
          <w:color w:val="auto"/>
        </w:rPr>
      </w:pPr>
      <w:r>
        <w:rPr>
          <w:rFonts w:ascii="Arial" w:cs="Arial" w:eastAsia="Arial" w:hAnsi="Arial"/>
          <w:sz w:val="10"/>
          <w:szCs w:val="10"/>
          <w:color w:val="auto"/>
        </w:rPr>
        <w:t>Cost basis represents the forward price to be paid / (received) for the underlying agency security.</w:t>
      </w:r>
    </w:p>
    <w:p>
      <w:pPr>
        <w:ind w:left="420" w:hanging="212"/>
        <w:spacing w:after="0" w:line="225" w:lineRule="auto"/>
        <w:tabs>
          <w:tab w:leader="none" w:pos="420" w:val="left"/>
        </w:tabs>
        <w:numPr>
          <w:ilvl w:val="0"/>
          <w:numId w:val="9"/>
        </w:numPr>
        <w:rPr>
          <w:rFonts w:ascii="Arial" w:cs="Arial" w:eastAsia="Arial" w:hAnsi="Arial"/>
          <w:sz w:val="10"/>
          <w:szCs w:val="10"/>
          <w:color w:val="auto"/>
        </w:rPr>
      </w:pPr>
      <w:r>
        <w:rPr>
          <w:rFonts w:ascii="Arial" w:cs="Arial" w:eastAsia="Arial" w:hAnsi="Arial"/>
          <w:sz w:val="10"/>
          <w:szCs w:val="10"/>
          <w:color w:val="auto"/>
        </w:rPr>
        <w:t>Market value represents the current market value of the TBA contract (or of the underlying agency security) as of period-end.</w:t>
      </w:r>
    </w:p>
    <w:p>
      <w:pPr>
        <w:ind w:left="420" w:hanging="212"/>
        <w:spacing w:after="0" w:line="225" w:lineRule="auto"/>
        <w:tabs>
          <w:tab w:leader="none" w:pos="420" w:val="left"/>
        </w:tabs>
        <w:numPr>
          <w:ilvl w:val="0"/>
          <w:numId w:val="9"/>
        </w:numPr>
        <w:rPr>
          <w:rFonts w:ascii="Arial" w:cs="Arial" w:eastAsia="Arial" w:hAnsi="Arial"/>
          <w:sz w:val="10"/>
          <w:szCs w:val="10"/>
          <w:color w:val="auto"/>
        </w:rPr>
      </w:pPr>
      <w:r>
        <w:rPr>
          <w:rFonts w:ascii="Arial" w:cs="Arial" w:eastAsia="Arial" w:hAnsi="Arial"/>
          <w:sz w:val="10"/>
          <w:szCs w:val="10"/>
          <w:color w:val="auto"/>
        </w:rPr>
        <w:t>Net carrying value represents the difference between the market value and the cost basis of the TBA contract as of period-end and is reported in derivative assets / (liabilities), at fair value in our consolidated balance sheets.</w:t>
      </w:r>
    </w:p>
    <w:p>
      <w:pPr>
        <w:ind w:left="420" w:hanging="212"/>
        <w:spacing w:after="0" w:line="236" w:lineRule="auto"/>
        <w:tabs>
          <w:tab w:leader="none" w:pos="420" w:val="left"/>
        </w:tabs>
        <w:numPr>
          <w:ilvl w:val="0"/>
          <w:numId w:val="9"/>
        </w:numPr>
        <w:rPr>
          <w:rFonts w:ascii="Arial" w:cs="Arial" w:eastAsia="Arial" w:hAnsi="Arial"/>
          <w:sz w:val="10"/>
          <w:szCs w:val="10"/>
          <w:color w:val="auto"/>
        </w:rPr>
      </w:pPr>
      <w:r>
        <w:rPr>
          <w:rFonts w:ascii="Arial" w:cs="Arial" w:eastAsia="Arial" w:hAnsi="Arial"/>
          <w:sz w:val="10"/>
          <w:szCs w:val="10"/>
          <w:color w:val="auto"/>
        </w:rPr>
        <w:t>Includes $2.6 billion of forward purchases of agency MBS specified pools as of September 30, 2016.</w:t>
      </w:r>
    </w:p>
    <w:p>
      <w:pPr>
        <w:spacing w:after="0" w:line="153"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18</w:t>
      </w:r>
    </w:p>
    <w:p>
      <w:pPr>
        <w:sectPr>
          <w:pgSz w:w="11900" w:h="16838" w:orient="portrait"/>
          <w:cols w:equalWidth="0" w:num="1">
            <w:col w:w="11480"/>
          </w:cols>
          <w:pgMar w:left="220" w:top="433" w:right="199" w:bottom="1440" w:gutter="0" w:footer="0" w:header="0"/>
        </w:sectPr>
      </w:pPr>
    </w:p>
    <w:bookmarkStart w:id="19" w:name="page20"/>
    <w:bookmarkEnd w:id="19"/>
    <w:p>
      <w:pPr>
        <w:spacing w:after="0"/>
        <w:rPr>
          <w:sz w:val="20"/>
          <w:szCs w:val="20"/>
          <w:color w:val="auto"/>
        </w:rPr>
      </w:pPr>
      <w:r>
        <w:rPr>
          <w:rFonts w:ascii="Arial" w:cs="Arial" w:eastAsia="Arial" w:hAnsi="Arial"/>
          <w:sz w:val="12"/>
          <w:szCs w:val="12"/>
          <w:b w:val="1"/>
          <w:bCs w:val="1"/>
          <w:i w:val="1"/>
          <w:iCs w:val="1"/>
          <w:color w:val="auto"/>
        </w:rPr>
        <w:t>Gain (Loss) From Derivative Instruments and Other Securities, Net</w:t>
      </w:r>
    </w:p>
    <w:p>
      <w:pPr>
        <w:spacing w:after="0" w:line="114" w:lineRule="exact"/>
        <w:rPr>
          <w:sz w:val="20"/>
          <w:szCs w:val="20"/>
          <w:color w:val="auto"/>
        </w:rPr>
      </w:pPr>
    </w:p>
    <w:p>
      <w:pPr>
        <w:ind w:firstLine="270"/>
        <w:spacing w:after="0" w:line="276" w:lineRule="auto"/>
        <w:rPr>
          <w:sz w:val="20"/>
          <w:szCs w:val="20"/>
          <w:color w:val="auto"/>
        </w:rPr>
      </w:pPr>
      <w:r>
        <w:rPr>
          <w:rFonts w:ascii="Arial" w:cs="Arial" w:eastAsia="Arial" w:hAnsi="Arial"/>
          <w:sz w:val="12"/>
          <w:szCs w:val="12"/>
          <w:color w:val="auto"/>
        </w:rPr>
        <w:t>The tables below summarize changes in our derivative and other hedge portfolio and their effect on our consolidated statements of comprehensive income for the three and nine months ended September 30, 2016 and 2015 (in millions):</w:t>
      </w:r>
    </w:p>
    <w:p>
      <w:pPr>
        <w:spacing w:after="0" w:line="226" w:lineRule="exact"/>
        <w:rPr>
          <w:sz w:val="20"/>
          <w:szCs w:val="20"/>
          <w:color w:val="auto"/>
        </w:rPr>
      </w:pPr>
    </w:p>
    <w:tbl>
      <w:tblPr>
        <w:tblLayout w:type="fixed"/>
        <w:tblInd w:w="20" w:type="dxa"/>
        <w:tblCellMar>
          <w:top w:w="0" w:type="dxa"/>
          <w:left w:w="0" w:type="dxa"/>
          <w:bottom w:w="0" w:type="dxa"/>
          <w:right w:w="0" w:type="dxa"/>
        </w:tblCellMar>
      </w:tblPr>
      <w:tr>
        <w:trPr>
          <w:trHeight w:val="128"/>
        </w:trPr>
        <w:tc>
          <w:tcPr>
            <w:tcW w:w="4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tcPr>
          <w:p>
            <w:pPr>
              <w:spacing w:after="0"/>
              <w:rPr>
                <w:sz w:val="11"/>
                <w:szCs w:val="11"/>
                <w:color w:val="auto"/>
              </w:rPr>
            </w:pPr>
          </w:p>
        </w:tc>
        <w:tc>
          <w:tcPr>
            <w:tcW w:w="1760" w:type="dxa"/>
            <w:vAlign w:val="bottom"/>
            <w:tcBorders>
              <w:bottom w:val="single" w:sz="8" w:color="auto"/>
            </w:tcBorders>
            <w:gridSpan w:val="4"/>
          </w:tcPr>
          <w:p>
            <w:pPr>
              <w:jc w:val="right"/>
              <w:spacing w:after="0"/>
              <w:rPr>
                <w:sz w:val="20"/>
                <w:szCs w:val="20"/>
                <w:color w:val="auto"/>
              </w:rPr>
            </w:pPr>
            <w:r>
              <w:rPr>
                <w:rFonts w:ascii="Arial" w:cs="Arial" w:eastAsia="Arial" w:hAnsi="Arial"/>
                <w:sz w:val="10"/>
                <w:szCs w:val="10"/>
                <w:b w:val="1"/>
                <w:bCs w:val="1"/>
                <w:color w:val="auto"/>
                <w:w w:val="89"/>
              </w:rPr>
              <w:t>Three Months Ended September 30, 2016</w:t>
            </w:r>
          </w:p>
        </w:tc>
        <w:tc>
          <w:tcPr>
            <w:tcW w:w="10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r>
      <w:tr>
        <w:trPr>
          <w:trHeight w:val="96"/>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40" w:type="dxa"/>
            <w:vAlign w:val="bottom"/>
          </w:tcPr>
          <w:p>
            <w:pPr>
              <w:jc w:val="center"/>
              <w:ind w:right="148"/>
              <w:spacing w:after="0" w:line="96" w:lineRule="exact"/>
              <w:rPr>
                <w:sz w:val="20"/>
                <w:szCs w:val="20"/>
                <w:color w:val="auto"/>
              </w:rPr>
            </w:pPr>
            <w:r>
              <w:rPr>
                <w:rFonts w:ascii="Arial" w:cs="Arial" w:eastAsia="Arial" w:hAnsi="Arial"/>
                <w:sz w:val="10"/>
                <w:szCs w:val="10"/>
                <w:b w:val="1"/>
                <w:bCs w:val="1"/>
                <w:color w:val="auto"/>
                <w:w w:val="87"/>
              </w:rPr>
              <w:t>Amount of</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40" w:type="dxa"/>
            <w:vAlign w:val="bottom"/>
          </w:tcPr>
          <w:p>
            <w:pPr>
              <w:jc w:val="center"/>
              <w:ind w:right="148"/>
              <w:spacing w:after="0" w:line="99" w:lineRule="exact"/>
              <w:rPr>
                <w:sz w:val="20"/>
                <w:szCs w:val="20"/>
                <w:color w:val="auto"/>
              </w:rPr>
            </w:pPr>
            <w:r>
              <w:rPr>
                <w:rFonts w:ascii="Arial" w:cs="Arial" w:eastAsia="Arial" w:hAnsi="Arial"/>
                <w:sz w:val="10"/>
                <w:szCs w:val="10"/>
                <w:b w:val="1"/>
                <w:bCs w:val="1"/>
                <w:color w:val="auto"/>
                <w:w w:val="87"/>
              </w:rPr>
              <w:t>Gain/(Loss)</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20" w:type="dxa"/>
            <w:vAlign w:val="bottom"/>
            <w:gridSpan w:val="2"/>
          </w:tcPr>
          <w:p>
            <w:pPr>
              <w:jc w:val="center"/>
              <w:ind w:right="280"/>
              <w:spacing w:after="0" w:line="99" w:lineRule="exact"/>
              <w:rPr>
                <w:sz w:val="20"/>
                <w:szCs w:val="20"/>
                <w:color w:val="auto"/>
              </w:rPr>
            </w:pPr>
            <w:r>
              <w:rPr>
                <w:rFonts w:ascii="Arial" w:cs="Arial" w:eastAsia="Arial" w:hAnsi="Arial"/>
                <w:sz w:val="10"/>
                <w:szCs w:val="10"/>
                <w:b w:val="1"/>
                <w:bCs w:val="1"/>
                <w:color w:val="auto"/>
                <w:w w:val="89"/>
              </w:rPr>
              <w:t>Notional Amount</w:t>
            </w: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7"/>
              </w:rPr>
              <w:t>Settlement, Termination,</w:t>
            </w:r>
          </w:p>
        </w:tc>
        <w:tc>
          <w:tcPr>
            <w:tcW w:w="240" w:type="dxa"/>
            <w:vAlign w:val="bottom"/>
          </w:tcPr>
          <w:p>
            <w:pPr>
              <w:spacing w:after="0"/>
              <w:rPr>
                <w:sz w:val="8"/>
                <w:szCs w:val="8"/>
                <w:color w:val="auto"/>
              </w:rPr>
            </w:pPr>
          </w:p>
        </w:tc>
        <w:tc>
          <w:tcPr>
            <w:tcW w:w="1220" w:type="dxa"/>
            <w:vAlign w:val="bottom"/>
            <w:gridSpan w:val="3"/>
          </w:tcPr>
          <w:p>
            <w:pPr>
              <w:jc w:val="center"/>
              <w:ind w:right="460"/>
              <w:spacing w:after="0" w:line="99" w:lineRule="exact"/>
              <w:rPr>
                <w:sz w:val="20"/>
                <w:szCs w:val="20"/>
                <w:color w:val="auto"/>
              </w:rPr>
            </w:pPr>
            <w:r>
              <w:rPr>
                <w:rFonts w:ascii="Arial" w:cs="Arial" w:eastAsia="Arial" w:hAnsi="Arial"/>
                <w:sz w:val="10"/>
                <w:szCs w:val="10"/>
                <w:b w:val="1"/>
                <w:bCs w:val="1"/>
                <w:color w:val="auto"/>
                <w:w w:val="89"/>
              </w:rPr>
              <w:t>Notional Amount</w:t>
            </w:r>
          </w:p>
        </w:tc>
        <w:tc>
          <w:tcPr>
            <w:tcW w:w="200" w:type="dxa"/>
            <w:vAlign w:val="bottom"/>
          </w:tcPr>
          <w:p>
            <w:pPr>
              <w:spacing w:after="0"/>
              <w:rPr>
                <w:sz w:val="8"/>
                <w:szCs w:val="8"/>
                <w:color w:val="auto"/>
              </w:rPr>
            </w:pPr>
          </w:p>
        </w:tc>
        <w:tc>
          <w:tcPr>
            <w:tcW w:w="1040" w:type="dxa"/>
            <w:vAlign w:val="bottom"/>
          </w:tcPr>
          <w:p>
            <w:pPr>
              <w:jc w:val="center"/>
              <w:ind w:right="168"/>
              <w:spacing w:after="0" w:line="99" w:lineRule="exact"/>
              <w:rPr>
                <w:sz w:val="20"/>
                <w:szCs w:val="20"/>
                <w:color w:val="auto"/>
              </w:rPr>
            </w:pPr>
            <w:r>
              <w:rPr>
                <w:rFonts w:ascii="Arial" w:cs="Arial" w:eastAsia="Arial" w:hAnsi="Arial"/>
                <w:sz w:val="10"/>
                <w:szCs w:val="10"/>
                <w:b w:val="1"/>
                <w:bCs w:val="1"/>
                <w:color w:val="auto"/>
                <w:w w:val="85"/>
              </w:rPr>
              <w:t>Recognized in</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20" w:type="dxa"/>
            <w:vAlign w:val="bottom"/>
            <w:gridSpan w:val="2"/>
          </w:tcPr>
          <w:p>
            <w:pPr>
              <w:jc w:val="center"/>
              <w:ind w:right="280"/>
              <w:spacing w:after="0" w:line="99" w:lineRule="exact"/>
              <w:rPr>
                <w:sz w:val="20"/>
                <w:szCs w:val="20"/>
                <w:color w:val="auto"/>
              </w:rPr>
            </w:pPr>
            <w:r>
              <w:rPr>
                <w:rFonts w:ascii="Arial" w:cs="Arial" w:eastAsia="Arial" w:hAnsi="Arial"/>
                <w:sz w:val="10"/>
                <w:szCs w:val="10"/>
                <w:b w:val="1"/>
                <w:bCs w:val="1"/>
                <w:color w:val="auto"/>
                <w:w w:val="86"/>
              </w:rPr>
              <w:t>Long/(Short)</w:t>
            </w: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90"/>
              </w:rPr>
              <w:t>Expiration or</w:t>
            </w:r>
          </w:p>
        </w:tc>
        <w:tc>
          <w:tcPr>
            <w:tcW w:w="1460" w:type="dxa"/>
            <w:vAlign w:val="bottom"/>
            <w:gridSpan w:val="4"/>
          </w:tcPr>
          <w:p>
            <w:pPr>
              <w:jc w:val="center"/>
              <w:ind w:right="240"/>
              <w:spacing w:after="0" w:line="99" w:lineRule="exact"/>
              <w:rPr>
                <w:sz w:val="20"/>
                <w:szCs w:val="20"/>
                <w:color w:val="auto"/>
              </w:rPr>
            </w:pPr>
            <w:r>
              <w:rPr>
                <w:rFonts w:ascii="Arial" w:cs="Arial" w:eastAsia="Arial" w:hAnsi="Arial"/>
                <w:sz w:val="10"/>
                <w:szCs w:val="10"/>
                <w:b w:val="1"/>
                <w:bCs w:val="1"/>
                <w:color w:val="auto"/>
                <w:w w:val="86"/>
              </w:rPr>
              <w:t>Long/(Short) September 30,</w:t>
            </w:r>
          </w:p>
        </w:tc>
        <w:tc>
          <w:tcPr>
            <w:tcW w:w="200" w:type="dxa"/>
            <w:vAlign w:val="bottom"/>
          </w:tcPr>
          <w:p>
            <w:pPr>
              <w:spacing w:after="0"/>
              <w:rPr>
                <w:sz w:val="8"/>
                <w:szCs w:val="8"/>
                <w:color w:val="auto"/>
              </w:rPr>
            </w:pPr>
          </w:p>
        </w:tc>
        <w:tc>
          <w:tcPr>
            <w:tcW w:w="1040" w:type="dxa"/>
            <w:vAlign w:val="bottom"/>
          </w:tcPr>
          <w:p>
            <w:pPr>
              <w:jc w:val="center"/>
              <w:ind w:right="168"/>
              <w:spacing w:after="0" w:line="99" w:lineRule="exact"/>
              <w:rPr>
                <w:sz w:val="20"/>
                <w:szCs w:val="20"/>
                <w:color w:val="auto"/>
              </w:rPr>
            </w:pPr>
            <w:r>
              <w:rPr>
                <w:rFonts w:ascii="Arial" w:cs="Arial" w:eastAsia="Arial" w:hAnsi="Arial"/>
                <w:sz w:val="10"/>
                <w:szCs w:val="10"/>
                <w:b w:val="1"/>
                <w:bCs w:val="1"/>
                <w:color w:val="auto"/>
                <w:w w:val="83"/>
              </w:rPr>
              <w:t>Income on</w:t>
            </w:r>
          </w:p>
        </w:tc>
      </w:tr>
      <w:tr>
        <w:trPr>
          <w:trHeight w:val="128"/>
        </w:trPr>
        <w:tc>
          <w:tcPr>
            <w:tcW w:w="47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Derivative and Other Hedging Instruments</w:t>
            </w:r>
          </w:p>
        </w:tc>
        <w:tc>
          <w:tcPr>
            <w:tcW w:w="12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tcPr>
          <w:p>
            <w:pPr>
              <w:jc w:val="center"/>
              <w:ind w:right="108"/>
              <w:spacing w:after="0"/>
              <w:rPr>
                <w:sz w:val="20"/>
                <w:szCs w:val="20"/>
                <w:color w:val="auto"/>
              </w:rPr>
            </w:pPr>
            <w:r>
              <w:rPr>
                <w:rFonts w:ascii="Arial" w:cs="Arial" w:eastAsia="Arial" w:hAnsi="Arial"/>
                <w:sz w:val="10"/>
                <w:szCs w:val="10"/>
                <w:b w:val="1"/>
                <w:bCs w:val="1"/>
                <w:color w:val="auto"/>
                <w:w w:val="86"/>
              </w:rPr>
              <w:t>June 30, 2016</w:t>
            </w:r>
          </w:p>
        </w:tc>
        <w:tc>
          <w:tcPr>
            <w:tcW w:w="120" w:type="dxa"/>
            <w:vAlign w:val="bottom"/>
            <w:tcBorders>
              <w:bottom w:val="single" w:sz="8" w:color="CCEEFF"/>
            </w:tcBorders>
          </w:tcPr>
          <w:p>
            <w:pPr>
              <w:spacing w:after="0"/>
              <w:rPr>
                <w:sz w:val="11"/>
                <w:szCs w:val="11"/>
                <w:color w:val="auto"/>
              </w:rPr>
            </w:pPr>
          </w:p>
        </w:tc>
        <w:tc>
          <w:tcPr>
            <w:tcW w:w="1140" w:type="dxa"/>
            <w:vAlign w:val="bottom"/>
            <w:tcBorders>
              <w:bottom w:val="single" w:sz="8" w:color="auto"/>
            </w:tcBorders>
          </w:tcPr>
          <w:p>
            <w:pPr>
              <w:jc w:val="right"/>
              <w:ind w:right="307"/>
              <w:spacing w:after="0"/>
              <w:rPr>
                <w:sz w:val="20"/>
                <w:szCs w:val="20"/>
                <w:color w:val="auto"/>
              </w:rPr>
            </w:pPr>
            <w:r>
              <w:rPr>
                <w:rFonts w:ascii="Arial" w:cs="Arial" w:eastAsia="Arial" w:hAnsi="Arial"/>
                <w:sz w:val="10"/>
                <w:szCs w:val="10"/>
                <w:b w:val="1"/>
                <w:bCs w:val="1"/>
                <w:color w:val="auto"/>
              </w:rPr>
              <w:t>Additions</w:t>
            </w:r>
          </w:p>
        </w:tc>
        <w:tc>
          <w:tcPr>
            <w:tcW w:w="120" w:type="dxa"/>
            <w:vAlign w:val="bottom"/>
            <w:tcBorders>
              <w:bottom w:val="single" w:sz="8" w:color="CCEEFF"/>
            </w:tcBorders>
          </w:tcPr>
          <w:p>
            <w:pPr>
              <w:spacing w:after="0"/>
              <w:rPr>
                <w:sz w:val="11"/>
                <w:szCs w:val="11"/>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7"/>
              </w:rPr>
              <w:t>Exercise</w:t>
            </w:r>
          </w:p>
        </w:tc>
        <w:tc>
          <w:tcPr>
            <w:tcW w:w="120" w:type="dxa"/>
            <w:vAlign w:val="bottom"/>
            <w:tcBorders>
              <w:bottom w:val="single" w:sz="8" w:color="CCEEFF"/>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tcPr>
          <w:p>
            <w:pPr>
              <w:jc w:val="center"/>
              <w:ind w:right="187"/>
              <w:spacing w:after="0"/>
              <w:rPr>
                <w:sz w:val="20"/>
                <w:szCs w:val="20"/>
                <w:color w:val="auto"/>
              </w:rPr>
            </w:pPr>
            <w:r>
              <w:rPr>
                <w:rFonts w:ascii="Arial" w:cs="Arial" w:eastAsia="Arial" w:hAnsi="Arial"/>
                <w:sz w:val="10"/>
                <w:szCs w:val="10"/>
                <w:b w:val="1"/>
                <w:bCs w:val="1"/>
                <w:color w:val="auto"/>
                <w:w w:val="89"/>
              </w:rPr>
              <w:t>2016</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jc w:val="center"/>
              <w:ind w:right="148"/>
              <w:spacing w:after="0"/>
              <w:rPr>
                <w:sz w:val="20"/>
                <w:szCs w:val="20"/>
                <w:color w:val="auto"/>
              </w:rPr>
            </w:pPr>
            <w:r>
              <w:rPr>
                <w:rFonts w:ascii="Arial" w:cs="Arial" w:eastAsia="Arial" w:hAnsi="Arial"/>
                <w:sz w:val="10"/>
                <w:szCs w:val="10"/>
                <w:b w:val="1"/>
                <w:bCs w:val="1"/>
                <w:color w:val="auto"/>
                <w:w w:val="88"/>
              </w:rPr>
              <w:t xml:space="preserve">Derivatives </w:t>
            </w:r>
            <w:r>
              <w:rPr>
                <w:rFonts w:ascii="Arial" w:cs="Arial" w:eastAsia="Arial" w:hAnsi="Arial"/>
                <w:sz w:val="5"/>
                <w:szCs w:val="5"/>
                <w:b w:val="1"/>
                <w:bCs w:val="1"/>
                <w:color w:val="auto"/>
                <w:w w:val="88"/>
              </w:rPr>
              <w:t>1</w:t>
            </w:r>
          </w:p>
        </w:tc>
      </w:tr>
      <w:tr>
        <w:trPr>
          <w:trHeight w:val="144"/>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TBA securities, net</w:t>
            </w: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00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6,756</w:t>
            </w:r>
          </w:p>
        </w:tc>
        <w:tc>
          <w:tcPr>
            <w:tcW w:w="120" w:type="dxa"/>
            <w:vAlign w:val="bottom"/>
            <w:tcBorders>
              <w:bottom w:val="single" w:sz="8" w:color="CCEEFF"/>
            </w:tcBorders>
            <w:shd w:val="clear" w:color="auto" w:fill="CCEEFF"/>
          </w:tcPr>
          <w:p>
            <w:pPr>
              <w:spacing w:after="0"/>
              <w:rPr>
                <w:sz w:val="12"/>
                <w:szCs w:val="12"/>
                <w:color w:val="auto"/>
              </w:rPr>
            </w:pPr>
          </w:p>
        </w:tc>
        <w:tc>
          <w:tcPr>
            <w:tcW w:w="114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37,881</w:t>
            </w:r>
          </w:p>
        </w:tc>
        <w:tc>
          <w:tcPr>
            <w:tcW w:w="1400" w:type="dxa"/>
            <w:vAlign w:val="bottom"/>
            <w:tcBorders>
              <w:bottom w:val="single" w:sz="8" w:color="CCEEFF"/>
            </w:tcBorders>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(29,756)</w:t>
            </w:r>
          </w:p>
        </w:tc>
        <w:tc>
          <w:tcPr>
            <w:tcW w:w="120" w:type="dxa"/>
            <w:vAlign w:val="bottom"/>
            <w:tcBorders>
              <w:bottom w:val="single" w:sz="8" w:color="CCEEFF"/>
            </w:tcBorders>
            <w:shd w:val="clear" w:color="auto" w:fill="CCEEFF"/>
          </w:tcPr>
          <w:p>
            <w:pPr>
              <w:spacing w:after="0"/>
              <w:rPr>
                <w:sz w:val="12"/>
                <w:szCs w:val="12"/>
                <w:color w:val="auto"/>
              </w:rPr>
            </w:pPr>
          </w:p>
        </w:tc>
        <w:tc>
          <w:tcPr>
            <w:tcW w:w="240" w:type="dxa"/>
            <w:vAlign w:val="bottom"/>
            <w:tcBorders>
              <w:bottom w:val="single" w:sz="8" w:color="CCEEFF"/>
            </w:tcBorders>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14,881</w:t>
            </w:r>
          </w:p>
        </w:tc>
        <w:tc>
          <w:tcPr>
            <w:tcW w:w="120" w:type="dxa"/>
            <w:vAlign w:val="bottom"/>
            <w:tcBorders>
              <w:bottom w:val="single" w:sz="8" w:color="CCEEFF"/>
              <w:right w:val="single" w:sz="8" w:color="auto"/>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10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67</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Interest rate swaps</w:t>
            </w: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000" w:type="dxa"/>
            <w:vAlign w:val="bottom"/>
          </w:tcPr>
          <w:p>
            <w:pPr>
              <w:jc w:val="right"/>
              <w:ind w:right="28"/>
              <w:spacing w:after="0"/>
              <w:rPr>
                <w:sz w:val="20"/>
                <w:szCs w:val="20"/>
                <w:color w:val="auto"/>
              </w:rPr>
            </w:pPr>
            <w:r>
              <w:rPr>
                <w:rFonts w:ascii="Arial" w:cs="Arial" w:eastAsia="Arial" w:hAnsi="Arial"/>
                <w:sz w:val="11"/>
                <w:szCs w:val="11"/>
                <w:color w:val="auto"/>
              </w:rPr>
              <w:t>(35,125)</w:t>
            </w:r>
          </w:p>
        </w:tc>
        <w:tc>
          <w:tcPr>
            <w:tcW w:w="120" w:type="dxa"/>
            <w:vAlign w:val="bottom"/>
          </w:tcPr>
          <w:p>
            <w:pPr>
              <w:spacing w:after="0"/>
              <w:rPr>
                <w:sz w:val="13"/>
                <w:szCs w:val="13"/>
                <w:color w:val="auto"/>
              </w:rPr>
            </w:pPr>
          </w:p>
        </w:tc>
        <w:tc>
          <w:tcPr>
            <w:tcW w:w="1140" w:type="dxa"/>
            <w:vAlign w:val="bottom"/>
          </w:tcPr>
          <w:p>
            <w:pPr>
              <w:jc w:val="right"/>
              <w:ind w:right="27"/>
              <w:spacing w:after="0"/>
              <w:rPr>
                <w:sz w:val="20"/>
                <w:szCs w:val="20"/>
                <w:color w:val="auto"/>
              </w:rPr>
            </w:pPr>
            <w:r>
              <w:rPr>
                <w:rFonts w:ascii="Arial" w:cs="Arial" w:eastAsia="Arial" w:hAnsi="Arial"/>
                <w:sz w:val="11"/>
                <w:szCs w:val="11"/>
                <w:color w:val="auto"/>
              </w:rPr>
              <w:t>(2,400)</w:t>
            </w:r>
          </w:p>
        </w:tc>
        <w:tc>
          <w:tcPr>
            <w:tcW w:w="1400" w:type="dxa"/>
            <w:vAlign w:val="bottom"/>
            <w:gridSpan w:val="2"/>
          </w:tcPr>
          <w:p>
            <w:pPr>
              <w:jc w:val="right"/>
              <w:ind w:right="72"/>
              <w:spacing w:after="0"/>
              <w:rPr>
                <w:sz w:val="20"/>
                <w:szCs w:val="20"/>
                <w:color w:val="auto"/>
              </w:rPr>
            </w:pPr>
            <w:r>
              <w:rPr>
                <w:rFonts w:ascii="Arial" w:cs="Arial" w:eastAsia="Arial" w:hAnsi="Arial"/>
                <w:sz w:val="11"/>
                <w:szCs w:val="11"/>
                <w:color w:val="auto"/>
              </w:rPr>
              <w:t>3,375</w:t>
            </w:r>
          </w:p>
        </w:tc>
        <w:tc>
          <w:tcPr>
            <w:tcW w:w="120" w:type="dxa"/>
            <w:vAlign w:val="bottom"/>
          </w:tcPr>
          <w:p>
            <w:pPr>
              <w:spacing w:after="0"/>
              <w:rPr>
                <w:sz w:val="13"/>
                <w:szCs w:val="13"/>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Pr>
          <w:p>
            <w:pPr>
              <w:jc w:val="right"/>
              <w:ind w:right="27"/>
              <w:spacing w:after="0"/>
              <w:rPr>
                <w:sz w:val="20"/>
                <w:szCs w:val="20"/>
                <w:color w:val="auto"/>
              </w:rPr>
            </w:pPr>
            <w:r>
              <w:rPr>
                <w:rFonts w:ascii="Arial" w:cs="Arial" w:eastAsia="Arial" w:hAnsi="Arial"/>
                <w:sz w:val="11"/>
                <w:szCs w:val="11"/>
                <w:color w:val="auto"/>
              </w:rPr>
              <w:t>(34,150)</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68"/>
              <w:spacing w:after="0"/>
              <w:rPr>
                <w:sz w:val="20"/>
                <w:szCs w:val="20"/>
                <w:color w:val="auto"/>
              </w:rPr>
            </w:pPr>
            <w:r>
              <w:rPr>
                <w:rFonts w:ascii="Arial" w:cs="Arial" w:eastAsia="Arial" w:hAnsi="Arial"/>
                <w:sz w:val="11"/>
                <w:szCs w:val="11"/>
                <w:color w:val="auto"/>
              </w:rPr>
              <w:t>153</w:t>
            </w: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r>
      <w:tr>
        <w:trPr>
          <w:trHeight w:val="16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Payer swaptions</w:t>
            </w: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0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(1,050)</w:t>
            </w:r>
          </w:p>
        </w:tc>
        <w:tc>
          <w:tcPr>
            <w:tcW w:w="12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w:t>
            </w:r>
          </w:p>
        </w:tc>
        <w:tc>
          <w:tcPr>
            <w:tcW w:w="1400" w:type="dxa"/>
            <w:vAlign w:val="bottom"/>
            <w:tcBorders>
              <w:bottom w:val="single" w:sz="8" w:color="CCEEFF"/>
            </w:tcBorders>
            <w:gridSpan w:val="2"/>
            <w:shd w:val="clear" w:color="auto" w:fill="CCEEFF"/>
          </w:tcPr>
          <w:p>
            <w:pPr>
              <w:jc w:val="right"/>
              <w:ind w:right="72"/>
              <w:spacing w:after="0"/>
              <w:rPr>
                <w:sz w:val="20"/>
                <w:szCs w:val="20"/>
                <w:color w:val="auto"/>
              </w:rPr>
            </w:pPr>
            <w:r>
              <w:rPr>
                <w:rFonts w:ascii="Arial" w:cs="Arial" w:eastAsia="Arial" w:hAnsi="Arial"/>
                <w:sz w:val="11"/>
                <w:szCs w:val="11"/>
                <w:color w:val="auto"/>
              </w:rPr>
              <w:t>350</w:t>
            </w:r>
          </w:p>
        </w:tc>
        <w:tc>
          <w:tcPr>
            <w:tcW w:w="120" w:type="dxa"/>
            <w:vAlign w:val="bottom"/>
            <w:tcBorders>
              <w:bottom w:val="single" w:sz="8" w:color="CCEEFF"/>
            </w:tcBorders>
            <w:shd w:val="clear" w:color="auto" w:fill="CCEEFF"/>
          </w:tcPr>
          <w:p>
            <w:pPr>
              <w:spacing w:after="0"/>
              <w:rPr>
                <w:sz w:val="13"/>
                <w:szCs w:val="13"/>
                <w:color w:val="auto"/>
              </w:rPr>
            </w:pPr>
          </w:p>
        </w:tc>
        <w:tc>
          <w:tcPr>
            <w:tcW w:w="240" w:type="dxa"/>
            <w:vAlign w:val="bottom"/>
            <w:tcBorders>
              <w:bottom w:val="single" w:sz="8" w:color="CCEEFF"/>
            </w:tcBorders>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(700)</w:t>
            </w:r>
          </w:p>
        </w:tc>
        <w:tc>
          <w:tcPr>
            <w:tcW w:w="120" w:type="dxa"/>
            <w:vAlign w:val="bottom"/>
            <w:tcBorders>
              <w:bottom w:val="single" w:sz="8" w:color="CCEEFF"/>
              <w:right w:val="single" w:sz="8" w:color="auto"/>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U.S. Treasury securities - short position</w:t>
            </w: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000" w:type="dxa"/>
            <w:vAlign w:val="bottom"/>
          </w:tcPr>
          <w:p>
            <w:pPr>
              <w:jc w:val="right"/>
              <w:ind w:right="28"/>
              <w:spacing w:after="0"/>
              <w:rPr>
                <w:sz w:val="20"/>
                <w:szCs w:val="20"/>
                <w:color w:val="auto"/>
              </w:rPr>
            </w:pPr>
            <w:r>
              <w:rPr>
                <w:rFonts w:ascii="Arial" w:cs="Arial" w:eastAsia="Arial" w:hAnsi="Arial"/>
                <w:sz w:val="11"/>
                <w:szCs w:val="11"/>
                <w:color w:val="auto"/>
              </w:rPr>
              <w:t>(2,930)</w:t>
            </w:r>
          </w:p>
        </w:tc>
        <w:tc>
          <w:tcPr>
            <w:tcW w:w="120" w:type="dxa"/>
            <w:vAlign w:val="bottom"/>
          </w:tcPr>
          <w:p>
            <w:pPr>
              <w:spacing w:after="0"/>
              <w:rPr>
                <w:sz w:val="13"/>
                <w:szCs w:val="13"/>
                <w:color w:val="auto"/>
              </w:rPr>
            </w:pPr>
          </w:p>
        </w:tc>
        <w:tc>
          <w:tcPr>
            <w:tcW w:w="1140" w:type="dxa"/>
            <w:vAlign w:val="bottom"/>
          </w:tcPr>
          <w:p>
            <w:pPr>
              <w:jc w:val="right"/>
              <w:ind w:right="27"/>
              <w:spacing w:after="0"/>
              <w:rPr>
                <w:sz w:val="20"/>
                <w:szCs w:val="20"/>
                <w:color w:val="auto"/>
              </w:rPr>
            </w:pPr>
            <w:r>
              <w:rPr>
                <w:rFonts w:ascii="Arial" w:cs="Arial" w:eastAsia="Arial" w:hAnsi="Arial"/>
                <w:sz w:val="11"/>
                <w:szCs w:val="11"/>
                <w:color w:val="auto"/>
              </w:rPr>
              <w:t>(2,696)</w:t>
            </w:r>
          </w:p>
        </w:tc>
        <w:tc>
          <w:tcPr>
            <w:tcW w:w="1400" w:type="dxa"/>
            <w:vAlign w:val="bottom"/>
            <w:gridSpan w:val="2"/>
          </w:tcPr>
          <w:p>
            <w:pPr>
              <w:jc w:val="right"/>
              <w:ind w:right="72"/>
              <w:spacing w:after="0"/>
              <w:rPr>
                <w:sz w:val="20"/>
                <w:szCs w:val="20"/>
                <w:color w:val="auto"/>
              </w:rPr>
            </w:pPr>
            <w:r>
              <w:rPr>
                <w:rFonts w:ascii="Arial" w:cs="Arial" w:eastAsia="Arial" w:hAnsi="Arial"/>
                <w:sz w:val="11"/>
                <w:szCs w:val="11"/>
                <w:color w:val="auto"/>
              </w:rPr>
              <w:t>270</w:t>
            </w:r>
          </w:p>
        </w:tc>
        <w:tc>
          <w:tcPr>
            <w:tcW w:w="120" w:type="dxa"/>
            <w:vAlign w:val="bottom"/>
          </w:tcPr>
          <w:p>
            <w:pPr>
              <w:spacing w:after="0"/>
              <w:rPr>
                <w:sz w:val="13"/>
                <w:szCs w:val="13"/>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Pr>
          <w:p>
            <w:pPr>
              <w:jc w:val="right"/>
              <w:ind w:right="27"/>
              <w:spacing w:after="0"/>
              <w:rPr>
                <w:sz w:val="20"/>
                <w:szCs w:val="20"/>
                <w:color w:val="auto"/>
              </w:rPr>
            </w:pPr>
            <w:r>
              <w:rPr>
                <w:rFonts w:ascii="Arial" w:cs="Arial" w:eastAsia="Arial" w:hAnsi="Arial"/>
                <w:sz w:val="11"/>
                <w:szCs w:val="11"/>
                <w:color w:val="auto"/>
              </w:rPr>
              <w:t>(5,356)</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68"/>
              <w:spacing w:after="0"/>
              <w:rPr>
                <w:sz w:val="20"/>
                <w:szCs w:val="20"/>
                <w:color w:val="auto"/>
              </w:rPr>
            </w:pPr>
            <w:r>
              <w:rPr>
                <w:rFonts w:ascii="Arial" w:cs="Arial" w:eastAsia="Arial" w:hAnsi="Arial"/>
                <w:sz w:val="11"/>
                <w:szCs w:val="11"/>
                <w:color w:val="auto"/>
              </w:rPr>
              <w:t>14</w:t>
            </w: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r>
      <w:tr>
        <w:trPr>
          <w:trHeight w:val="16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securities - long position</w:t>
            </w: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00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62</w:t>
            </w:r>
          </w:p>
        </w:tc>
        <w:tc>
          <w:tcPr>
            <w:tcW w:w="12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90</w:t>
            </w:r>
          </w:p>
        </w:tc>
        <w:tc>
          <w:tcPr>
            <w:tcW w:w="1400" w:type="dxa"/>
            <w:vAlign w:val="bottom"/>
            <w:tcBorders>
              <w:bottom w:val="single" w:sz="8" w:color="CCEEFF"/>
            </w:tcBorders>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(107)</w:t>
            </w:r>
          </w:p>
        </w:tc>
        <w:tc>
          <w:tcPr>
            <w:tcW w:w="120" w:type="dxa"/>
            <w:vAlign w:val="bottom"/>
            <w:tcBorders>
              <w:bottom w:val="single" w:sz="8" w:color="CCEEFF"/>
            </w:tcBorders>
            <w:shd w:val="clear" w:color="auto" w:fill="CCEEFF"/>
          </w:tcPr>
          <w:p>
            <w:pPr>
              <w:spacing w:after="0"/>
              <w:rPr>
                <w:sz w:val="13"/>
                <w:szCs w:val="13"/>
                <w:color w:val="auto"/>
              </w:rPr>
            </w:pPr>
          </w:p>
        </w:tc>
        <w:tc>
          <w:tcPr>
            <w:tcW w:w="240" w:type="dxa"/>
            <w:vAlign w:val="bottom"/>
            <w:tcBorders>
              <w:bottom w:val="single" w:sz="8" w:color="CCEEFF"/>
            </w:tcBorders>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45</w:t>
            </w:r>
          </w:p>
        </w:tc>
        <w:tc>
          <w:tcPr>
            <w:tcW w:w="120" w:type="dxa"/>
            <w:vAlign w:val="bottom"/>
            <w:tcBorders>
              <w:bottom w:val="single" w:sz="8" w:color="CCEEFF"/>
              <w:right w:val="single" w:sz="8" w:color="auto"/>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1</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U.S. Treasury futures contracts - short position</w:t>
            </w: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000" w:type="dxa"/>
            <w:vAlign w:val="bottom"/>
          </w:tcPr>
          <w:p>
            <w:pPr>
              <w:jc w:val="right"/>
              <w:ind w:right="28"/>
              <w:spacing w:after="0"/>
              <w:rPr>
                <w:sz w:val="20"/>
                <w:szCs w:val="20"/>
                <w:color w:val="auto"/>
              </w:rPr>
            </w:pPr>
            <w:r>
              <w:rPr>
                <w:rFonts w:ascii="Arial" w:cs="Arial" w:eastAsia="Arial" w:hAnsi="Arial"/>
                <w:sz w:val="11"/>
                <w:szCs w:val="11"/>
                <w:color w:val="auto"/>
              </w:rPr>
              <w:t>(1,960)</w:t>
            </w:r>
          </w:p>
        </w:tc>
        <w:tc>
          <w:tcPr>
            <w:tcW w:w="120" w:type="dxa"/>
            <w:vAlign w:val="bottom"/>
          </w:tcPr>
          <w:p>
            <w:pPr>
              <w:spacing w:after="0"/>
              <w:rPr>
                <w:sz w:val="13"/>
                <w:szCs w:val="13"/>
                <w:color w:val="auto"/>
              </w:rPr>
            </w:pPr>
          </w:p>
        </w:tc>
        <w:tc>
          <w:tcPr>
            <w:tcW w:w="1140" w:type="dxa"/>
            <w:vAlign w:val="bottom"/>
          </w:tcPr>
          <w:p>
            <w:pPr>
              <w:jc w:val="right"/>
              <w:ind w:right="27"/>
              <w:spacing w:after="0"/>
              <w:rPr>
                <w:sz w:val="20"/>
                <w:szCs w:val="20"/>
                <w:color w:val="auto"/>
              </w:rPr>
            </w:pPr>
            <w:r>
              <w:rPr>
                <w:rFonts w:ascii="Arial" w:cs="Arial" w:eastAsia="Arial" w:hAnsi="Arial"/>
                <w:sz w:val="11"/>
                <w:szCs w:val="11"/>
                <w:color w:val="auto"/>
              </w:rPr>
              <w:t>(1,960)</w:t>
            </w:r>
          </w:p>
        </w:tc>
        <w:tc>
          <w:tcPr>
            <w:tcW w:w="1400" w:type="dxa"/>
            <w:vAlign w:val="bottom"/>
            <w:gridSpan w:val="2"/>
          </w:tcPr>
          <w:p>
            <w:pPr>
              <w:jc w:val="right"/>
              <w:ind w:right="72"/>
              <w:spacing w:after="0"/>
              <w:rPr>
                <w:sz w:val="20"/>
                <w:szCs w:val="20"/>
                <w:color w:val="auto"/>
              </w:rPr>
            </w:pPr>
            <w:r>
              <w:rPr>
                <w:rFonts w:ascii="Arial" w:cs="Arial" w:eastAsia="Arial" w:hAnsi="Arial"/>
                <w:sz w:val="11"/>
                <w:szCs w:val="11"/>
                <w:color w:val="auto"/>
              </w:rPr>
              <w:t>1,960</w:t>
            </w:r>
          </w:p>
        </w:tc>
        <w:tc>
          <w:tcPr>
            <w:tcW w:w="120" w:type="dxa"/>
            <w:vAlign w:val="bottom"/>
          </w:tcPr>
          <w:p>
            <w:pPr>
              <w:spacing w:after="0"/>
              <w:rPr>
                <w:sz w:val="13"/>
                <w:szCs w:val="13"/>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Pr>
          <w:p>
            <w:pPr>
              <w:jc w:val="right"/>
              <w:ind w:right="27"/>
              <w:spacing w:after="0"/>
              <w:rPr>
                <w:sz w:val="20"/>
                <w:szCs w:val="20"/>
                <w:color w:val="auto"/>
              </w:rPr>
            </w:pPr>
            <w:r>
              <w:rPr>
                <w:rFonts w:ascii="Arial" w:cs="Arial" w:eastAsia="Arial" w:hAnsi="Arial"/>
                <w:sz w:val="11"/>
                <w:szCs w:val="11"/>
                <w:color w:val="auto"/>
              </w:rPr>
              <w:t>(1,960)</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68"/>
              <w:spacing w:after="0"/>
              <w:rPr>
                <w:sz w:val="20"/>
                <w:szCs w:val="20"/>
                <w:color w:val="auto"/>
              </w:rPr>
            </w:pPr>
            <w:r>
              <w:rPr>
                <w:rFonts w:ascii="Arial" w:cs="Arial" w:eastAsia="Arial" w:hAnsi="Arial"/>
                <w:sz w:val="11"/>
                <w:szCs w:val="11"/>
                <w:color w:val="auto"/>
              </w:rPr>
              <w:t>15</w:t>
            </w:r>
          </w:p>
        </w:tc>
      </w:tr>
      <w:tr>
        <w:trPr>
          <w:trHeight w:val="22"/>
        </w:trPr>
        <w:tc>
          <w:tcPr>
            <w:tcW w:w="47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CCEEFF"/>
            </w:tcBorders>
          </w:tcPr>
          <w:p>
            <w:pPr>
              <w:spacing w:after="0" w:line="20" w:lineRule="exact"/>
              <w:rPr>
                <w:sz w:val="1"/>
                <w:szCs w:val="1"/>
                <w:color w:val="auto"/>
              </w:rPr>
            </w:pPr>
          </w:p>
        </w:tc>
        <w:tc>
          <w:tcPr>
            <w:tcW w:w="10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14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28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10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right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r>
      <w:tr>
        <w:trPr>
          <w:trHeight w:val="185"/>
        </w:trPr>
        <w:tc>
          <w:tcPr>
            <w:tcW w:w="470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60" w:type="dxa"/>
            <w:vAlign w:val="bottom"/>
            <w:tcBorders>
              <w:bottom w:val="single" w:sz="8" w:color="CCEEFF"/>
            </w:tcBorders>
            <w:shd w:val="clear" w:color="auto" w:fill="CCEEFF"/>
          </w:tcPr>
          <w:p>
            <w:pPr>
              <w:spacing w:after="0"/>
              <w:rPr>
                <w:sz w:val="15"/>
                <w:szCs w:val="15"/>
                <w:color w:val="auto"/>
              </w:rPr>
            </w:pPr>
          </w:p>
        </w:tc>
        <w:tc>
          <w:tcPr>
            <w:tcW w:w="100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14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28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240" w:type="dxa"/>
            <w:vAlign w:val="bottom"/>
            <w:tcBorders>
              <w:bottom w:val="single" w:sz="8" w:color="CCEEFF"/>
            </w:tcBorders>
            <w:shd w:val="clear" w:color="auto" w:fill="CCEEFF"/>
          </w:tcPr>
          <w:p>
            <w:pPr>
              <w:spacing w:after="0"/>
              <w:rPr>
                <w:sz w:val="15"/>
                <w:szCs w:val="15"/>
                <w:color w:val="auto"/>
              </w:rPr>
            </w:pPr>
          </w:p>
        </w:tc>
        <w:tc>
          <w:tcPr>
            <w:tcW w:w="100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right w:val="single" w:sz="8" w:color="auto"/>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10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249</w:t>
            </w:r>
          </w:p>
        </w:tc>
      </w:tr>
      <w:tr>
        <w:trPr>
          <w:trHeight w:val="127"/>
        </w:trPr>
        <w:tc>
          <w:tcPr>
            <w:tcW w:w="4700" w:type="dxa"/>
            <w:vAlign w:val="bottom"/>
            <w:tcBorders>
              <w:top w:val="single" w:sz="8" w:color="CCEEFF"/>
            </w:tcBorders>
          </w:tcPr>
          <w:p>
            <w:pPr>
              <w:ind w:left="60"/>
              <w:spacing w:after="0" w:line="127" w:lineRule="exact"/>
              <w:rPr>
                <w:sz w:val="20"/>
                <w:szCs w:val="20"/>
                <w:color w:val="auto"/>
              </w:rPr>
            </w:pPr>
            <w:r>
              <w:rPr>
                <w:rFonts w:ascii="Arial" w:cs="Arial" w:eastAsia="Arial" w:hAnsi="Arial"/>
                <w:sz w:val="12"/>
                <w:szCs w:val="12"/>
                <w:color w:val="auto"/>
              </w:rPr>
              <w:t>________________________________</w:t>
            </w:r>
          </w:p>
        </w:tc>
        <w:tc>
          <w:tcPr>
            <w:tcW w:w="120" w:type="dxa"/>
            <w:vAlign w:val="bottom"/>
            <w:tcBorders>
              <w:top w:val="single" w:sz="8" w:color="CCEEFF"/>
            </w:tcBorders>
          </w:tcPr>
          <w:p>
            <w:pPr>
              <w:spacing w:after="0"/>
              <w:rPr>
                <w:sz w:val="11"/>
                <w:szCs w:val="11"/>
                <w:color w:val="auto"/>
              </w:rPr>
            </w:pPr>
          </w:p>
        </w:tc>
        <w:tc>
          <w:tcPr>
            <w:tcW w:w="160" w:type="dxa"/>
            <w:vAlign w:val="bottom"/>
            <w:tcBorders>
              <w:top w:val="single" w:sz="8" w:color="CCEEFF"/>
            </w:tcBorders>
          </w:tcPr>
          <w:p>
            <w:pPr>
              <w:spacing w:after="0"/>
              <w:rPr>
                <w:sz w:val="11"/>
                <w:szCs w:val="11"/>
                <w:color w:val="auto"/>
              </w:rPr>
            </w:pPr>
          </w:p>
        </w:tc>
        <w:tc>
          <w:tcPr>
            <w:tcW w:w="100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14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28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240" w:type="dxa"/>
            <w:vAlign w:val="bottom"/>
            <w:tcBorders>
              <w:top w:val="single" w:sz="8" w:color="CCEEFF"/>
            </w:tcBorders>
          </w:tcPr>
          <w:p>
            <w:pPr>
              <w:spacing w:after="0"/>
              <w:rPr>
                <w:sz w:val="11"/>
                <w:szCs w:val="11"/>
                <w:color w:val="auto"/>
              </w:rPr>
            </w:pPr>
          </w:p>
        </w:tc>
        <w:tc>
          <w:tcPr>
            <w:tcW w:w="100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1040" w:type="dxa"/>
            <w:vAlign w:val="bottom"/>
            <w:tcBorders>
              <w:top w:val="single" w:sz="8" w:color="auto"/>
            </w:tcBorders>
          </w:tcPr>
          <w:p>
            <w:pPr>
              <w:spacing w:after="0"/>
              <w:rPr>
                <w:sz w:val="11"/>
                <w:szCs w:val="11"/>
                <w:color w:val="auto"/>
              </w:rPr>
            </w:pPr>
          </w:p>
        </w:tc>
      </w:tr>
    </w:tbl>
    <w:p>
      <w:pPr>
        <w:ind w:left="580" w:hanging="372"/>
        <w:spacing w:after="0" w:line="231" w:lineRule="auto"/>
        <w:tabs>
          <w:tab w:leader="none" w:pos="418" w:val="left"/>
        </w:tabs>
        <w:numPr>
          <w:ilvl w:val="0"/>
          <w:numId w:val="10"/>
        </w:numPr>
        <w:rPr>
          <w:rFonts w:ascii="Arial" w:cs="Arial" w:eastAsia="Arial" w:hAnsi="Arial"/>
          <w:sz w:val="10"/>
          <w:szCs w:val="10"/>
          <w:color w:val="auto"/>
        </w:rPr>
      </w:pPr>
      <w:r>
        <w:rPr>
          <w:rFonts w:ascii="Arial" w:cs="Arial" w:eastAsia="Arial" w:hAnsi="Arial"/>
          <w:sz w:val="10"/>
          <w:szCs w:val="10"/>
          <w:color w:val="auto"/>
        </w:rPr>
        <w:t>Excludes a net loss of $2 million from debt of consolidated VIEs, a net loss of $6 million from interest and principal-only securities and other miscellaneous net gain of $1 million recognized in gain (loss) on derivative instruments and other securities, net in our consolidated statements of comprehensive income.</w:t>
      </w: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4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spacing w:after="0"/>
              <w:rPr>
                <w:sz w:val="11"/>
                <w:szCs w:val="11"/>
                <w:color w:val="auto"/>
              </w:rPr>
            </w:pPr>
          </w:p>
        </w:tc>
        <w:tc>
          <w:tcPr>
            <w:tcW w:w="2980" w:type="dxa"/>
            <w:vAlign w:val="bottom"/>
            <w:tcBorders>
              <w:bottom w:val="single" w:sz="8" w:color="auto"/>
            </w:tcBorders>
            <w:gridSpan w:val="7"/>
          </w:tcPr>
          <w:p>
            <w:pPr>
              <w:ind w:left="40"/>
              <w:spacing w:after="0"/>
              <w:rPr>
                <w:sz w:val="20"/>
                <w:szCs w:val="20"/>
                <w:color w:val="auto"/>
              </w:rPr>
            </w:pPr>
            <w:r>
              <w:rPr>
                <w:rFonts w:ascii="Arial" w:cs="Arial" w:eastAsia="Arial" w:hAnsi="Arial"/>
                <w:sz w:val="10"/>
                <w:szCs w:val="10"/>
                <w:b w:val="1"/>
                <w:bCs w:val="1"/>
                <w:color w:val="auto"/>
              </w:rPr>
              <w:t>Three Months Ended September 30, 2015</w:t>
            </w:r>
          </w:p>
        </w:tc>
        <w:tc>
          <w:tcPr>
            <w:tcW w:w="2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r>
      <w:tr>
        <w:trPr>
          <w:trHeight w:val="96"/>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40" w:type="dxa"/>
            <w:vAlign w:val="bottom"/>
          </w:tcPr>
          <w:p>
            <w:pPr>
              <w:jc w:val="center"/>
              <w:ind w:right="148"/>
              <w:spacing w:after="0" w:line="96" w:lineRule="exact"/>
              <w:rPr>
                <w:sz w:val="20"/>
                <w:szCs w:val="20"/>
                <w:color w:val="auto"/>
              </w:rPr>
            </w:pPr>
            <w:r>
              <w:rPr>
                <w:rFonts w:ascii="Arial" w:cs="Arial" w:eastAsia="Arial" w:hAnsi="Arial"/>
                <w:sz w:val="10"/>
                <w:szCs w:val="10"/>
                <w:b w:val="1"/>
                <w:bCs w:val="1"/>
                <w:color w:val="auto"/>
                <w:w w:val="87"/>
              </w:rPr>
              <w:t>Amount of</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40" w:type="dxa"/>
            <w:vAlign w:val="bottom"/>
          </w:tcPr>
          <w:p>
            <w:pPr>
              <w:jc w:val="center"/>
              <w:ind w:right="148"/>
              <w:spacing w:after="0" w:line="99" w:lineRule="exact"/>
              <w:rPr>
                <w:sz w:val="20"/>
                <w:szCs w:val="20"/>
                <w:color w:val="auto"/>
              </w:rPr>
            </w:pPr>
            <w:r>
              <w:rPr>
                <w:rFonts w:ascii="Arial" w:cs="Arial" w:eastAsia="Arial" w:hAnsi="Arial"/>
                <w:sz w:val="10"/>
                <w:szCs w:val="10"/>
                <w:b w:val="1"/>
                <w:bCs w:val="1"/>
                <w:color w:val="auto"/>
                <w:w w:val="87"/>
              </w:rPr>
              <w:t>Gain/(Loss)</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140" w:type="dxa"/>
            <w:vAlign w:val="bottom"/>
            <w:gridSpan w:val="2"/>
          </w:tcPr>
          <w:p>
            <w:pPr>
              <w:jc w:val="center"/>
              <w:ind w:right="260"/>
              <w:spacing w:after="0" w:line="99" w:lineRule="exact"/>
              <w:rPr>
                <w:sz w:val="20"/>
                <w:szCs w:val="20"/>
                <w:color w:val="auto"/>
              </w:rPr>
            </w:pPr>
            <w:r>
              <w:rPr>
                <w:rFonts w:ascii="Arial" w:cs="Arial" w:eastAsia="Arial" w:hAnsi="Arial"/>
                <w:sz w:val="10"/>
                <w:szCs w:val="10"/>
                <w:b w:val="1"/>
                <w:bCs w:val="1"/>
                <w:color w:val="auto"/>
                <w:w w:val="89"/>
              </w:rPr>
              <w:t>Notional Amount</w:t>
            </w: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7"/>
              </w:rPr>
              <w:t>Settlement, Termination,</w:t>
            </w:r>
          </w:p>
        </w:tc>
        <w:tc>
          <w:tcPr>
            <w:tcW w:w="60" w:type="dxa"/>
            <w:vAlign w:val="bottom"/>
          </w:tcPr>
          <w:p>
            <w:pPr>
              <w:spacing w:after="0"/>
              <w:rPr>
                <w:sz w:val="8"/>
                <w:szCs w:val="8"/>
                <w:color w:val="auto"/>
              </w:rPr>
            </w:pPr>
          </w:p>
        </w:tc>
        <w:tc>
          <w:tcPr>
            <w:tcW w:w="1420" w:type="dxa"/>
            <w:vAlign w:val="bottom"/>
            <w:gridSpan w:val="3"/>
          </w:tcPr>
          <w:p>
            <w:pPr>
              <w:jc w:val="center"/>
              <w:ind w:right="280"/>
              <w:spacing w:after="0" w:line="99" w:lineRule="exact"/>
              <w:rPr>
                <w:sz w:val="20"/>
                <w:szCs w:val="20"/>
                <w:color w:val="auto"/>
              </w:rPr>
            </w:pPr>
            <w:r>
              <w:rPr>
                <w:rFonts w:ascii="Arial" w:cs="Arial" w:eastAsia="Arial" w:hAnsi="Arial"/>
                <w:sz w:val="10"/>
                <w:szCs w:val="10"/>
                <w:b w:val="1"/>
                <w:bCs w:val="1"/>
                <w:color w:val="auto"/>
                <w:w w:val="86"/>
              </w:rPr>
              <w:t>Notional Amount</w:t>
            </w:r>
          </w:p>
        </w:tc>
        <w:tc>
          <w:tcPr>
            <w:tcW w:w="200" w:type="dxa"/>
            <w:vAlign w:val="bottom"/>
          </w:tcPr>
          <w:p>
            <w:pPr>
              <w:spacing w:after="0"/>
              <w:rPr>
                <w:sz w:val="8"/>
                <w:szCs w:val="8"/>
                <w:color w:val="auto"/>
              </w:rPr>
            </w:pPr>
          </w:p>
        </w:tc>
        <w:tc>
          <w:tcPr>
            <w:tcW w:w="1040" w:type="dxa"/>
            <w:vAlign w:val="bottom"/>
          </w:tcPr>
          <w:p>
            <w:pPr>
              <w:jc w:val="center"/>
              <w:ind w:right="168"/>
              <w:spacing w:after="0" w:line="99" w:lineRule="exact"/>
              <w:rPr>
                <w:sz w:val="20"/>
                <w:szCs w:val="20"/>
                <w:color w:val="auto"/>
              </w:rPr>
            </w:pPr>
            <w:r>
              <w:rPr>
                <w:rFonts w:ascii="Arial" w:cs="Arial" w:eastAsia="Arial" w:hAnsi="Arial"/>
                <w:sz w:val="10"/>
                <w:szCs w:val="10"/>
                <w:b w:val="1"/>
                <w:bCs w:val="1"/>
                <w:color w:val="auto"/>
                <w:w w:val="85"/>
              </w:rPr>
              <w:t>Recognized in</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140" w:type="dxa"/>
            <w:vAlign w:val="bottom"/>
            <w:gridSpan w:val="2"/>
          </w:tcPr>
          <w:p>
            <w:pPr>
              <w:jc w:val="center"/>
              <w:ind w:right="280"/>
              <w:spacing w:after="0" w:line="99" w:lineRule="exact"/>
              <w:rPr>
                <w:sz w:val="20"/>
                <w:szCs w:val="20"/>
                <w:color w:val="auto"/>
              </w:rPr>
            </w:pPr>
            <w:r>
              <w:rPr>
                <w:rFonts w:ascii="Arial" w:cs="Arial" w:eastAsia="Arial" w:hAnsi="Arial"/>
                <w:sz w:val="10"/>
                <w:szCs w:val="10"/>
                <w:b w:val="1"/>
                <w:bCs w:val="1"/>
                <w:color w:val="auto"/>
                <w:w w:val="89"/>
              </w:rPr>
              <w:t>Long/(Short)</w:t>
            </w: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90"/>
              </w:rPr>
              <w:t>Expiration or</w:t>
            </w:r>
          </w:p>
        </w:tc>
        <w:tc>
          <w:tcPr>
            <w:tcW w:w="60" w:type="dxa"/>
            <w:vAlign w:val="bottom"/>
          </w:tcPr>
          <w:p>
            <w:pPr>
              <w:spacing w:after="0"/>
              <w:rPr>
                <w:sz w:val="8"/>
                <w:szCs w:val="8"/>
                <w:color w:val="auto"/>
              </w:rPr>
            </w:pPr>
          </w:p>
        </w:tc>
        <w:tc>
          <w:tcPr>
            <w:tcW w:w="1420" w:type="dxa"/>
            <w:vAlign w:val="bottom"/>
            <w:gridSpan w:val="3"/>
          </w:tcPr>
          <w:p>
            <w:pPr>
              <w:jc w:val="center"/>
              <w:ind w:right="260"/>
              <w:spacing w:after="0" w:line="99" w:lineRule="exact"/>
              <w:rPr>
                <w:sz w:val="20"/>
                <w:szCs w:val="20"/>
                <w:color w:val="auto"/>
              </w:rPr>
            </w:pPr>
            <w:r>
              <w:rPr>
                <w:rFonts w:ascii="Arial" w:cs="Arial" w:eastAsia="Arial" w:hAnsi="Arial"/>
                <w:sz w:val="10"/>
                <w:szCs w:val="10"/>
                <w:b w:val="1"/>
                <w:bCs w:val="1"/>
                <w:color w:val="auto"/>
                <w:w w:val="88"/>
              </w:rPr>
              <w:t>Long/(Short) September 30,</w:t>
            </w:r>
          </w:p>
        </w:tc>
        <w:tc>
          <w:tcPr>
            <w:tcW w:w="200" w:type="dxa"/>
            <w:vAlign w:val="bottom"/>
          </w:tcPr>
          <w:p>
            <w:pPr>
              <w:spacing w:after="0"/>
              <w:rPr>
                <w:sz w:val="8"/>
                <w:szCs w:val="8"/>
                <w:color w:val="auto"/>
              </w:rPr>
            </w:pPr>
          </w:p>
        </w:tc>
        <w:tc>
          <w:tcPr>
            <w:tcW w:w="1040" w:type="dxa"/>
            <w:vAlign w:val="bottom"/>
          </w:tcPr>
          <w:p>
            <w:pPr>
              <w:jc w:val="center"/>
              <w:ind w:right="168"/>
              <w:spacing w:after="0" w:line="99" w:lineRule="exact"/>
              <w:rPr>
                <w:sz w:val="20"/>
                <w:szCs w:val="20"/>
                <w:color w:val="auto"/>
              </w:rPr>
            </w:pPr>
            <w:r>
              <w:rPr>
                <w:rFonts w:ascii="Arial" w:cs="Arial" w:eastAsia="Arial" w:hAnsi="Arial"/>
                <w:sz w:val="10"/>
                <w:szCs w:val="10"/>
                <w:b w:val="1"/>
                <w:bCs w:val="1"/>
                <w:color w:val="auto"/>
                <w:w w:val="83"/>
              </w:rPr>
              <w:t>Income on</w:t>
            </w:r>
          </w:p>
        </w:tc>
      </w:tr>
      <w:tr>
        <w:trPr>
          <w:trHeight w:val="128"/>
        </w:trPr>
        <w:tc>
          <w:tcPr>
            <w:tcW w:w="47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Derivative and Other Hedging Instruments</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jc w:val="center"/>
              <w:ind w:right="88"/>
              <w:spacing w:after="0"/>
              <w:rPr>
                <w:sz w:val="20"/>
                <w:szCs w:val="20"/>
                <w:color w:val="auto"/>
              </w:rPr>
            </w:pPr>
            <w:r>
              <w:rPr>
                <w:rFonts w:ascii="Arial" w:cs="Arial" w:eastAsia="Arial" w:hAnsi="Arial"/>
                <w:sz w:val="10"/>
                <w:szCs w:val="10"/>
                <w:b w:val="1"/>
                <w:bCs w:val="1"/>
                <w:color w:val="auto"/>
                <w:w w:val="86"/>
              </w:rPr>
              <w:t>June 30, 2015</w:t>
            </w:r>
          </w:p>
        </w:tc>
        <w:tc>
          <w:tcPr>
            <w:tcW w:w="120" w:type="dxa"/>
            <w:vAlign w:val="bottom"/>
            <w:tcBorders>
              <w:bottom w:val="single" w:sz="8" w:color="CCEEFF"/>
            </w:tcBorders>
          </w:tcPr>
          <w:p>
            <w:pPr>
              <w:spacing w:after="0"/>
              <w:rPr>
                <w:sz w:val="11"/>
                <w:szCs w:val="11"/>
                <w:color w:val="auto"/>
              </w:rPr>
            </w:pPr>
          </w:p>
        </w:tc>
        <w:tc>
          <w:tcPr>
            <w:tcW w:w="1160" w:type="dxa"/>
            <w:vAlign w:val="bottom"/>
            <w:tcBorders>
              <w:bottom w:val="single" w:sz="8" w:color="auto"/>
            </w:tcBorders>
          </w:tcPr>
          <w:p>
            <w:pPr>
              <w:jc w:val="right"/>
              <w:ind w:right="327"/>
              <w:spacing w:after="0"/>
              <w:rPr>
                <w:sz w:val="20"/>
                <w:szCs w:val="20"/>
                <w:color w:val="auto"/>
              </w:rPr>
            </w:pPr>
            <w:r>
              <w:rPr>
                <w:rFonts w:ascii="Arial" w:cs="Arial" w:eastAsia="Arial" w:hAnsi="Arial"/>
                <w:sz w:val="10"/>
                <w:szCs w:val="10"/>
                <w:b w:val="1"/>
                <w:bCs w:val="1"/>
                <w:color w:val="auto"/>
              </w:rPr>
              <w:t>Additions</w:t>
            </w:r>
          </w:p>
        </w:tc>
        <w:tc>
          <w:tcPr>
            <w:tcW w:w="100" w:type="dxa"/>
            <w:vAlign w:val="bottom"/>
            <w:tcBorders>
              <w:bottom w:val="single" w:sz="8" w:color="CCEEFF"/>
            </w:tcBorders>
          </w:tcPr>
          <w:p>
            <w:pPr>
              <w:spacing w:after="0"/>
              <w:rPr>
                <w:sz w:val="11"/>
                <w:szCs w:val="11"/>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Exercise</w:t>
            </w:r>
          </w:p>
        </w:tc>
        <w:tc>
          <w:tcPr>
            <w:tcW w:w="12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200" w:type="dxa"/>
            <w:vAlign w:val="bottom"/>
            <w:tcBorders>
              <w:bottom w:val="single" w:sz="8" w:color="auto"/>
            </w:tcBorders>
          </w:tcPr>
          <w:p>
            <w:pPr>
              <w:jc w:val="center"/>
              <w:ind w:right="8"/>
              <w:spacing w:after="0"/>
              <w:rPr>
                <w:sz w:val="20"/>
                <w:szCs w:val="20"/>
                <w:color w:val="auto"/>
              </w:rPr>
            </w:pPr>
            <w:r>
              <w:rPr>
                <w:rFonts w:ascii="Arial" w:cs="Arial" w:eastAsia="Arial" w:hAnsi="Arial"/>
                <w:sz w:val="10"/>
                <w:szCs w:val="10"/>
                <w:b w:val="1"/>
                <w:bCs w:val="1"/>
                <w:color w:val="auto"/>
                <w:w w:val="80"/>
              </w:rPr>
              <w:t>2015</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jc w:val="center"/>
              <w:ind w:right="148"/>
              <w:spacing w:after="0"/>
              <w:rPr>
                <w:sz w:val="20"/>
                <w:szCs w:val="20"/>
                <w:color w:val="auto"/>
              </w:rPr>
            </w:pPr>
            <w:r>
              <w:rPr>
                <w:rFonts w:ascii="Arial" w:cs="Arial" w:eastAsia="Arial" w:hAnsi="Arial"/>
                <w:sz w:val="10"/>
                <w:szCs w:val="10"/>
                <w:b w:val="1"/>
                <w:bCs w:val="1"/>
                <w:color w:val="auto"/>
                <w:w w:val="88"/>
              </w:rPr>
              <w:t xml:space="preserve">Derivatives </w:t>
            </w:r>
            <w:r>
              <w:rPr>
                <w:rFonts w:ascii="Arial" w:cs="Arial" w:eastAsia="Arial" w:hAnsi="Arial"/>
                <w:sz w:val="5"/>
                <w:szCs w:val="5"/>
                <w:b w:val="1"/>
                <w:bCs w:val="1"/>
                <w:color w:val="auto"/>
                <w:w w:val="88"/>
              </w:rPr>
              <w:t>1</w:t>
            </w:r>
          </w:p>
        </w:tc>
      </w:tr>
      <w:tr>
        <w:trPr>
          <w:trHeight w:val="144"/>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TBA securities, net</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6,941</w:t>
            </w:r>
          </w:p>
        </w:tc>
        <w:tc>
          <w:tcPr>
            <w:tcW w:w="120" w:type="dxa"/>
            <w:vAlign w:val="bottom"/>
            <w:tcBorders>
              <w:bottom w:val="single" w:sz="8" w:color="CCEEFF"/>
            </w:tcBorders>
            <w:shd w:val="clear" w:color="auto" w:fill="CCEEFF"/>
          </w:tcPr>
          <w:p>
            <w:pPr>
              <w:spacing w:after="0"/>
              <w:rPr>
                <w:sz w:val="12"/>
                <w:szCs w:val="12"/>
                <w:color w:val="auto"/>
              </w:rPr>
            </w:pPr>
          </w:p>
        </w:tc>
        <w:tc>
          <w:tcPr>
            <w:tcW w:w="11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33,403</w:t>
            </w:r>
          </w:p>
        </w:tc>
        <w:tc>
          <w:tcPr>
            <w:tcW w:w="1380" w:type="dxa"/>
            <w:vAlign w:val="bottom"/>
            <w:tcBorders>
              <w:bottom w:val="single" w:sz="8" w:color="CCEEFF"/>
            </w:tcBorders>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(33,216)</w:t>
            </w:r>
          </w:p>
        </w:tc>
        <w:tc>
          <w:tcPr>
            <w:tcW w:w="120" w:type="dxa"/>
            <w:vAlign w:val="bottom"/>
            <w:tcBorders>
              <w:bottom w:val="single" w:sz="8" w:color="CCEEFF"/>
            </w:tcBorders>
            <w:shd w:val="clear" w:color="auto" w:fill="CCEEFF"/>
          </w:tcPr>
          <w:p>
            <w:pPr>
              <w:spacing w:after="0"/>
              <w:rPr>
                <w:sz w:val="12"/>
                <w:szCs w:val="12"/>
                <w:color w:val="auto"/>
              </w:rPr>
            </w:pPr>
          </w:p>
        </w:tc>
        <w:tc>
          <w:tcPr>
            <w:tcW w:w="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7,128</w:t>
            </w:r>
          </w:p>
        </w:tc>
        <w:tc>
          <w:tcPr>
            <w:tcW w:w="120" w:type="dxa"/>
            <w:vAlign w:val="bottom"/>
            <w:tcBorders>
              <w:bottom w:val="single" w:sz="8" w:color="CCEEFF"/>
              <w:right w:val="single" w:sz="8" w:color="auto"/>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10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213</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Interest rate swaps</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28"/>
              <w:spacing w:after="0"/>
              <w:rPr>
                <w:sz w:val="20"/>
                <w:szCs w:val="20"/>
                <w:color w:val="auto"/>
              </w:rPr>
            </w:pPr>
            <w:r>
              <w:rPr>
                <w:rFonts w:ascii="Arial" w:cs="Arial" w:eastAsia="Arial" w:hAnsi="Arial"/>
                <w:sz w:val="11"/>
                <w:szCs w:val="11"/>
                <w:color w:val="auto"/>
              </w:rPr>
              <w:t>(44,925)</w:t>
            </w:r>
          </w:p>
        </w:tc>
        <w:tc>
          <w:tcPr>
            <w:tcW w:w="120" w:type="dxa"/>
            <w:vAlign w:val="bottom"/>
          </w:tcPr>
          <w:p>
            <w:pPr>
              <w:spacing w:after="0"/>
              <w:rPr>
                <w:sz w:val="13"/>
                <w:szCs w:val="13"/>
                <w:color w:val="auto"/>
              </w:rPr>
            </w:pPr>
          </w:p>
        </w:tc>
        <w:tc>
          <w:tcPr>
            <w:tcW w:w="1160" w:type="dxa"/>
            <w:vAlign w:val="bottom"/>
          </w:tcPr>
          <w:p>
            <w:pPr>
              <w:jc w:val="right"/>
              <w:ind w:right="27"/>
              <w:spacing w:after="0"/>
              <w:rPr>
                <w:sz w:val="20"/>
                <w:szCs w:val="20"/>
                <w:color w:val="auto"/>
              </w:rPr>
            </w:pPr>
            <w:r>
              <w:rPr>
                <w:rFonts w:ascii="Arial" w:cs="Arial" w:eastAsia="Arial" w:hAnsi="Arial"/>
                <w:sz w:val="11"/>
                <w:szCs w:val="11"/>
                <w:color w:val="auto"/>
              </w:rPr>
              <w:t>(1,450)</w:t>
            </w:r>
          </w:p>
        </w:tc>
        <w:tc>
          <w:tcPr>
            <w:tcW w:w="1380" w:type="dxa"/>
            <w:vAlign w:val="bottom"/>
            <w:gridSpan w:val="2"/>
          </w:tcPr>
          <w:p>
            <w:pPr>
              <w:jc w:val="right"/>
              <w:ind w:right="72"/>
              <w:spacing w:after="0"/>
              <w:rPr>
                <w:sz w:val="20"/>
                <w:szCs w:val="20"/>
                <w:color w:val="auto"/>
              </w:rPr>
            </w:pPr>
            <w:r>
              <w:rPr>
                <w:rFonts w:ascii="Arial" w:cs="Arial" w:eastAsia="Arial" w:hAnsi="Arial"/>
                <w:sz w:val="11"/>
                <w:szCs w:val="11"/>
                <w:color w:val="auto"/>
              </w:rPr>
              <w:t>1,200</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28"/>
              <w:spacing w:after="0"/>
              <w:rPr>
                <w:sz w:val="20"/>
                <w:szCs w:val="20"/>
                <w:color w:val="auto"/>
              </w:rPr>
            </w:pPr>
            <w:r>
              <w:rPr>
                <w:rFonts w:ascii="Arial" w:cs="Arial" w:eastAsia="Arial" w:hAnsi="Arial"/>
                <w:sz w:val="11"/>
                <w:szCs w:val="11"/>
                <w:color w:val="auto"/>
              </w:rPr>
              <w:t>(45,175)</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28"/>
              <w:spacing w:after="0"/>
              <w:rPr>
                <w:sz w:val="20"/>
                <w:szCs w:val="20"/>
                <w:color w:val="auto"/>
              </w:rPr>
            </w:pPr>
            <w:r>
              <w:rPr>
                <w:rFonts w:ascii="Arial" w:cs="Arial" w:eastAsia="Arial" w:hAnsi="Arial"/>
                <w:sz w:val="11"/>
                <w:szCs w:val="11"/>
                <w:color w:val="auto"/>
              </w:rPr>
              <w:t>(966)</w:t>
            </w: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r>
      <w:tr>
        <w:trPr>
          <w:trHeight w:val="16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Payer swaptions</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(5,450)</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w:t>
            </w:r>
          </w:p>
        </w:tc>
        <w:tc>
          <w:tcPr>
            <w:tcW w:w="1380" w:type="dxa"/>
            <w:vAlign w:val="bottom"/>
            <w:tcBorders>
              <w:bottom w:val="single" w:sz="8" w:color="CCEEFF"/>
            </w:tcBorders>
            <w:gridSpan w:val="2"/>
            <w:shd w:val="clear" w:color="auto" w:fill="CCEEFF"/>
          </w:tcPr>
          <w:p>
            <w:pPr>
              <w:jc w:val="right"/>
              <w:ind w:right="72"/>
              <w:spacing w:after="0"/>
              <w:rPr>
                <w:sz w:val="20"/>
                <w:szCs w:val="20"/>
                <w:color w:val="auto"/>
              </w:rPr>
            </w:pPr>
            <w:r>
              <w:rPr>
                <w:rFonts w:ascii="Arial" w:cs="Arial" w:eastAsia="Arial" w:hAnsi="Arial"/>
                <w:sz w:val="11"/>
                <w:szCs w:val="11"/>
                <w:color w:val="auto"/>
              </w:rPr>
              <w:t>1,800</w:t>
            </w: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(3,650)</w:t>
            </w:r>
          </w:p>
        </w:tc>
        <w:tc>
          <w:tcPr>
            <w:tcW w:w="120" w:type="dxa"/>
            <w:vAlign w:val="bottom"/>
            <w:tcBorders>
              <w:bottom w:val="single" w:sz="8" w:color="CCEEFF"/>
              <w:right w:val="single" w:sz="8" w:color="auto"/>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(23)</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U.S. Treasury securities - short position</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28"/>
              <w:spacing w:after="0"/>
              <w:rPr>
                <w:sz w:val="20"/>
                <w:szCs w:val="20"/>
                <w:color w:val="auto"/>
              </w:rPr>
            </w:pPr>
            <w:r>
              <w:rPr>
                <w:rFonts w:ascii="Arial" w:cs="Arial" w:eastAsia="Arial" w:hAnsi="Arial"/>
                <w:sz w:val="11"/>
                <w:szCs w:val="11"/>
                <w:color w:val="auto"/>
              </w:rPr>
              <w:t>(2,250)</w:t>
            </w:r>
          </w:p>
        </w:tc>
        <w:tc>
          <w:tcPr>
            <w:tcW w:w="120" w:type="dxa"/>
            <w:vAlign w:val="bottom"/>
          </w:tcPr>
          <w:p>
            <w:pPr>
              <w:spacing w:after="0"/>
              <w:rPr>
                <w:sz w:val="13"/>
                <w:szCs w:val="13"/>
                <w:color w:val="auto"/>
              </w:rPr>
            </w:pPr>
          </w:p>
        </w:tc>
        <w:tc>
          <w:tcPr>
            <w:tcW w:w="1160" w:type="dxa"/>
            <w:vAlign w:val="bottom"/>
          </w:tcPr>
          <w:p>
            <w:pPr>
              <w:jc w:val="right"/>
              <w:ind w:right="27"/>
              <w:spacing w:after="0"/>
              <w:rPr>
                <w:sz w:val="20"/>
                <w:szCs w:val="20"/>
                <w:color w:val="auto"/>
              </w:rPr>
            </w:pPr>
            <w:r>
              <w:rPr>
                <w:rFonts w:ascii="Arial" w:cs="Arial" w:eastAsia="Arial" w:hAnsi="Arial"/>
                <w:sz w:val="11"/>
                <w:szCs w:val="11"/>
                <w:color w:val="auto"/>
              </w:rPr>
              <w:t>(4,335)</w:t>
            </w:r>
          </w:p>
        </w:tc>
        <w:tc>
          <w:tcPr>
            <w:tcW w:w="1380" w:type="dxa"/>
            <w:vAlign w:val="bottom"/>
            <w:gridSpan w:val="2"/>
          </w:tcPr>
          <w:p>
            <w:pPr>
              <w:jc w:val="right"/>
              <w:ind w:right="72"/>
              <w:spacing w:after="0"/>
              <w:rPr>
                <w:sz w:val="20"/>
                <w:szCs w:val="20"/>
                <w:color w:val="auto"/>
              </w:rPr>
            </w:pPr>
            <w:r>
              <w:rPr>
                <w:rFonts w:ascii="Arial" w:cs="Arial" w:eastAsia="Arial" w:hAnsi="Arial"/>
                <w:sz w:val="11"/>
                <w:szCs w:val="11"/>
                <w:color w:val="auto"/>
              </w:rPr>
              <w:t>5,284</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28"/>
              <w:spacing w:after="0"/>
              <w:rPr>
                <w:sz w:val="20"/>
                <w:szCs w:val="20"/>
                <w:color w:val="auto"/>
              </w:rPr>
            </w:pPr>
            <w:r>
              <w:rPr>
                <w:rFonts w:ascii="Arial" w:cs="Arial" w:eastAsia="Arial" w:hAnsi="Arial"/>
                <w:sz w:val="11"/>
                <w:szCs w:val="11"/>
                <w:color w:val="auto"/>
              </w:rPr>
              <w:t>(1,301)</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28"/>
              <w:spacing w:after="0"/>
              <w:rPr>
                <w:sz w:val="20"/>
                <w:szCs w:val="20"/>
                <w:color w:val="auto"/>
              </w:rPr>
            </w:pPr>
            <w:r>
              <w:rPr>
                <w:rFonts w:ascii="Arial" w:cs="Arial" w:eastAsia="Arial" w:hAnsi="Arial"/>
                <w:sz w:val="11"/>
                <w:szCs w:val="11"/>
                <w:color w:val="auto"/>
              </w:rPr>
              <w:t>(25)</w:t>
            </w: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r>
      <w:tr>
        <w:trPr>
          <w:trHeight w:val="16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securities - long position</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5,192</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4,704</w:t>
            </w:r>
          </w:p>
        </w:tc>
        <w:tc>
          <w:tcPr>
            <w:tcW w:w="1380" w:type="dxa"/>
            <w:vAlign w:val="bottom"/>
            <w:tcBorders>
              <w:bottom w:val="single" w:sz="8" w:color="CCEEFF"/>
            </w:tcBorders>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(9,121)</w:t>
            </w: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775</w:t>
            </w:r>
          </w:p>
        </w:tc>
        <w:tc>
          <w:tcPr>
            <w:tcW w:w="120" w:type="dxa"/>
            <w:vAlign w:val="bottom"/>
            <w:tcBorders>
              <w:bottom w:val="single" w:sz="8" w:color="CCEEFF"/>
              <w:right w:val="single" w:sz="8" w:color="auto"/>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29</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U.S. Treasury futures contracts - short position</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28"/>
              <w:spacing w:after="0"/>
              <w:rPr>
                <w:sz w:val="20"/>
                <w:szCs w:val="20"/>
                <w:color w:val="auto"/>
              </w:rPr>
            </w:pPr>
            <w:r>
              <w:rPr>
                <w:rFonts w:ascii="Arial" w:cs="Arial" w:eastAsia="Arial" w:hAnsi="Arial"/>
                <w:sz w:val="11"/>
                <w:szCs w:val="11"/>
                <w:color w:val="auto"/>
              </w:rPr>
              <w:t>(730)</w:t>
            </w:r>
          </w:p>
        </w:tc>
        <w:tc>
          <w:tcPr>
            <w:tcW w:w="120" w:type="dxa"/>
            <w:vAlign w:val="bottom"/>
          </w:tcPr>
          <w:p>
            <w:pPr>
              <w:spacing w:after="0"/>
              <w:rPr>
                <w:sz w:val="13"/>
                <w:szCs w:val="13"/>
                <w:color w:val="auto"/>
              </w:rPr>
            </w:pPr>
          </w:p>
        </w:tc>
        <w:tc>
          <w:tcPr>
            <w:tcW w:w="1160" w:type="dxa"/>
            <w:vAlign w:val="bottom"/>
          </w:tcPr>
          <w:p>
            <w:pPr>
              <w:jc w:val="right"/>
              <w:ind w:right="27"/>
              <w:spacing w:after="0"/>
              <w:rPr>
                <w:sz w:val="20"/>
                <w:szCs w:val="20"/>
                <w:color w:val="auto"/>
              </w:rPr>
            </w:pPr>
            <w:r>
              <w:rPr>
                <w:rFonts w:ascii="Arial" w:cs="Arial" w:eastAsia="Arial" w:hAnsi="Arial"/>
                <w:sz w:val="11"/>
                <w:szCs w:val="11"/>
                <w:color w:val="auto"/>
              </w:rPr>
              <w:t>(730)</w:t>
            </w:r>
          </w:p>
        </w:tc>
        <w:tc>
          <w:tcPr>
            <w:tcW w:w="1380" w:type="dxa"/>
            <w:vAlign w:val="bottom"/>
            <w:gridSpan w:val="2"/>
          </w:tcPr>
          <w:p>
            <w:pPr>
              <w:jc w:val="right"/>
              <w:ind w:right="72"/>
              <w:spacing w:after="0"/>
              <w:rPr>
                <w:sz w:val="20"/>
                <w:szCs w:val="20"/>
                <w:color w:val="auto"/>
              </w:rPr>
            </w:pPr>
            <w:r>
              <w:rPr>
                <w:rFonts w:ascii="Arial" w:cs="Arial" w:eastAsia="Arial" w:hAnsi="Arial"/>
                <w:sz w:val="11"/>
                <w:szCs w:val="11"/>
                <w:color w:val="auto"/>
              </w:rPr>
              <w:t>730</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28"/>
              <w:spacing w:after="0"/>
              <w:rPr>
                <w:sz w:val="20"/>
                <w:szCs w:val="20"/>
                <w:color w:val="auto"/>
              </w:rPr>
            </w:pPr>
            <w:r>
              <w:rPr>
                <w:rFonts w:ascii="Arial" w:cs="Arial" w:eastAsia="Arial" w:hAnsi="Arial"/>
                <w:sz w:val="11"/>
                <w:szCs w:val="11"/>
                <w:color w:val="auto"/>
              </w:rPr>
              <w:t>(730)</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28"/>
              <w:spacing w:after="0"/>
              <w:rPr>
                <w:sz w:val="20"/>
                <w:szCs w:val="20"/>
                <w:color w:val="auto"/>
              </w:rPr>
            </w:pPr>
            <w:r>
              <w:rPr>
                <w:rFonts w:ascii="Arial" w:cs="Arial" w:eastAsia="Arial" w:hAnsi="Arial"/>
                <w:sz w:val="11"/>
                <w:szCs w:val="11"/>
                <w:color w:val="auto"/>
              </w:rPr>
              <w:t>(23)</w:t>
            </w:r>
          </w:p>
        </w:tc>
      </w:tr>
      <w:tr>
        <w:trPr>
          <w:trHeight w:val="22"/>
        </w:trPr>
        <w:tc>
          <w:tcPr>
            <w:tcW w:w="47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10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16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28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12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right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r>
      <w:tr>
        <w:trPr>
          <w:trHeight w:val="185"/>
        </w:trPr>
        <w:tc>
          <w:tcPr>
            <w:tcW w:w="470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40" w:type="dxa"/>
            <w:vAlign w:val="bottom"/>
            <w:tcBorders>
              <w:bottom w:val="single" w:sz="8" w:color="CCEEFF"/>
            </w:tcBorders>
            <w:shd w:val="clear" w:color="auto" w:fill="CCEEFF"/>
          </w:tcPr>
          <w:p>
            <w:pPr>
              <w:spacing w:after="0"/>
              <w:rPr>
                <w:sz w:val="15"/>
                <w:szCs w:val="15"/>
                <w:color w:val="auto"/>
              </w:rPr>
            </w:pPr>
          </w:p>
        </w:tc>
        <w:tc>
          <w:tcPr>
            <w:tcW w:w="102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16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128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60" w:type="dxa"/>
            <w:vAlign w:val="bottom"/>
            <w:tcBorders>
              <w:bottom w:val="single" w:sz="8" w:color="CCEEFF"/>
            </w:tcBorders>
            <w:shd w:val="clear" w:color="auto" w:fill="CCEEFF"/>
          </w:tcPr>
          <w:p>
            <w:pPr>
              <w:spacing w:after="0"/>
              <w:rPr>
                <w:sz w:val="15"/>
                <w:szCs w:val="15"/>
                <w:color w:val="auto"/>
              </w:rPr>
            </w:pPr>
          </w:p>
        </w:tc>
        <w:tc>
          <w:tcPr>
            <w:tcW w:w="120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right w:val="single" w:sz="8" w:color="auto"/>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10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(795)</w:t>
            </w:r>
          </w:p>
        </w:tc>
      </w:tr>
      <w:tr>
        <w:trPr>
          <w:trHeight w:val="127"/>
        </w:trPr>
        <w:tc>
          <w:tcPr>
            <w:tcW w:w="4700" w:type="dxa"/>
            <w:vAlign w:val="bottom"/>
            <w:tcBorders>
              <w:top w:val="single" w:sz="8" w:color="CCEEFF"/>
            </w:tcBorders>
          </w:tcPr>
          <w:p>
            <w:pPr>
              <w:ind w:left="60"/>
              <w:spacing w:after="0" w:line="127" w:lineRule="exact"/>
              <w:rPr>
                <w:sz w:val="20"/>
                <w:szCs w:val="20"/>
                <w:color w:val="auto"/>
              </w:rPr>
            </w:pPr>
            <w:r>
              <w:rPr>
                <w:rFonts w:ascii="Arial" w:cs="Arial" w:eastAsia="Arial" w:hAnsi="Arial"/>
                <w:sz w:val="12"/>
                <w:szCs w:val="12"/>
                <w:color w:val="auto"/>
              </w:rPr>
              <w:t>______________________</w:t>
            </w:r>
          </w:p>
        </w:tc>
        <w:tc>
          <w:tcPr>
            <w:tcW w:w="120" w:type="dxa"/>
            <w:vAlign w:val="bottom"/>
            <w:tcBorders>
              <w:top w:val="single" w:sz="8" w:color="CCEEFF"/>
            </w:tcBorders>
          </w:tcPr>
          <w:p>
            <w:pPr>
              <w:spacing w:after="0"/>
              <w:rPr>
                <w:sz w:val="11"/>
                <w:szCs w:val="11"/>
                <w:color w:val="auto"/>
              </w:rPr>
            </w:pPr>
          </w:p>
        </w:tc>
        <w:tc>
          <w:tcPr>
            <w:tcW w:w="140" w:type="dxa"/>
            <w:vAlign w:val="bottom"/>
            <w:tcBorders>
              <w:top w:val="single" w:sz="8" w:color="CCEEFF"/>
            </w:tcBorders>
          </w:tcPr>
          <w:p>
            <w:pPr>
              <w:spacing w:after="0"/>
              <w:rPr>
                <w:sz w:val="11"/>
                <w:szCs w:val="11"/>
                <w:color w:val="auto"/>
              </w:rPr>
            </w:pPr>
          </w:p>
        </w:tc>
        <w:tc>
          <w:tcPr>
            <w:tcW w:w="102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160" w:type="dxa"/>
            <w:vAlign w:val="bottom"/>
            <w:tcBorders>
              <w:top w:val="single" w:sz="8" w:color="CCEEFF"/>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128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60" w:type="dxa"/>
            <w:vAlign w:val="bottom"/>
            <w:tcBorders>
              <w:top w:val="single" w:sz="8" w:color="CCEEFF"/>
            </w:tcBorders>
          </w:tcPr>
          <w:p>
            <w:pPr>
              <w:spacing w:after="0"/>
              <w:rPr>
                <w:sz w:val="11"/>
                <w:szCs w:val="11"/>
                <w:color w:val="auto"/>
              </w:rPr>
            </w:pPr>
          </w:p>
        </w:tc>
        <w:tc>
          <w:tcPr>
            <w:tcW w:w="120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1040" w:type="dxa"/>
            <w:vAlign w:val="bottom"/>
            <w:tcBorders>
              <w:top w:val="single" w:sz="8" w:color="auto"/>
            </w:tcBorders>
          </w:tcPr>
          <w:p>
            <w:pPr>
              <w:spacing w:after="0"/>
              <w:rPr>
                <w:sz w:val="11"/>
                <w:szCs w:val="11"/>
                <w:color w:val="auto"/>
              </w:rPr>
            </w:pPr>
          </w:p>
        </w:tc>
      </w:tr>
    </w:tbl>
    <w:p>
      <w:pPr>
        <w:ind w:left="420" w:hanging="212"/>
        <w:spacing w:after="0"/>
        <w:tabs>
          <w:tab w:leader="none" w:pos="420" w:val="left"/>
        </w:tabs>
        <w:numPr>
          <w:ilvl w:val="0"/>
          <w:numId w:val="11"/>
        </w:numPr>
        <w:rPr>
          <w:rFonts w:ascii="Arial" w:cs="Arial" w:eastAsia="Arial" w:hAnsi="Arial"/>
          <w:sz w:val="8"/>
          <w:szCs w:val="8"/>
          <w:color w:val="auto"/>
        </w:rPr>
      </w:pPr>
      <w:r>
        <w:rPr>
          <w:rFonts w:ascii="Arial" w:cs="Arial" w:eastAsia="Arial" w:hAnsi="Arial"/>
          <w:sz w:val="8"/>
          <w:szCs w:val="8"/>
          <w:color w:val="auto"/>
        </w:rPr>
        <w:t>Excludes a net gain of $7 million from debt of consolidated VIEs and a net gain of $10 million from interest and principal-only securities recognized in gain (loss) on derivative instruments and other securities, net in our consolidated statements of comprehensive income.</w:t>
      </w:r>
    </w:p>
    <w:p>
      <w:pPr>
        <w:spacing w:after="0" w:line="159" w:lineRule="exact"/>
        <w:rPr>
          <w:sz w:val="20"/>
          <w:szCs w:val="20"/>
          <w:color w:val="auto"/>
        </w:rPr>
      </w:pPr>
    </w:p>
    <w:tbl>
      <w:tblPr>
        <w:tblLayout w:type="fixed"/>
        <w:tblInd w:w="20" w:type="dxa"/>
        <w:tblCellMar>
          <w:top w:w="0" w:type="dxa"/>
          <w:left w:w="0" w:type="dxa"/>
          <w:bottom w:w="0" w:type="dxa"/>
          <w:right w:w="0" w:type="dxa"/>
        </w:tblCellMar>
      </w:tblPr>
      <w:tr>
        <w:trPr>
          <w:trHeight w:val="128"/>
        </w:trPr>
        <w:tc>
          <w:tcPr>
            <w:tcW w:w="4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tcPr>
          <w:p>
            <w:pPr>
              <w:spacing w:after="0"/>
              <w:rPr>
                <w:sz w:val="11"/>
                <w:szCs w:val="11"/>
                <w:color w:val="auto"/>
              </w:rPr>
            </w:pPr>
          </w:p>
        </w:tc>
        <w:tc>
          <w:tcPr>
            <w:tcW w:w="1760" w:type="dxa"/>
            <w:vAlign w:val="bottom"/>
            <w:tcBorders>
              <w:bottom w:val="single" w:sz="8" w:color="auto"/>
            </w:tcBorders>
            <w:gridSpan w:val="4"/>
          </w:tcPr>
          <w:p>
            <w:pPr>
              <w:jc w:val="right"/>
              <w:spacing w:after="0"/>
              <w:rPr>
                <w:sz w:val="20"/>
                <w:szCs w:val="20"/>
                <w:color w:val="auto"/>
              </w:rPr>
            </w:pPr>
            <w:r>
              <w:rPr>
                <w:rFonts w:ascii="Arial" w:cs="Arial" w:eastAsia="Arial" w:hAnsi="Arial"/>
                <w:sz w:val="10"/>
                <w:szCs w:val="10"/>
                <w:b w:val="1"/>
                <w:bCs w:val="1"/>
                <w:color w:val="auto"/>
                <w:w w:val="90"/>
              </w:rPr>
              <w:t>Nine Months Ended September 30, 2016</w:t>
            </w:r>
          </w:p>
        </w:tc>
        <w:tc>
          <w:tcPr>
            <w:tcW w:w="10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r>
      <w:tr>
        <w:trPr>
          <w:trHeight w:val="96"/>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40" w:type="dxa"/>
            <w:vAlign w:val="bottom"/>
          </w:tcPr>
          <w:p>
            <w:pPr>
              <w:jc w:val="center"/>
              <w:ind w:right="148"/>
              <w:spacing w:after="0" w:line="96" w:lineRule="exact"/>
              <w:rPr>
                <w:sz w:val="20"/>
                <w:szCs w:val="20"/>
                <w:color w:val="auto"/>
              </w:rPr>
            </w:pPr>
            <w:r>
              <w:rPr>
                <w:rFonts w:ascii="Arial" w:cs="Arial" w:eastAsia="Arial" w:hAnsi="Arial"/>
                <w:sz w:val="10"/>
                <w:szCs w:val="10"/>
                <w:b w:val="1"/>
                <w:bCs w:val="1"/>
                <w:color w:val="auto"/>
                <w:w w:val="87"/>
              </w:rPr>
              <w:t>Amount of</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40" w:type="dxa"/>
            <w:vAlign w:val="bottom"/>
          </w:tcPr>
          <w:p>
            <w:pPr>
              <w:jc w:val="center"/>
              <w:ind w:right="148"/>
              <w:spacing w:after="0" w:line="99" w:lineRule="exact"/>
              <w:rPr>
                <w:sz w:val="20"/>
                <w:szCs w:val="20"/>
                <w:color w:val="auto"/>
              </w:rPr>
            </w:pPr>
            <w:r>
              <w:rPr>
                <w:rFonts w:ascii="Arial" w:cs="Arial" w:eastAsia="Arial" w:hAnsi="Arial"/>
                <w:sz w:val="10"/>
                <w:szCs w:val="10"/>
                <w:b w:val="1"/>
                <w:bCs w:val="1"/>
                <w:color w:val="auto"/>
                <w:w w:val="87"/>
              </w:rPr>
              <w:t>Gain/(Loss)</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140" w:type="dxa"/>
            <w:vAlign w:val="bottom"/>
            <w:gridSpan w:val="2"/>
          </w:tcPr>
          <w:p>
            <w:pPr>
              <w:jc w:val="center"/>
              <w:ind w:right="260"/>
              <w:spacing w:after="0" w:line="99" w:lineRule="exact"/>
              <w:rPr>
                <w:sz w:val="20"/>
                <w:szCs w:val="20"/>
                <w:color w:val="auto"/>
              </w:rPr>
            </w:pPr>
            <w:r>
              <w:rPr>
                <w:rFonts w:ascii="Arial" w:cs="Arial" w:eastAsia="Arial" w:hAnsi="Arial"/>
                <w:sz w:val="10"/>
                <w:szCs w:val="10"/>
                <w:b w:val="1"/>
                <w:bCs w:val="1"/>
                <w:color w:val="auto"/>
                <w:w w:val="89"/>
              </w:rPr>
              <w:t>Notional Amount</w:t>
            </w: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7"/>
              </w:rPr>
              <w:t>Settlement, Termination,</w:t>
            </w:r>
          </w:p>
        </w:tc>
        <w:tc>
          <w:tcPr>
            <w:tcW w:w="240" w:type="dxa"/>
            <w:vAlign w:val="bottom"/>
          </w:tcPr>
          <w:p>
            <w:pPr>
              <w:spacing w:after="0"/>
              <w:rPr>
                <w:sz w:val="8"/>
                <w:szCs w:val="8"/>
                <w:color w:val="auto"/>
              </w:rPr>
            </w:pPr>
          </w:p>
        </w:tc>
        <w:tc>
          <w:tcPr>
            <w:tcW w:w="1220" w:type="dxa"/>
            <w:vAlign w:val="bottom"/>
            <w:gridSpan w:val="3"/>
          </w:tcPr>
          <w:p>
            <w:pPr>
              <w:jc w:val="center"/>
              <w:ind w:right="460"/>
              <w:spacing w:after="0" w:line="99" w:lineRule="exact"/>
              <w:rPr>
                <w:sz w:val="20"/>
                <w:szCs w:val="20"/>
                <w:color w:val="auto"/>
              </w:rPr>
            </w:pPr>
            <w:r>
              <w:rPr>
                <w:rFonts w:ascii="Arial" w:cs="Arial" w:eastAsia="Arial" w:hAnsi="Arial"/>
                <w:sz w:val="10"/>
                <w:szCs w:val="10"/>
                <w:b w:val="1"/>
                <w:bCs w:val="1"/>
                <w:color w:val="auto"/>
                <w:w w:val="89"/>
              </w:rPr>
              <w:t>Notional Amount</w:t>
            </w:r>
          </w:p>
        </w:tc>
        <w:tc>
          <w:tcPr>
            <w:tcW w:w="200" w:type="dxa"/>
            <w:vAlign w:val="bottom"/>
          </w:tcPr>
          <w:p>
            <w:pPr>
              <w:spacing w:after="0"/>
              <w:rPr>
                <w:sz w:val="8"/>
                <w:szCs w:val="8"/>
                <w:color w:val="auto"/>
              </w:rPr>
            </w:pPr>
          </w:p>
        </w:tc>
        <w:tc>
          <w:tcPr>
            <w:tcW w:w="1040" w:type="dxa"/>
            <w:vAlign w:val="bottom"/>
          </w:tcPr>
          <w:p>
            <w:pPr>
              <w:jc w:val="center"/>
              <w:ind w:right="168"/>
              <w:spacing w:after="0" w:line="99" w:lineRule="exact"/>
              <w:rPr>
                <w:sz w:val="20"/>
                <w:szCs w:val="20"/>
                <w:color w:val="auto"/>
              </w:rPr>
            </w:pPr>
            <w:r>
              <w:rPr>
                <w:rFonts w:ascii="Arial" w:cs="Arial" w:eastAsia="Arial" w:hAnsi="Arial"/>
                <w:sz w:val="10"/>
                <w:szCs w:val="10"/>
                <w:b w:val="1"/>
                <w:bCs w:val="1"/>
                <w:color w:val="auto"/>
                <w:w w:val="85"/>
              </w:rPr>
              <w:t>Recognized in</w:t>
            </w: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140" w:type="dxa"/>
            <w:vAlign w:val="bottom"/>
            <w:gridSpan w:val="2"/>
          </w:tcPr>
          <w:p>
            <w:pPr>
              <w:jc w:val="center"/>
              <w:ind w:right="260"/>
              <w:spacing w:after="0" w:line="99" w:lineRule="exact"/>
              <w:rPr>
                <w:sz w:val="20"/>
                <w:szCs w:val="20"/>
                <w:color w:val="auto"/>
              </w:rPr>
            </w:pPr>
            <w:r>
              <w:rPr>
                <w:rFonts w:ascii="Arial" w:cs="Arial" w:eastAsia="Arial" w:hAnsi="Arial"/>
                <w:sz w:val="10"/>
                <w:szCs w:val="10"/>
                <w:b w:val="1"/>
                <w:bCs w:val="1"/>
                <w:color w:val="auto"/>
                <w:w w:val="86"/>
              </w:rPr>
              <w:t>Long/(Short)</w:t>
            </w:r>
          </w:p>
        </w:tc>
        <w:tc>
          <w:tcPr>
            <w:tcW w:w="11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90"/>
              </w:rPr>
              <w:t>Expiration or</w:t>
            </w:r>
          </w:p>
        </w:tc>
        <w:tc>
          <w:tcPr>
            <w:tcW w:w="1460" w:type="dxa"/>
            <w:vAlign w:val="bottom"/>
            <w:gridSpan w:val="4"/>
          </w:tcPr>
          <w:p>
            <w:pPr>
              <w:jc w:val="center"/>
              <w:ind w:right="240"/>
              <w:spacing w:after="0" w:line="99" w:lineRule="exact"/>
              <w:rPr>
                <w:sz w:val="20"/>
                <w:szCs w:val="20"/>
                <w:color w:val="auto"/>
              </w:rPr>
            </w:pPr>
            <w:r>
              <w:rPr>
                <w:rFonts w:ascii="Arial" w:cs="Arial" w:eastAsia="Arial" w:hAnsi="Arial"/>
                <w:sz w:val="10"/>
                <w:szCs w:val="10"/>
                <w:b w:val="1"/>
                <w:bCs w:val="1"/>
                <w:color w:val="auto"/>
                <w:w w:val="86"/>
              </w:rPr>
              <w:t>Long/(Short) September 30,</w:t>
            </w:r>
          </w:p>
        </w:tc>
        <w:tc>
          <w:tcPr>
            <w:tcW w:w="200" w:type="dxa"/>
            <w:vAlign w:val="bottom"/>
          </w:tcPr>
          <w:p>
            <w:pPr>
              <w:spacing w:after="0"/>
              <w:rPr>
                <w:sz w:val="8"/>
                <w:szCs w:val="8"/>
                <w:color w:val="auto"/>
              </w:rPr>
            </w:pPr>
          </w:p>
        </w:tc>
        <w:tc>
          <w:tcPr>
            <w:tcW w:w="1040" w:type="dxa"/>
            <w:vAlign w:val="bottom"/>
          </w:tcPr>
          <w:p>
            <w:pPr>
              <w:jc w:val="center"/>
              <w:ind w:right="168"/>
              <w:spacing w:after="0" w:line="99" w:lineRule="exact"/>
              <w:rPr>
                <w:sz w:val="20"/>
                <w:szCs w:val="20"/>
                <w:color w:val="auto"/>
              </w:rPr>
            </w:pPr>
            <w:r>
              <w:rPr>
                <w:rFonts w:ascii="Arial" w:cs="Arial" w:eastAsia="Arial" w:hAnsi="Arial"/>
                <w:sz w:val="10"/>
                <w:szCs w:val="10"/>
                <w:b w:val="1"/>
                <w:bCs w:val="1"/>
                <w:color w:val="auto"/>
                <w:w w:val="83"/>
              </w:rPr>
              <w:t>Income on</w:t>
            </w:r>
          </w:p>
        </w:tc>
      </w:tr>
      <w:tr>
        <w:trPr>
          <w:trHeight w:val="128"/>
        </w:trPr>
        <w:tc>
          <w:tcPr>
            <w:tcW w:w="47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Derivative and Other Hedging Instruments</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jc w:val="center"/>
              <w:ind w:right="68"/>
              <w:spacing w:after="0"/>
              <w:rPr>
                <w:sz w:val="20"/>
                <w:szCs w:val="20"/>
                <w:color w:val="auto"/>
              </w:rPr>
            </w:pPr>
            <w:r>
              <w:rPr>
                <w:rFonts w:ascii="Arial" w:cs="Arial" w:eastAsia="Arial" w:hAnsi="Arial"/>
                <w:sz w:val="10"/>
                <w:szCs w:val="10"/>
                <w:b w:val="1"/>
                <w:bCs w:val="1"/>
                <w:color w:val="auto"/>
                <w:w w:val="86"/>
              </w:rPr>
              <w:t>December 31, 2015</w:t>
            </w:r>
          </w:p>
        </w:tc>
        <w:tc>
          <w:tcPr>
            <w:tcW w:w="120" w:type="dxa"/>
            <w:vAlign w:val="bottom"/>
            <w:tcBorders>
              <w:bottom w:val="single" w:sz="8" w:color="CCEEFF"/>
            </w:tcBorders>
          </w:tcPr>
          <w:p>
            <w:pPr>
              <w:spacing w:after="0"/>
              <w:rPr>
                <w:sz w:val="11"/>
                <w:szCs w:val="11"/>
                <w:color w:val="auto"/>
              </w:rPr>
            </w:pPr>
          </w:p>
        </w:tc>
        <w:tc>
          <w:tcPr>
            <w:tcW w:w="1140" w:type="dxa"/>
            <w:vAlign w:val="bottom"/>
            <w:tcBorders>
              <w:bottom w:val="single" w:sz="8" w:color="auto"/>
            </w:tcBorders>
          </w:tcPr>
          <w:p>
            <w:pPr>
              <w:jc w:val="right"/>
              <w:ind w:right="307"/>
              <w:spacing w:after="0"/>
              <w:rPr>
                <w:sz w:val="20"/>
                <w:szCs w:val="20"/>
                <w:color w:val="auto"/>
              </w:rPr>
            </w:pPr>
            <w:r>
              <w:rPr>
                <w:rFonts w:ascii="Arial" w:cs="Arial" w:eastAsia="Arial" w:hAnsi="Arial"/>
                <w:sz w:val="10"/>
                <w:szCs w:val="10"/>
                <w:b w:val="1"/>
                <w:bCs w:val="1"/>
                <w:color w:val="auto"/>
              </w:rPr>
              <w:t>Additions</w:t>
            </w:r>
          </w:p>
        </w:tc>
        <w:tc>
          <w:tcPr>
            <w:tcW w:w="120" w:type="dxa"/>
            <w:vAlign w:val="bottom"/>
            <w:tcBorders>
              <w:bottom w:val="single" w:sz="8" w:color="CCEEFF"/>
            </w:tcBorders>
          </w:tcPr>
          <w:p>
            <w:pPr>
              <w:spacing w:after="0"/>
              <w:rPr>
                <w:sz w:val="11"/>
                <w:szCs w:val="11"/>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7"/>
              </w:rPr>
              <w:t>Exercise</w:t>
            </w:r>
          </w:p>
        </w:tc>
        <w:tc>
          <w:tcPr>
            <w:tcW w:w="120" w:type="dxa"/>
            <w:vAlign w:val="bottom"/>
            <w:tcBorders>
              <w:bottom w:val="single" w:sz="8" w:color="CCEEFF"/>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tcPr>
          <w:p>
            <w:pPr>
              <w:jc w:val="center"/>
              <w:ind w:right="187"/>
              <w:spacing w:after="0"/>
              <w:rPr>
                <w:sz w:val="20"/>
                <w:szCs w:val="20"/>
                <w:color w:val="auto"/>
              </w:rPr>
            </w:pPr>
            <w:r>
              <w:rPr>
                <w:rFonts w:ascii="Arial" w:cs="Arial" w:eastAsia="Arial" w:hAnsi="Arial"/>
                <w:sz w:val="10"/>
                <w:szCs w:val="10"/>
                <w:b w:val="1"/>
                <w:bCs w:val="1"/>
                <w:color w:val="auto"/>
                <w:w w:val="89"/>
              </w:rPr>
              <w:t>2016</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jc w:val="center"/>
              <w:ind w:right="148"/>
              <w:spacing w:after="0"/>
              <w:rPr>
                <w:sz w:val="20"/>
                <w:szCs w:val="20"/>
                <w:color w:val="auto"/>
              </w:rPr>
            </w:pPr>
            <w:r>
              <w:rPr>
                <w:rFonts w:ascii="Arial" w:cs="Arial" w:eastAsia="Arial" w:hAnsi="Arial"/>
                <w:sz w:val="10"/>
                <w:szCs w:val="10"/>
                <w:b w:val="1"/>
                <w:bCs w:val="1"/>
                <w:color w:val="auto"/>
                <w:w w:val="88"/>
              </w:rPr>
              <w:t xml:space="preserve">Derivatives </w:t>
            </w:r>
            <w:r>
              <w:rPr>
                <w:rFonts w:ascii="Arial" w:cs="Arial" w:eastAsia="Arial" w:hAnsi="Arial"/>
                <w:sz w:val="5"/>
                <w:szCs w:val="5"/>
                <w:b w:val="1"/>
                <w:bCs w:val="1"/>
                <w:color w:val="auto"/>
                <w:w w:val="88"/>
              </w:rPr>
              <w:t>1</w:t>
            </w:r>
          </w:p>
        </w:tc>
      </w:tr>
      <w:tr>
        <w:trPr>
          <w:trHeight w:val="144"/>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TBA securities, net</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7,295</w:t>
            </w:r>
          </w:p>
        </w:tc>
        <w:tc>
          <w:tcPr>
            <w:tcW w:w="120" w:type="dxa"/>
            <w:vAlign w:val="bottom"/>
            <w:tcBorders>
              <w:bottom w:val="single" w:sz="8" w:color="CCEEFF"/>
            </w:tcBorders>
            <w:shd w:val="clear" w:color="auto" w:fill="CCEEFF"/>
          </w:tcPr>
          <w:p>
            <w:pPr>
              <w:spacing w:after="0"/>
              <w:rPr>
                <w:sz w:val="12"/>
                <w:szCs w:val="12"/>
                <w:color w:val="auto"/>
              </w:rPr>
            </w:pPr>
          </w:p>
        </w:tc>
        <w:tc>
          <w:tcPr>
            <w:tcW w:w="114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75,906</w:t>
            </w:r>
          </w:p>
        </w:tc>
        <w:tc>
          <w:tcPr>
            <w:tcW w:w="1400" w:type="dxa"/>
            <w:vAlign w:val="bottom"/>
            <w:tcBorders>
              <w:bottom w:val="single" w:sz="8" w:color="CCEEFF"/>
            </w:tcBorders>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(68,320)</w:t>
            </w:r>
          </w:p>
        </w:tc>
        <w:tc>
          <w:tcPr>
            <w:tcW w:w="120" w:type="dxa"/>
            <w:vAlign w:val="bottom"/>
            <w:tcBorders>
              <w:bottom w:val="single" w:sz="8" w:color="CCEEFF"/>
            </w:tcBorders>
            <w:shd w:val="clear" w:color="auto" w:fill="CCEEFF"/>
          </w:tcPr>
          <w:p>
            <w:pPr>
              <w:spacing w:after="0"/>
              <w:rPr>
                <w:sz w:val="12"/>
                <w:szCs w:val="12"/>
                <w:color w:val="auto"/>
              </w:rPr>
            </w:pPr>
          </w:p>
        </w:tc>
        <w:tc>
          <w:tcPr>
            <w:tcW w:w="240" w:type="dxa"/>
            <w:vAlign w:val="bottom"/>
            <w:tcBorders>
              <w:bottom w:val="single" w:sz="8" w:color="CCEEFF"/>
            </w:tcBorders>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14,881</w:t>
            </w:r>
          </w:p>
        </w:tc>
        <w:tc>
          <w:tcPr>
            <w:tcW w:w="120" w:type="dxa"/>
            <w:vAlign w:val="bottom"/>
            <w:tcBorders>
              <w:bottom w:val="single" w:sz="8" w:color="CCEEFF"/>
              <w:right w:val="single" w:sz="8" w:color="auto"/>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10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391</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Interest rate swaps</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28"/>
              <w:spacing w:after="0"/>
              <w:rPr>
                <w:sz w:val="20"/>
                <w:szCs w:val="20"/>
                <w:color w:val="auto"/>
              </w:rPr>
            </w:pPr>
            <w:r>
              <w:rPr>
                <w:rFonts w:ascii="Arial" w:cs="Arial" w:eastAsia="Arial" w:hAnsi="Arial"/>
                <w:sz w:val="11"/>
                <w:szCs w:val="11"/>
                <w:color w:val="auto"/>
              </w:rPr>
              <w:t>(40,525)</w:t>
            </w:r>
          </w:p>
        </w:tc>
        <w:tc>
          <w:tcPr>
            <w:tcW w:w="120" w:type="dxa"/>
            <w:vAlign w:val="bottom"/>
          </w:tcPr>
          <w:p>
            <w:pPr>
              <w:spacing w:after="0"/>
              <w:rPr>
                <w:sz w:val="13"/>
                <w:szCs w:val="13"/>
                <w:color w:val="auto"/>
              </w:rPr>
            </w:pPr>
          </w:p>
        </w:tc>
        <w:tc>
          <w:tcPr>
            <w:tcW w:w="1140" w:type="dxa"/>
            <w:vAlign w:val="bottom"/>
          </w:tcPr>
          <w:p>
            <w:pPr>
              <w:jc w:val="right"/>
              <w:ind w:right="27"/>
              <w:spacing w:after="0"/>
              <w:rPr>
                <w:sz w:val="20"/>
                <w:szCs w:val="20"/>
                <w:color w:val="auto"/>
              </w:rPr>
            </w:pPr>
            <w:r>
              <w:rPr>
                <w:rFonts w:ascii="Arial" w:cs="Arial" w:eastAsia="Arial" w:hAnsi="Arial"/>
                <w:sz w:val="11"/>
                <w:szCs w:val="11"/>
                <w:color w:val="auto"/>
              </w:rPr>
              <w:t>(5,950)</w:t>
            </w:r>
          </w:p>
        </w:tc>
        <w:tc>
          <w:tcPr>
            <w:tcW w:w="1400" w:type="dxa"/>
            <w:vAlign w:val="bottom"/>
            <w:gridSpan w:val="2"/>
          </w:tcPr>
          <w:p>
            <w:pPr>
              <w:jc w:val="right"/>
              <w:ind w:right="72"/>
              <w:spacing w:after="0"/>
              <w:rPr>
                <w:sz w:val="20"/>
                <w:szCs w:val="20"/>
                <w:color w:val="auto"/>
              </w:rPr>
            </w:pPr>
            <w:r>
              <w:rPr>
                <w:rFonts w:ascii="Arial" w:cs="Arial" w:eastAsia="Arial" w:hAnsi="Arial"/>
                <w:sz w:val="11"/>
                <w:szCs w:val="11"/>
                <w:color w:val="auto"/>
              </w:rPr>
              <w:t>12,325</w:t>
            </w:r>
          </w:p>
        </w:tc>
        <w:tc>
          <w:tcPr>
            <w:tcW w:w="120" w:type="dxa"/>
            <w:vAlign w:val="bottom"/>
          </w:tcPr>
          <w:p>
            <w:pPr>
              <w:spacing w:after="0"/>
              <w:rPr>
                <w:sz w:val="13"/>
                <w:szCs w:val="13"/>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Pr>
          <w:p>
            <w:pPr>
              <w:jc w:val="right"/>
              <w:ind w:right="27"/>
              <w:spacing w:after="0"/>
              <w:rPr>
                <w:sz w:val="20"/>
                <w:szCs w:val="20"/>
                <w:color w:val="auto"/>
              </w:rPr>
            </w:pPr>
            <w:r>
              <w:rPr>
                <w:rFonts w:ascii="Arial" w:cs="Arial" w:eastAsia="Arial" w:hAnsi="Arial"/>
                <w:sz w:val="11"/>
                <w:szCs w:val="11"/>
                <w:color w:val="auto"/>
              </w:rPr>
              <w:t>(34,150)</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28"/>
              <w:spacing w:after="0"/>
              <w:rPr>
                <w:sz w:val="20"/>
                <w:szCs w:val="20"/>
                <w:color w:val="auto"/>
              </w:rPr>
            </w:pPr>
            <w:r>
              <w:rPr>
                <w:rFonts w:ascii="Arial" w:cs="Arial" w:eastAsia="Arial" w:hAnsi="Arial"/>
                <w:sz w:val="11"/>
                <w:szCs w:val="11"/>
                <w:color w:val="auto"/>
              </w:rPr>
              <w:t>(1,208)</w:t>
            </w: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r>
      <w:tr>
        <w:trPr>
          <w:trHeight w:val="16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Payer swaptions</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(2,150)</w:t>
            </w:r>
          </w:p>
        </w:tc>
        <w:tc>
          <w:tcPr>
            <w:tcW w:w="12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w:t>
            </w:r>
          </w:p>
        </w:tc>
        <w:tc>
          <w:tcPr>
            <w:tcW w:w="1400" w:type="dxa"/>
            <w:vAlign w:val="bottom"/>
            <w:tcBorders>
              <w:bottom w:val="single" w:sz="8" w:color="CCEEFF"/>
            </w:tcBorders>
            <w:gridSpan w:val="2"/>
            <w:shd w:val="clear" w:color="auto" w:fill="CCEEFF"/>
          </w:tcPr>
          <w:p>
            <w:pPr>
              <w:jc w:val="right"/>
              <w:ind w:right="72"/>
              <w:spacing w:after="0"/>
              <w:rPr>
                <w:sz w:val="20"/>
                <w:szCs w:val="20"/>
                <w:color w:val="auto"/>
              </w:rPr>
            </w:pPr>
            <w:r>
              <w:rPr>
                <w:rFonts w:ascii="Arial" w:cs="Arial" w:eastAsia="Arial" w:hAnsi="Arial"/>
                <w:sz w:val="11"/>
                <w:szCs w:val="11"/>
                <w:color w:val="auto"/>
              </w:rPr>
              <w:t>1,450</w:t>
            </w:r>
          </w:p>
        </w:tc>
        <w:tc>
          <w:tcPr>
            <w:tcW w:w="120" w:type="dxa"/>
            <w:vAlign w:val="bottom"/>
            <w:tcBorders>
              <w:bottom w:val="single" w:sz="8" w:color="CCEEFF"/>
            </w:tcBorders>
            <w:shd w:val="clear" w:color="auto" w:fill="CCEEFF"/>
          </w:tcPr>
          <w:p>
            <w:pPr>
              <w:spacing w:after="0"/>
              <w:rPr>
                <w:sz w:val="13"/>
                <w:szCs w:val="13"/>
                <w:color w:val="auto"/>
              </w:rPr>
            </w:pPr>
          </w:p>
        </w:tc>
        <w:tc>
          <w:tcPr>
            <w:tcW w:w="240" w:type="dxa"/>
            <w:vAlign w:val="bottom"/>
            <w:tcBorders>
              <w:bottom w:val="single" w:sz="8" w:color="CCEEFF"/>
            </w:tcBorders>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(700)</w:t>
            </w:r>
          </w:p>
        </w:tc>
        <w:tc>
          <w:tcPr>
            <w:tcW w:w="120" w:type="dxa"/>
            <w:vAlign w:val="bottom"/>
            <w:tcBorders>
              <w:bottom w:val="single" w:sz="8" w:color="CCEEFF"/>
              <w:right w:val="single" w:sz="8" w:color="auto"/>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(12)</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U.S. Treasury securities - short position</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28"/>
              <w:spacing w:after="0"/>
              <w:rPr>
                <w:sz w:val="20"/>
                <w:szCs w:val="20"/>
                <w:color w:val="auto"/>
              </w:rPr>
            </w:pPr>
            <w:r>
              <w:rPr>
                <w:rFonts w:ascii="Arial" w:cs="Arial" w:eastAsia="Arial" w:hAnsi="Arial"/>
                <w:sz w:val="11"/>
                <w:szCs w:val="11"/>
                <w:color w:val="auto"/>
              </w:rPr>
              <w:t>(1,714)</w:t>
            </w:r>
          </w:p>
        </w:tc>
        <w:tc>
          <w:tcPr>
            <w:tcW w:w="120" w:type="dxa"/>
            <w:vAlign w:val="bottom"/>
          </w:tcPr>
          <w:p>
            <w:pPr>
              <w:spacing w:after="0"/>
              <w:rPr>
                <w:sz w:val="13"/>
                <w:szCs w:val="13"/>
                <w:color w:val="auto"/>
              </w:rPr>
            </w:pPr>
          </w:p>
        </w:tc>
        <w:tc>
          <w:tcPr>
            <w:tcW w:w="1140" w:type="dxa"/>
            <w:vAlign w:val="bottom"/>
          </w:tcPr>
          <w:p>
            <w:pPr>
              <w:jc w:val="right"/>
              <w:ind w:right="27"/>
              <w:spacing w:after="0"/>
              <w:rPr>
                <w:sz w:val="20"/>
                <w:szCs w:val="20"/>
                <w:color w:val="auto"/>
              </w:rPr>
            </w:pPr>
            <w:r>
              <w:rPr>
                <w:rFonts w:ascii="Arial" w:cs="Arial" w:eastAsia="Arial" w:hAnsi="Arial"/>
                <w:sz w:val="11"/>
                <w:szCs w:val="11"/>
                <w:color w:val="auto"/>
              </w:rPr>
              <w:t>(5,329)</w:t>
            </w:r>
          </w:p>
        </w:tc>
        <w:tc>
          <w:tcPr>
            <w:tcW w:w="1400" w:type="dxa"/>
            <w:vAlign w:val="bottom"/>
            <w:gridSpan w:val="2"/>
          </w:tcPr>
          <w:p>
            <w:pPr>
              <w:jc w:val="right"/>
              <w:ind w:right="72"/>
              <w:spacing w:after="0"/>
              <w:rPr>
                <w:sz w:val="20"/>
                <w:szCs w:val="20"/>
                <w:color w:val="auto"/>
              </w:rPr>
            </w:pPr>
            <w:r>
              <w:rPr>
                <w:rFonts w:ascii="Arial" w:cs="Arial" w:eastAsia="Arial" w:hAnsi="Arial"/>
                <w:sz w:val="11"/>
                <w:szCs w:val="11"/>
                <w:color w:val="auto"/>
              </w:rPr>
              <w:t>1,687</w:t>
            </w:r>
          </w:p>
        </w:tc>
        <w:tc>
          <w:tcPr>
            <w:tcW w:w="120" w:type="dxa"/>
            <w:vAlign w:val="bottom"/>
          </w:tcPr>
          <w:p>
            <w:pPr>
              <w:spacing w:after="0"/>
              <w:rPr>
                <w:sz w:val="13"/>
                <w:szCs w:val="13"/>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Pr>
          <w:p>
            <w:pPr>
              <w:jc w:val="right"/>
              <w:ind w:right="27"/>
              <w:spacing w:after="0"/>
              <w:rPr>
                <w:sz w:val="20"/>
                <w:szCs w:val="20"/>
                <w:color w:val="auto"/>
              </w:rPr>
            </w:pPr>
            <w:r>
              <w:rPr>
                <w:rFonts w:ascii="Arial" w:cs="Arial" w:eastAsia="Arial" w:hAnsi="Arial"/>
                <w:sz w:val="11"/>
                <w:szCs w:val="11"/>
                <w:color w:val="auto"/>
              </w:rPr>
              <w:t>(5,356)</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28"/>
              <w:spacing w:after="0"/>
              <w:rPr>
                <w:sz w:val="20"/>
                <w:szCs w:val="20"/>
                <w:color w:val="auto"/>
              </w:rPr>
            </w:pPr>
            <w:r>
              <w:rPr>
                <w:rFonts w:ascii="Arial" w:cs="Arial" w:eastAsia="Arial" w:hAnsi="Arial"/>
                <w:sz w:val="11"/>
                <w:szCs w:val="11"/>
                <w:color w:val="auto"/>
              </w:rPr>
              <w:t>(142)</w:t>
            </w: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r>
      <w:tr>
        <w:trPr>
          <w:trHeight w:val="16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securities - long position</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25</w:t>
            </w:r>
          </w:p>
        </w:tc>
        <w:tc>
          <w:tcPr>
            <w:tcW w:w="120" w:type="dxa"/>
            <w:vAlign w:val="bottom"/>
            <w:tcBorders>
              <w:bottom w:val="single" w:sz="8" w:color="CCEEFF"/>
            </w:tcBorders>
            <w:shd w:val="clear" w:color="auto" w:fill="CCEEFF"/>
          </w:tcPr>
          <w:p>
            <w:pPr>
              <w:spacing w:after="0"/>
              <w:rPr>
                <w:sz w:val="13"/>
                <w:szCs w:val="13"/>
                <w:color w:val="auto"/>
              </w:rPr>
            </w:pPr>
          </w:p>
        </w:tc>
        <w:tc>
          <w:tcPr>
            <w:tcW w:w="114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495</w:t>
            </w:r>
          </w:p>
        </w:tc>
        <w:tc>
          <w:tcPr>
            <w:tcW w:w="1400" w:type="dxa"/>
            <w:vAlign w:val="bottom"/>
            <w:tcBorders>
              <w:bottom w:val="single" w:sz="8" w:color="CCEEFF"/>
            </w:tcBorders>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(475)</w:t>
            </w:r>
          </w:p>
        </w:tc>
        <w:tc>
          <w:tcPr>
            <w:tcW w:w="120" w:type="dxa"/>
            <w:vAlign w:val="bottom"/>
            <w:tcBorders>
              <w:bottom w:val="single" w:sz="8" w:color="CCEEFF"/>
            </w:tcBorders>
            <w:shd w:val="clear" w:color="auto" w:fill="CCEEFF"/>
          </w:tcPr>
          <w:p>
            <w:pPr>
              <w:spacing w:after="0"/>
              <w:rPr>
                <w:sz w:val="13"/>
                <w:szCs w:val="13"/>
                <w:color w:val="auto"/>
              </w:rPr>
            </w:pPr>
          </w:p>
        </w:tc>
        <w:tc>
          <w:tcPr>
            <w:tcW w:w="240" w:type="dxa"/>
            <w:vAlign w:val="bottom"/>
            <w:tcBorders>
              <w:bottom w:val="single" w:sz="8" w:color="CCEEFF"/>
            </w:tcBorders>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45</w:t>
            </w:r>
          </w:p>
        </w:tc>
        <w:tc>
          <w:tcPr>
            <w:tcW w:w="120" w:type="dxa"/>
            <w:vAlign w:val="bottom"/>
            <w:tcBorders>
              <w:bottom w:val="single" w:sz="8" w:color="CCEEFF"/>
              <w:right w:val="single" w:sz="8" w:color="auto"/>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7</w:t>
            </w: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U.S. Treasury futures contracts - short position</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28"/>
              <w:spacing w:after="0"/>
              <w:rPr>
                <w:sz w:val="20"/>
                <w:szCs w:val="20"/>
                <w:color w:val="auto"/>
              </w:rPr>
            </w:pPr>
            <w:r>
              <w:rPr>
                <w:rFonts w:ascii="Arial" w:cs="Arial" w:eastAsia="Arial" w:hAnsi="Arial"/>
                <w:sz w:val="11"/>
                <w:szCs w:val="11"/>
                <w:color w:val="auto"/>
              </w:rPr>
              <w:t>(1,860)</w:t>
            </w:r>
          </w:p>
        </w:tc>
        <w:tc>
          <w:tcPr>
            <w:tcW w:w="120" w:type="dxa"/>
            <w:vAlign w:val="bottom"/>
          </w:tcPr>
          <w:p>
            <w:pPr>
              <w:spacing w:after="0"/>
              <w:rPr>
                <w:sz w:val="13"/>
                <w:szCs w:val="13"/>
                <w:color w:val="auto"/>
              </w:rPr>
            </w:pPr>
          </w:p>
        </w:tc>
        <w:tc>
          <w:tcPr>
            <w:tcW w:w="1140" w:type="dxa"/>
            <w:vAlign w:val="bottom"/>
          </w:tcPr>
          <w:p>
            <w:pPr>
              <w:jc w:val="right"/>
              <w:ind w:right="27"/>
              <w:spacing w:after="0"/>
              <w:rPr>
                <w:sz w:val="20"/>
                <w:szCs w:val="20"/>
                <w:color w:val="auto"/>
              </w:rPr>
            </w:pPr>
            <w:r>
              <w:rPr>
                <w:rFonts w:ascii="Arial" w:cs="Arial" w:eastAsia="Arial" w:hAnsi="Arial"/>
                <w:sz w:val="11"/>
                <w:szCs w:val="11"/>
                <w:color w:val="auto"/>
              </w:rPr>
              <w:t>(5,880)</w:t>
            </w:r>
          </w:p>
        </w:tc>
        <w:tc>
          <w:tcPr>
            <w:tcW w:w="1400" w:type="dxa"/>
            <w:vAlign w:val="bottom"/>
            <w:gridSpan w:val="2"/>
          </w:tcPr>
          <w:p>
            <w:pPr>
              <w:jc w:val="right"/>
              <w:ind w:right="72"/>
              <w:spacing w:after="0"/>
              <w:rPr>
                <w:sz w:val="20"/>
                <w:szCs w:val="20"/>
                <w:color w:val="auto"/>
              </w:rPr>
            </w:pPr>
            <w:r>
              <w:rPr>
                <w:rFonts w:ascii="Arial" w:cs="Arial" w:eastAsia="Arial" w:hAnsi="Arial"/>
                <w:sz w:val="11"/>
                <w:szCs w:val="11"/>
                <w:color w:val="auto"/>
              </w:rPr>
              <w:t>5,780</w:t>
            </w:r>
          </w:p>
        </w:tc>
        <w:tc>
          <w:tcPr>
            <w:tcW w:w="120" w:type="dxa"/>
            <w:vAlign w:val="bottom"/>
          </w:tcPr>
          <w:p>
            <w:pPr>
              <w:spacing w:after="0"/>
              <w:rPr>
                <w:sz w:val="13"/>
                <w:szCs w:val="13"/>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000" w:type="dxa"/>
            <w:vAlign w:val="bottom"/>
          </w:tcPr>
          <w:p>
            <w:pPr>
              <w:jc w:val="right"/>
              <w:ind w:right="27"/>
              <w:spacing w:after="0"/>
              <w:rPr>
                <w:sz w:val="20"/>
                <w:szCs w:val="20"/>
                <w:color w:val="auto"/>
              </w:rPr>
            </w:pPr>
            <w:r>
              <w:rPr>
                <w:rFonts w:ascii="Arial" w:cs="Arial" w:eastAsia="Arial" w:hAnsi="Arial"/>
                <w:sz w:val="11"/>
                <w:szCs w:val="11"/>
                <w:color w:val="auto"/>
              </w:rPr>
              <w:t>(1,960)</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28"/>
              <w:spacing w:after="0"/>
              <w:rPr>
                <w:sz w:val="20"/>
                <w:szCs w:val="20"/>
                <w:color w:val="auto"/>
              </w:rPr>
            </w:pPr>
            <w:r>
              <w:rPr>
                <w:rFonts w:ascii="Arial" w:cs="Arial" w:eastAsia="Arial" w:hAnsi="Arial"/>
                <w:sz w:val="11"/>
                <w:szCs w:val="11"/>
                <w:color w:val="auto"/>
              </w:rPr>
              <w:t>(106)</w:t>
            </w:r>
          </w:p>
        </w:tc>
      </w:tr>
      <w:tr>
        <w:trPr>
          <w:trHeight w:val="22"/>
        </w:trPr>
        <w:tc>
          <w:tcPr>
            <w:tcW w:w="47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10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14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28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10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right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r>
      <w:tr>
        <w:trPr>
          <w:trHeight w:val="185"/>
        </w:trPr>
        <w:tc>
          <w:tcPr>
            <w:tcW w:w="470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40" w:type="dxa"/>
            <w:vAlign w:val="bottom"/>
            <w:tcBorders>
              <w:bottom w:val="single" w:sz="8" w:color="CCEEFF"/>
            </w:tcBorders>
            <w:shd w:val="clear" w:color="auto" w:fill="CCEEFF"/>
          </w:tcPr>
          <w:p>
            <w:pPr>
              <w:spacing w:after="0"/>
              <w:rPr>
                <w:sz w:val="15"/>
                <w:szCs w:val="15"/>
                <w:color w:val="auto"/>
              </w:rPr>
            </w:pPr>
          </w:p>
        </w:tc>
        <w:tc>
          <w:tcPr>
            <w:tcW w:w="102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14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128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tcBorders>
            <w:shd w:val="clear" w:color="auto" w:fill="CCEEFF"/>
          </w:tcPr>
          <w:p>
            <w:pPr>
              <w:spacing w:after="0"/>
              <w:rPr>
                <w:sz w:val="15"/>
                <w:szCs w:val="15"/>
                <w:color w:val="auto"/>
              </w:rPr>
            </w:pPr>
          </w:p>
        </w:tc>
        <w:tc>
          <w:tcPr>
            <w:tcW w:w="240" w:type="dxa"/>
            <w:vAlign w:val="bottom"/>
            <w:tcBorders>
              <w:bottom w:val="single" w:sz="8" w:color="CCEEFF"/>
            </w:tcBorders>
            <w:shd w:val="clear" w:color="auto" w:fill="CCEEFF"/>
          </w:tcPr>
          <w:p>
            <w:pPr>
              <w:spacing w:after="0"/>
              <w:rPr>
                <w:sz w:val="15"/>
                <w:szCs w:val="15"/>
                <w:color w:val="auto"/>
              </w:rPr>
            </w:pPr>
          </w:p>
        </w:tc>
        <w:tc>
          <w:tcPr>
            <w:tcW w:w="100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CCEEFF"/>
              <w:right w:val="single" w:sz="8" w:color="auto"/>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10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(1,070)</w:t>
            </w:r>
          </w:p>
        </w:tc>
      </w:tr>
      <w:tr>
        <w:trPr>
          <w:trHeight w:val="127"/>
        </w:trPr>
        <w:tc>
          <w:tcPr>
            <w:tcW w:w="4700" w:type="dxa"/>
            <w:vAlign w:val="bottom"/>
            <w:tcBorders>
              <w:top w:val="single" w:sz="8" w:color="CCEEFF"/>
            </w:tcBorders>
          </w:tcPr>
          <w:p>
            <w:pPr>
              <w:ind w:left="60"/>
              <w:spacing w:after="0" w:line="127" w:lineRule="exact"/>
              <w:rPr>
                <w:sz w:val="20"/>
                <w:szCs w:val="20"/>
                <w:color w:val="auto"/>
              </w:rPr>
            </w:pPr>
            <w:r>
              <w:rPr>
                <w:rFonts w:ascii="Arial" w:cs="Arial" w:eastAsia="Arial" w:hAnsi="Arial"/>
                <w:sz w:val="12"/>
                <w:szCs w:val="12"/>
                <w:color w:val="auto"/>
              </w:rPr>
              <w:t>________________________________</w:t>
            </w:r>
          </w:p>
        </w:tc>
        <w:tc>
          <w:tcPr>
            <w:tcW w:w="120" w:type="dxa"/>
            <w:vAlign w:val="bottom"/>
            <w:tcBorders>
              <w:top w:val="single" w:sz="8" w:color="CCEEFF"/>
            </w:tcBorders>
          </w:tcPr>
          <w:p>
            <w:pPr>
              <w:spacing w:after="0"/>
              <w:rPr>
                <w:sz w:val="11"/>
                <w:szCs w:val="11"/>
                <w:color w:val="auto"/>
              </w:rPr>
            </w:pPr>
          </w:p>
        </w:tc>
        <w:tc>
          <w:tcPr>
            <w:tcW w:w="140" w:type="dxa"/>
            <w:vAlign w:val="bottom"/>
            <w:tcBorders>
              <w:top w:val="single" w:sz="8" w:color="CCEEFF"/>
            </w:tcBorders>
          </w:tcPr>
          <w:p>
            <w:pPr>
              <w:spacing w:after="0"/>
              <w:rPr>
                <w:sz w:val="11"/>
                <w:szCs w:val="11"/>
                <w:color w:val="auto"/>
              </w:rPr>
            </w:pPr>
          </w:p>
        </w:tc>
        <w:tc>
          <w:tcPr>
            <w:tcW w:w="102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14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28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240" w:type="dxa"/>
            <w:vAlign w:val="bottom"/>
            <w:tcBorders>
              <w:top w:val="single" w:sz="8" w:color="CCEEFF"/>
            </w:tcBorders>
          </w:tcPr>
          <w:p>
            <w:pPr>
              <w:spacing w:after="0"/>
              <w:rPr>
                <w:sz w:val="11"/>
                <w:szCs w:val="11"/>
                <w:color w:val="auto"/>
              </w:rPr>
            </w:pPr>
          </w:p>
        </w:tc>
        <w:tc>
          <w:tcPr>
            <w:tcW w:w="1000" w:type="dxa"/>
            <w:vAlign w:val="bottom"/>
            <w:tcBorders>
              <w:top w:val="single" w:sz="8" w:color="CCEEFF"/>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1040" w:type="dxa"/>
            <w:vAlign w:val="bottom"/>
            <w:tcBorders>
              <w:top w:val="single" w:sz="8" w:color="auto"/>
            </w:tcBorders>
          </w:tcPr>
          <w:p>
            <w:pPr>
              <w:spacing w:after="0"/>
              <w:rPr>
                <w:sz w:val="11"/>
                <w:szCs w:val="11"/>
                <w:color w:val="auto"/>
              </w:rPr>
            </w:pPr>
          </w:p>
        </w:tc>
      </w:tr>
    </w:tbl>
    <w:p>
      <w:pPr>
        <w:ind w:left="580" w:right="20" w:hanging="372"/>
        <w:spacing w:after="0" w:line="231" w:lineRule="auto"/>
        <w:tabs>
          <w:tab w:leader="none" w:pos="418" w:val="left"/>
        </w:tabs>
        <w:numPr>
          <w:ilvl w:val="0"/>
          <w:numId w:val="12"/>
        </w:numPr>
        <w:rPr>
          <w:rFonts w:ascii="Arial" w:cs="Arial" w:eastAsia="Arial" w:hAnsi="Arial"/>
          <w:sz w:val="10"/>
          <w:szCs w:val="10"/>
          <w:color w:val="auto"/>
        </w:rPr>
      </w:pPr>
      <w:r>
        <w:rPr>
          <w:rFonts w:ascii="Arial" w:cs="Arial" w:eastAsia="Arial" w:hAnsi="Arial"/>
          <w:sz w:val="10"/>
          <w:szCs w:val="10"/>
          <w:color w:val="auto"/>
        </w:rPr>
        <w:t>Excludes a net loss of $8 million from debt of consolidated VIEs, a net gain of $5 million from interest and principal-only securities and other miscellaneous net gains of $15 million recognized in gain (loss) on derivative instruments and other securities, net in our consolidated statements of comprehensive income.</w:t>
      </w:r>
    </w:p>
    <w:p>
      <w:pPr>
        <w:spacing w:after="0" w:line="26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19</w:t>
      </w:r>
    </w:p>
    <w:p>
      <w:pPr>
        <w:sectPr>
          <w:pgSz w:w="11900" w:h="16838" w:orient="portrait"/>
          <w:cols w:equalWidth="0" w:num="1">
            <w:col w:w="11480"/>
          </w:cols>
          <w:pgMar w:left="220" w:top="581" w:right="199" w:bottom="1440" w:gutter="0" w:footer="0" w:header="0"/>
        </w:sectPr>
      </w:pPr>
    </w:p>
    <w:bookmarkStart w:id="20" w:name="page21"/>
    <w:bookmarkEnd w:id="20"/>
    <w:tbl>
      <w:tblPr>
        <w:tblLayout w:type="fixed"/>
        <w:tblInd w:w="0" w:type="dxa"/>
        <w:tblCellMar>
          <w:top w:w="0" w:type="dxa"/>
          <w:left w:w="0" w:type="dxa"/>
          <w:bottom w:w="0" w:type="dxa"/>
          <w:right w:w="0" w:type="dxa"/>
        </w:tblCellMar>
      </w:tblPr>
      <w:tr>
        <w:trPr>
          <w:trHeight w:val="128"/>
        </w:trPr>
        <w:tc>
          <w:tcPr>
            <w:tcW w:w="4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spacing w:after="0"/>
              <w:rPr>
                <w:sz w:val="11"/>
                <w:szCs w:val="11"/>
                <w:color w:val="auto"/>
              </w:rPr>
            </w:pPr>
          </w:p>
        </w:tc>
        <w:tc>
          <w:tcPr>
            <w:tcW w:w="2980" w:type="dxa"/>
            <w:vAlign w:val="bottom"/>
            <w:tcBorders>
              <w:bottom w:val="single" w:sz="8" w:color="auto"/>
            </w:tcBorders>
            <w:gridSpan w:val="7"/>
          </w:tcPr>
          <w:p>
            <w:pPr>
              <w:ind w:left="80"/>
              <w:spacing w:after="0"/>
              <w:rPr>
                <w:sz w:val="20"/>
                <w:szCs w:val="20"/>
                <w:color w:val="auto"/>
              </w:rPr>
            </w:pPr>
            <w:r>
              <w:rPr>
                <w:rFonts w:ascii="Arial" w:cs="Arial" w:eastAsia="Arial" w:hAnsi="Arial"/>
                <w:sz w:val="10"/>
                <w:szCs w:val="10"/>
                <w:b w:val="1"/>
                <w:bCs w:val="1"/>
                <w:color w:val="auto"/>
              </w:rPr>
              <w:t>Nine Months Ended September 30, 2015</w:t>
            </w:r>
          </w:p>
        </w:tc>
        <w:tc>
          <w:tcPr>
            <w:tcW w:w="2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6"/>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40" w:type="dxa"/>
            <w:vAlign w:val="bottom"/>
          </w:tcPr>
          <w:p>
            <w:pPr>
              <w:jc w:val="center"/>
              <w:ind w:right="148"/>
              <w:spacing w:after="0" w:line="96" w:lineRule="exact"/>
              <w:rPr>
                <w:sz w:val="20"/>
                <w:szCs w:val="20"/>
                <w:color w:val="auto"/>
              </w:rPr>
            </w:pPr>
            <w:r>
              <w:rPr>
                <w:rFonts w:ascii="Arial" w:cs="Arial" w:eastAsia="Arial" w:hAnsi="Arial"/>
                <w:sz w:val="10"/>
                <w:szCs w:val="10"/>
                <w:b w:val="1"/>
                <w:bCs w:val="1"/>
                <w:color w:val="auto"/>
                <w:w w:val="87"/>
              </w:rPr>
              <w:t>Amount of</w:t>
            </w:r>
          </w:p>
        </w:tc>
        <w:tc>
          <w:tcPr>
            <w:tcW w:w="0" w:type="dxa"/>
            <w:vAlign w:val="bottom"/>
          </w:tcPr>
          <w:p>
            <w:pPr>
              <w:spacing w:after="0"/>
              <w:rPr>
                <w:sz w:val="1"/>
                <w:szCs w:val="1"/>
                <w:color w:val="auto"/>
              </w:rPr>
            </w:pP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40" w:type="dxa"/>
            <w:vAlign w:val="bottom"/>
          </w:tcPr>
          <w:p>
            <w:pPr>
              <w:jc w:val="center"/>
              <w:ind w:right="148"/>
              <w:spacing w:after="0" w:line="99" w:lineRule="exact"/>
              <w:rPr>
                <w:sz w:val="20"/>
                <w:szCs w:val="20"/>
                <w:color w:val="auto"/>
              </w:rPr>
            </w:pPr>
            <w:r>
              <w:rPr>
                <w:rFonts w:ascii="Arial" w:cs="Arial" w:eastAsia="Arial" w:hAnsi="Arial"/>
                <w:sz w:val="10"/>
                <w:szCs w:val="10"/>
                <w:b w:val="1"/>
                <w:bCs w:val="1"/>
                <w:color w:val="auto"/>
                <w:w w:val="87"/>
              </w:rPr>
              <w:t>Gain/(Loss)</w:t>
            </w:r>
          </w:p>
        </w:tc>
        <w:tc>
          <w:tcPr>
            <w:tcW w:w="0" w:type="dxa"/>
            <w:vAlign w:val="bottom"/>
          </w:tcPr>
          <w:p>
            <w:pPr>
              <w:spacing w:after="0"/>
              <w:rPr>
                <w:sz w:val="1"/>
                <w:szCs w:val="1"/>
                <w:color w:val="auto"/>
              </w:rPr>
            </w:pP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140" w:type="dxa"/>
            <w:vAlign w:val="bottom"/>
            <w:gridSpan w:val="2"/>
          </w:tcPr>
          <w:p>
            <w:pPr>
              <w:jc w:val="center"/>
              <w:ind w:right="260"/>
              <w:spacing w:after="0" w:line="99" w:lineRule="exact"/>
              <w:rPr>
                <w:sz w:val="20"/>
                <w:szCs w:val="20"/>
                <w:color w:val="auto"/>
              </w:rPr>
            </w:pPr>
            <w:r>
              <w:rPr>
                <w:rFonts w:ascii="Arial" w:cs="Arial" w:eastAsia="Arial" w:hAnsi="Arial"/>
                <w:sz w:val="10"/>
                <w:szCs w:val="10"/>
                <w:b w:val="1"/>
                <w:bCs w:val="1"/>
                <w:color w:val="auto"/>
                <w:w w:val="89"/>
              </w:rPr>
              <w:t>Notional Amount</w:t>
            </w: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7"/>
              </w:rPr>
              <w:t>Settlement, Termination,</w:t>
            </w:r>
          </w:p>
        </w:tc>
        <w:tc>
          <w:tcPr>
            <w:tcW w:w="60" w:type="dxa"/>
            <w:vAlign w:val="bottom"/>
          </w:tcPr>
          <w:p>
            <w:pPr>
              <w:spacing w:after="0"/>
              <w:rPr>
                <w:sz w:val="8"/>
                <w:szCs w:val="8"/>
                <w:color w:val="auto"/>
              </w:rPr>
            </w:pPr>
          </w:p>
        </w:tc>
        <w:tc>
          <w:tcPr>
            <w:tcW w:w="1420" w:type="dxa"/>
            <w:vAlign w:val="bottom"/>
            <w:gridSpan w:val="3"/>
          </w:tcPr>
          <w:p>
            <w:pPr>
              <w:jc w:val="center"/>
              <w:ind w:right="280"/>
              <w:spacing w:after="0" w:line="99" w:lineRule="exact"/>
              <w:rPr>
                <w:sz w:val="20"/>
                <w:szCs w:val="20"/>
                <w:color w:val="auto"/>
              </w:rPr>
            </w:pPr>
            <w:r>
              <w:rPr>
                <w:rFonts w:ascii="Arial" w:cs="Arial" w:eastAsia="Arial" w:hAnsi="Arial"/>
                <w:sz w:val="10"/>
                <w:szCs w:val="10"/>
                <w:b w:val="1"/>
                <w:bCs w:val="1"/>
                <w:color w:val="auto"/>
                <w:w w:val="86"/>
              </w:rPr>
              <w:t>Notional Amount</w:t>
            </w:r>
          </w:p>
        </w:tc>
        <w:tc>
          <w:tcPr>
            <w:tcW w:w="200" w:type="dxa"/>
            <w:vAlign w:val="bottom"/>
          </w:tcPr>
          <w:p>
            <w:pPr>
              <w:spacing w:after="0"/>
              <w:rPr>
                <w:sz w:val="8"/>
                <w:szCs w:val="8"/>
                <w:color w:val="auto"/>
              </w:rPr>
            </w:pPr>
          </w:p>
        </w:tc>
        <w:tc>
          <w:tcPr>
            <w:tcW w:w="1040" w:type="dxa"/>
            <w:vAlign w:val="bottom"/>
          </w:tcPr>
          <w:p>
            <w:pPr>
              <w:jc w:val="center"/>
              <w:ind w:right="168"/>
              <w:spacing w:after="0" w:line="99" w:lineRule="exact"/>
              <w:rPr>
                <w:sz w:val="20"/>
                <w:szCs w:val="20"/>
                <w:color w:val="auto"/>
              </w:rPr>
            </w:pPr>
            <w:r>
              <w:rPr>
                <w:rFonts w:ascii="Arial" w:cs="Arial" w:eastAsia="Arial" w:hAnsi="Arial"/>
                <w:sz w:val="10"/>
                <w:szCs w:val="10"/>
                <w:b w:val="1"/>
                <w:bCs w:val="1"/>
                <w:color w:val="auto"/>
                <w:w w:val="85"/>
              </w:rPr>
              <w:t>Recognized in</w:t>
            </w:r>
          </w:p>
        </w:tc>
        <w:tc>
          <w:tcPr>
            <w:tcW w:w="0" w:type="dxa"/>
            <w:vAlign w:val="bottom"/>
          </w:tcPr>
          <w:p>
            <w:pPr>
              <w:spacing w:after="0"/>
              <w:rPr>
                <w:sz w:val="1"/>
                <w:szCs w:val="1"/>
                <w:color w:val="auto"/>
              </w:rPr>
            </w:pPr>
          </w:p>
        </w:tc>
      </w:tr>
      <w:tr>
        <w:trPr>
          <w:trHeight w:val="99"/>
        </w:trPr>
        <w:tc>
          <w:tcPr>
            <w:tcW w:w="4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140" w:type="dxa"/>
            <w:vAlign w:val="bottom"/>
            <w:gridSpan w:val="2"/>
          </w:tcPr>
          <w:p>
            <w:pPr>
              <w:jc w:val="center"/>
              <w:ind w:right="280"/>
              <w:spacing w:after="0" w:line="99" w:lineRule="exact"/>
              <w:rPr>
                <w:sz w:val="20"/>
                <w:szCs w:val="20"/>
                <w:color w:val="auto"/>
              </w:rPr>
            </w:pPr>
            <w:r>
              <w:rPr>
                <w:rFonts w:ascii="Arial" w:cs="Arial" w:eastAsia="Arial" w:hAnsi="Arial"/>
                <w:sz w:val="10"/>
                <w:szCs w:val="10"/>
                <w:b w:val="1"/>
                <w:bCs w:val="1"/>
                <w:color w:val="auto"/>
                <w:w w:val="89"/>
              </w:rPr>
              <w:t>Long/(Short)</w:t>
            </w:r>
          </w:p>
        </w:tc>
        <w:tc>
          <w:tcPr>
            <w:tcW w:w="1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90"/>
              </w:rPr>
              <w:t>Expiration or</w:t>
            </w:r>
          </w:p>
        </w:tc>
        <w:tc>
          <w:tcPr>
            <w:tcW w:w="60" w:type="dxa"/>
            <w:vAlign w:val="bottom"/>
          </w:tcPr>
          <w:p>
            <w:pPr>
              <w:spacing w:after="0"/>
              <w:rPr>
                <w:sz w:val="8"/>
                <w:szCs w:val="8"/>
                <w:color w:val="auto"/>
              </w:rPr>
            </w:pPr>
          </w:p>
        </w:tc>
        <w:tc>
          <w:tcPr>
            <w:tcW w:w="1420" w:type="dxa"/>
            <w:vAlign w:val="bottom"/>
            <w:gridSpan w:val="3"/>
          </w:tcPr>
          <w:p>
            <w:pPr>
              <w:jc w:val="center"/>
              <w:ind w:right="260"/>
              <w:spacing w:after="0" w:line="99" w:lineRule="exact"/>
              <w:rPr>
                <w:sz w:val="20"/>
                <w:szCs w:val="20"/>
                <w:color w:val="auto"/>
              </w:rPr>
            </w:pPr>
            <w:r>
              <w:rPr>
                <w:rFonts w:ascii="Arial" w:cs="Arial" w:eastAsia="Arial" w:hAnsi="Arial"/>
                <w:sz w:val="10"/>
                <w:szCs w:val="10"/>
                <w:b w:val="1"/>
                <w:bCs w:val="1"/>
                <w:color w:val="auto"/>
                <w:w w:val="88"/>
              </w:rPr>
              <w:t>Long/(Short) September 30,</w:t>
            </w:r>
          </w:p>
        </w:tc>
        <w:tc>
          <w:tcPr>
            <w:tcW w:w="200" w:type="dxa"/>
            <w:vAlign w:val="bottom"/>
          </w:tcPr>
          <w:p>
            <w:pPr>
              <w:spacing w:after="0"/>
              <w:rPr>
                <w:sz w:val="8"/>
                <w:szCs w:val="8"/>
                <w:color w:val="auto"/>
              </w:rPr>
            </w:pPr>
          </w:p>
        </w:tc>
        <w:tc>
          <w:tcPr>
            <w:tcW w:w="1040" w:type="dxa"/>
            <w:vAlign w:val="bottom"/>
          </w:tcPr>
          <w:p>
            <w:pPr>
              <w:jc w:val="center"/>
              <w:ind w:right="168"/>
              <w:spacing w:after="0" w:line="99" w:lineRule="exact"/>
              <w:rPr>
                <w:sz w:val="20"/>
                <w:szCs w:val="20"/>
                <w:color w:val="auto"/>
              </w:rPr>
            </w:pPr>
            <w:r>
              <w:rPr>
                <w:rFonts w:ascii="Arial" w:cs="Arial" w:eastAsia="Arial" w:hAnsi="Arial"/>
                <w:sz w:val="10"/>
                <w:szCs w:val="10"/>
                <w:b w:val="1"/>
                <w:bCs w:val="1"/>
                <w:color w:val="auto"/>
                <w:w w:val="83"/>
              </w:rPr>
              <w:t>Income on</w:t>
            </w:r>
          </w:p>
        </w:tc>
        <w:tc>
          <w:tcPr>
            <w:tcW w:w="0" w:type="dxa"/>
            <w:vAlign w:val="bottom"/>
          </w:tcPr>
          <w:p>
            <w:pPr>
              <w:spacing w:after="0"/>
              <w:rPr>
                <w:sz w:val="1"/>
                <w:szCs w:val="1"/>
                <w:color w:val="auto"/>
              </w:rPr>
            </w:pPr>
          </w:p>
        </w:tc>
      </w:tr>
      <w:tr>
        <w:trPr>
          <w:trHeight w:val="128"/>
        </w:trPr>
        <w:tc>
          <w:tcPr>
            <w:tcW w:w="47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Derivative and Other Hedging Instruments</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jc w:val="center"/>
              <w:ind w:right="88"/>
              <w:spacing w:after="0"/>
              <w:rPr>
                <w:sz w:val="20"/>
                <w:szCs w:val="20"/>
                <w:color w:val="auto"/>
              </w:rPr>
            </w:pPr>
            <w:r>
              <w:rPr>
                <w:rFonts w:ascii="Arial" w:cs="Arial" w:eastAsia="Arial" w:hAnsi="Arial"/>
                <w:sz w:val="10"/>
                <w:szCs w:val="10"/>
                <w:b w:val="1"/>
                <w:bCs w:val="1"/>
                <w:color w:val="auto"/>
                <w:w w:val="84"/>
              </w:rPr>
              <w:t>December 31, 2014</w:t>
            </w:r>
          </w:p>
        </w:tc>
        <w:tc>
          <w:tcPr>
            <w:tcW w:w="120" w:type="dxa"/>
            <w:vAlign w:val="bottom"/>
            <w:tcBorders>
              <w:bottom w:val="single" w:sz="8" w:color="CCEEFF"/>
            </w:tcBorders>
          </w:tcPr>
          <w:p>
            <w:pPr>
              <w:spacing w:after="0"/>
              <w:rPr>
                <w:sz w:val="11"/>
                <w:szCs w:val="11"/>
                <w:color w:val="auto"/>
              </w:rPr>
            </w:pPr>
          </w:p>
        </w:tc>
        <w:tc>
          <w:tcPr>
            <w:tcW w:w="1160" w:type="dxa"/>
            <w:vAlign w:val="bottom"/>
            <w:tcBorders>
              <w:bottom w:val="single" w:sz="8" w:color="auto"/>
            </w:tcBorders>
          </w:tcPr>
          <w:p>
            <w:pPr>
              <w:jc w:val="right"/>
              <w:ind w:right="327"/>
              <w:spacing w:after="0"/>
              <w:rPr>
                <w:sz w:val="20"/>
                <w:szCs w:val="20"/>
                <w:color w:val="auto"/>
              </w:rPr>
            </w:pPr>
            <w:r>
              <w:rPr>
                <w:rFonts w:ascii="Arial" w:cs="Arial" w:eastAsia="Arial" w:hAnsi="Arial"/>
                <w:sz w:val="10"/>
                <w:szCs w:val="10"/>
                <w:b w:val="1"/>
                <w:bCs w:val="1"/>
                <w:color w:val="auto"/>
              </w:rPr>
              <w:t>Additions</w:t>
            </w:r>
          </w:p>
        </w:tc>
        <w:tc>
          <w:tcPr>
            <w:tcW w:w="100" w:type="dxa"/>
            <w:vAlign w:val="bottom"/>
            <w:tcBorders>
              <w:bottom w:val="single" w:sz="8" w:color="CCEEFF"/>
            </w:tcBorders>
          </w:tcPr>
          <w:p>
            <w:pPr>
              <w:spacing w:after="0"/>
              <w:rPr>
                <w:sz w:val="11"/>
                <w:szCs w:val="11"/>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Exercise</w:t>
            </w:r>
          </w:p>
        </w:tc>
        <w:tc>
          <w:tcPr>
            <w:tcW w:w="12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200" w:type="dxa"/>
            <w:vAlign w:val="bottom"/>
            <w:tcBorders>
              <w:bottom w:val="single" w:sz="8" w:color="auto"/>
            </w:tcBorders>
          </w:tcPr>
          <w:p>
            <w:pPr>
              <w:jc w:val="center"/>
              <w:ind w:right="8"/>
              <w:spacing w:after="0"/>
              <w:rPr>
                <w:sz w:val="20"/>
                <w:szCs w:val="20"/>
                <w:color w:val="auto"/>
              </w:rPr>
            </w:pPr>
            <w:r>
              <w:rPr>
                <w:rFonts w:ascii="Arial" w:cs="Arial" w:eastAsia="Arial" w:hAnsi="Arial"/>
                <w:sz w:val="10"/>
                <w:szCs w:val="10"/>
                <w:b w:val="1"/>
                <w:bCs w:val="1"/>
                <w:color w:val="auto"/>
                <w:w w:val="80"/>
              </w:rPr>
              <w:t>2015</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jc w:val="center"/>
              <w:ind w:right="148"/>
              <w:spacing w:after="0"/>
              <w:rPr>
                <w:sz w:val="20"/>
                <w:szCs w:val="20"/>
                <w:color w:val="auto"/>
              </w:rPr>
            </w:pPr>
            <w:r>
              <w:rPr>
                <w:rFonts w:ascii="Arial" w:cs="Arial" w:eastAsia="Arial" w:hAnsi="Arial"/>
                <w:sz w:val="10"/>
                <w:szCs w:val="10"/>
                <w:b w:val="1"/>
                <w:bCs w:val="1"/>
                <w:color w:val="auto"/>
                <w:w w:val="88"/>
              </w:rPr>
              <w:t xml:space="preserve">Derivatives </w:t>
            </w:r>
            <w:r>
              <w:rPr>
                <w:rFonts w:ascii="Arial" w:cs="Arial" w:eastAsia="Arial" w:hAnsi="Arial"/>
                <w:sz w:val="5"/>
                <w:szCs w:val="5"/>
                <w:b w:val="1"/>
                <w:bCs w:val="1"/>
                <w:color w:val="auto"/>
                <w:w w:val="88"/>
              </w:rPr>
              <w:t>1</w:t>
            </w:r>
          </w:p>
        </w:tc>
        <w:tc>
          <w:tcPr>
            <w:tcW w:w="0" w:type="dxa"/>
            <w:vAlign w:val="bottom"/>
          </w:tcPr>
          <w:p>
            <w:pPr>
              <w:spacing w:after="0"/>
              <w:rPr>
                <w:sz w:val="1"/>
                <w:szCs w:val="1"/>
                <w:color w:val="auto"/>
              </w:rPr>
            </w:pPr>
          </w:p>
        </w:tc>
      </w:tr>
      <w:tr>
        <w:trPr>
          <w:trHeight w:val="144"/>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TBA securities, net</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14,412</w:t>
            </w:r>
          </w:p>
        </w:tc>
        <w:tc>
          <w:tcPr>
            <w:tcW w:w="120" w:type="dxa"/>
            <w:vAlign w:val="bottom"/>
            <w:tcBorders>
              <w:bottom w:val="single" w:sz="8" w:color="CCEEFF"/>
            </w:tcBorders>
            <w:shd w:val="clear" w:color="auto" w:fill="CCEEFF"/>
          </w:tcPr>
          <w:p>
            <w:pPr>
              <w:spacing w:after="0"/>
              <w:rPr>
                <w:sz w:val="12"/>
                <w:szCs w:val="12"/>
                <w:color w:val="auto"/>
              </w:rPr>
            </w:pPr>
          </w:p>
        </w:tc>
        <w:tc>
          <w:tcPr>
            <w:tcW w:w="116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97,270</w:t>
            </w:r>
          </w:p>
        </w:tc>
        <w:tc>
          <w:tcPr>
            <w:tcW w:w="1380" w:type="dxa"/>
            <w:vAlign w:val="bottom"/>
            <w:tcBorders>
              <w:bottom w:val="single" w:sz="8" w:color="CCEEFF"/>
            </w:tcBorders>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(104,554)</w:t>
            </w:r>
          </w:p>
        </w:tc>
        <w:tc>
          <w:tcPr>
            <w:tcW w:w="120" w:type="dxa"/>
            <w:vAlign w:val="bottom"/>
            <w:tcBorders>
              <w:bottom w:val="single" w:sz="8" w:color="CCEEFF"/>
            </w:tcBorders>
            <w:shd w:val="clear" w:color="auto" w:fill="CCEEFF"/>
          </w:tcPr>
          <w:p>
            <w:pPr>
              <w:spacing w:after="0"/>
              <w:rPr>
                <w:sz w:val="12"/>
                <w:szCs w:val="12"/>
                <w:color w:val="auto"/>
              </w:rPr>
            </w:pPr>
          </w:p>
        </w:tc>
        <w:tc>
          <w:tcPr>
            <w:tcW w:w="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7,128</w:t>
            </w:r>
          </w:p>
        </w:tc>
        <w:tc>
          <w:tcPr>
            <w:tcW w:w="120" w:type="dxa"/>
            <w:vAlign w:val="bottom"/>
            <w:tcBorders>
              <w:bottom w:val="single" w:sz="8" w:color="CCEEFF"/>
              <w:right w:val="single" w:sz="8" w:color="auto"/>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10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337</w:t>
            </w:r>
          </w:p>
        </w:tc>
        <w:tc>
          <w:tcPr>
            <w:tcW w:w="0" w:type="dxa"/>
            <w:vAlign w:val="bottom"/>
          </w:tcPr>
          <w:p>
            <w:pPr>
              <w:spacing w:after="0"/>
              <w:rPr>
                <w:sz w:val="1"/>
                <w:szCs w:val="1"/>
                <w:color w:val="auto"/>
              </w:rPr>
            </w:pP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Interest rate swaps</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28"/>
              <w:spacing w:after="0"/>
              <w:rPr>
                <w:sz w:val="20"/>
                <w:szCs w:val="20"/>
                <w:color w:val="auto"/>
              </w:rPr>
            </w:pPr>
            <w:r>
              <w:rPr>
                <w:rFonts w:ascii="Arial" w:cs="Arial" w:eastAsia="Arial" w:hAnsi="Arial"/>
                <w:sz w:val="11"/>
                <w:szCs w:val="11"/>
                <w:color w:val="auto"/>
              </w:rPr>
              <w:t>(43,700)</w:t>
            </w:r>
          </w:p>
        </w:tc>
        <w:tc>
          <w:tcPr>
            <w:tcW w:w="120" w:type="dxa"/>
            <w:vAlign w:val="bottom"/>
          </w:tcPr>
          <w:p>
            <w:pPr>
              <w:spacing w:after="0"/>
              <w:rPr>
                <w:sz w:val="13"/>
                <w:szCs w:val="13"/>
                <w:color w:val="auto"/>
              </w:rPr>
            </w:pPr>
          </w:p>
        </w:tc>
        <w:tc>
          <w:tcPr>
            <w:tcW w:w="1160" w:type="dxa"/>
            <w:vAlign w:val="bottom"/>
          </w:tcPr>
          <w:p>
            <w:pPr>
              <w:jc w:val="right"/>
              <w:ind w:right="27"/>
              <w:spacing w:after="0"/>
              <w:rPr>
                <w:sz w:val="20"/>
                <w:szCs w:val="20"/>
                <w:color w:val="auto"/>
              </w:rPr>
            </w:pPr>
            <w:r>
              <w:rPr>
                <w:rFonts w:ascii="Arial" w:cs="Arial" w:eastAsia="Arial" w:hAnsi="Arial"/>
                <w:sz w:val="11"/>
                <w:szCs w:val="11"/>
                <w:color w:val="auto"/>
              </w:rPr>
              <w:t>(4,950)</w:t>
            </w:r>
          </w:p>
        </w:tc>
        <w:tc>
          <w:tcPr>
            <w:tcW w:w="1380" w:type="dxa"/>
            <w:vAlign w:val="bottom"/>
            <w:gridSpan w:val="2"/>
          </w:tcPr>
          <w:p>
            <w:pPr>
              <w:jc w:val="right"/>
              <w:ind w:right="72"/>
              <w:spacing w:after="0"/>
              <w:rPr>
                <w:sz w:val="20"/>
                <w:szCs w:val="20"/>
                <w:color w:val="auto"/>
              </w:rPr>
            </w:pPr>
            <w:r>
              <w:rPr>
                <w:rFonts w:ascii="Arial" w:cs="Arial" w:eastAsia="Arial" w:hAnsi="Arial"/>
                <w:sz w:val="11"/>
                <w:szCs w:val="11"/>
                <w:color w:val="auto"/>
              </w:rPr>
              <w:t>3,475</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28"/>
              <w:spacing w:after="0"/>
              <w:rPr>
                <w:sz w:val="20"/>
                <w:szCs w:val="20"/>
                <w:color w:val="auto"/>
              </w:rPr>
            </w:pPr>
            <w:r>
              <w:rPr>
                <w:rFonts w:ascii="Arial" w:cs="Arial" w:eastAsia="Arial" w:hAnsi="Arial"/>
                <w:sz w:val="11"/>
                <w:szCs w:val="11"/>
                <w:color w:val="auto"/>
              </w:rPr>
              <w:t>(45,175)</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28"/>
              <w:spacing w:after="0"/>
              <w:rPr>
                <w:sz w:val="20"/>
                <w:szCs w:val="20"/>
                <w:color w:val="auto"/>
              </w:rPr>
            </w:pPr>
            <w:r>
              <w:rPr>
                <w:rFonts w:ascii="Arial" w:cs="Arial" w:eastAsia="Arial" w:hAnsi="Arial"/>
                <w:sz w:val="11"/>
                <w:szCs w:val="11"/>
                <w:color w:val="auto"/>
              </w:rPr>
              <w:t>(1,278)</w:t>
            </w:r>
          </w:p>
        </w:tc>
        <w:tc>
          <w:tcPr>
            <w:tcW w:w="0" w:type="dxa"/>
            <w:vAlign w:val="bottom"/>
          </w:tcPr>
          <w:p>
            <w:pPr>
              <w:spacing w:after="0"/>
              <w:rPr>
                <w:sz w:val="1"/>
                <w:szCs w:val="1"/>
                <w:color w:val="auto"/>
              </w:rPr>
            </w:pP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Payer swaptions</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(6,800)</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(500)</w:t>
            </w:r>
          </w:p>
        </w:tc>
        <w:tc>
          <w:tcPr>
            <w:tcW w:w="1380" w:type="dxa"/>
            <w:vAlign w:val="bottom"/>
            <w:tcBorders>
              <w:bottom w:val="single" w:sz="8" w:color="CCEEFF"/>
            </w:tcBorders>
            <w:gridSpan w:val="2"/>
            <w:shd w:val="clear" w:color="auto" w:fill="CCEEFF"/>
          </w:tcPr>
          <w:p>
            <w:pPr>
              <w:jc w:val="right"/>
              <w:ind w:right="72"/>
              <w:spacing w:after="0"/>
              <w:rPr>
                <w:sz w:val="20"/>
                <w:szCs w:val="20"/>
                <w:color w:val="auto"/>
              </w:rPr>
            </w:pPr>
            <w:r>
              <w:rPr>
                <w:rFonts w:ascii="Arial" w:cs="Arial" w:eastAsia="Arial" w:hAnsi="Arial"/>
                <w:sz w:val="11"/>
                <w:szCs w:val="11"/>
                <w:color w:val="auto"/>
              </w:rPr>
              <w:t>3,650</w:t>
            </w: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(3,650)</w:t>
            </w:r>
          </w:p>
        </w:tc>
        <w:tc>
          <w:tcPr>
            <w:tcW w:w="120" w:type="dxa"/>
            <w:vAlign w:val="bottom"/>
            <w:tcBorders>
              <w:bottom w:val="single" w:sz="8" w:color="CCEEFF"/>
              <w:right w:val="single" w:sz="8" w:color="auto"/>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(27)</w:t>
            </w:r>
          </w:p>
        </w:tc>
        <w:tc>
          <w:tcPr>
            <w:tcW w:w="0" w:type="dxa"/>
            <w:vAlign w:val="bottom"/>
          </w:tcPr>
          <w:p>
            <w:pPr>
              <w:spacing w:after="0"/>
              <w:rPr>
                <w:sz w:val="1"/>
                <w:szCs w:val="1"/>
                <w:color w:val="auto"/>
              </w:rPr>
            </w:pP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Receiver swaptions</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68"/>
              <w:spacing w:after="0"/>
              <w:rPr>
                <w:sz w:val="20"/>
                <w:szCs w:val="20"/>
                <w:color w:val="auto"/>
              </w:rPr>
            </w:pPr>
            <w:r>
              <w:rPr>
                <w:rFonts w:ascii="Arial" w:cs="Arial" w:eastAsia="Arial" w:hAnsi="Arial"/>
                <w:sz w:val="11"/>
                <w:szCs w:val="11"/>
                <w:color w:val="auto"/>
              </w:rPr>
              <w:t>4,250</w:t>
            </w:r>
          </w:p>
        </w:tc>
        <w:tc>
          <w:tcPr>
            <w:tcW w:w="120" w:type="dxa"/>
            <w:vAlign w:val="bottom"/>
          </w:tcPr>
          <w:p>
            <w:pPr>
              <w:spacing w:after="0"/>
              <w:rPr>
                <w:sz w:val="13"/>
                <w:szCs w:val="13"/>
                <w:color w:val="auto"/>
              </w:rPr>
            </w:pPr>
          </w:p>
        </w:tc>
        <w:tc>
          <w:tcPr>
            <w:tcW w:w="1160" w:type="dxa"/>
            <w:vAlign w:val="bottom"/>
          </w:tcPr>
          <w:p>
            <w:pPr>
              <w:jc w:val="right"/>
              <w:ind w:right="67"/>
              <w:spacing w:after="0"/>
              <w:rPr>
                <w:sz w:val="20"/>
                <w:szCs w:val="20"/>
                <w:color w:val="auto"/>
              </w:rPr>
            </w:pPr>
            <w:r>
              <w:rPr>
                <w:rFonts w:ascii="Arial" w:cs="Arial" w:eastAsia="Arial" w:hAnsi="Arial"/>
                <w:sz w:val="11"/>
                <w:szCs w:val="11"/>
                <w:color w:val="auto"/>
              </w:rPr>
              <w:t>—</w:t>
            </w:r>
          </w:p>
        </w:tc>
        <w:tc>
          <w:tcPr>
            <w:tcW w:w="1380" w:type="dxa"/>
            <w:vAlign w:val="bottom"/>
            <w:gridSpan w:val="2"/>
          </w:tcPr>
          <w:p>
            <w:pPr>
              <w:jc w:val="right"/>
              <w:ind w:right="32"/>
              <w:spacing w:after="0"/>
              <w:rPr>
                <w:sz w:val="20"/>
                <w:szCs w:val="20"/>
                <w:color w:val="auto"/>
              </w:rPr>
            </w:pPr>
            <w:r>
              <w:rPr>
                <w:rFonts w:ascii="Arial" w:cs="Arial" w:eastAsia="Arial" w:hAnsi="Arial"/>
                <w:sz w:val="11"/>
                <w:szCs w:val="11"/>
                <w:color w:val="auto"/>
              </w:rPr>
              <w:t>(4,250)</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320" w:type="dxa"/>
            <w:vAlign w:val="bottom"/>
            <w:tcBorders>
              <w:right w:val="single" w:sz="8" w:color="auto"/>
            </w:tcBorders>
            <w:gridSpan w:val="2"/>
          </w:tcPr>
          <w:p>
            <w:pPr>
              <w:jc w:val="right"/>
              <w:ind w:right="240"/>
              <w:spacing w:after="0"/>
              <w:rPr>
                <w:sz w:val="20"/>
                <w:szCs w:val="20"/>
                <w:color w:val="auto"/>
              </w:rPr>
            </w:pPr>
            <w:r>
              <w:rPr>
                <w:rFonts w:ascii="Arial" w:cs="Arial" w:eastAsia="Arial" w:hAnsi="Arial"/>
                <w:sz w:val="11"/>
                <w:szCs w:val="11"/>
                <w:color w:val="auto"/>
              </w:rPr>
              <w:t>—</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68"/>
              <w:spacing w:after="0"/>
              <w:rPr>
                <w:sz w:val="20"/>
                <w:szCs w:val="20"/>
                <w:color w:val="auto"/>
              </w:rPr>
            </w:pPr>
            <w:r>
              <w:rPr>
                <w:rFonts w:ascii="Arial" w:cs="Arial" w:eastAsia="Arial" w:hAnsi="Arial"/>
                <w:sz w:val="11"/>
                <w:szCs w:val="11"/>
                <w:color w:val="auto"/>
              </w:rPr>
              <w:t>4</w:t>
            </w:r>
          </w:p>
        </w:tc>
        <w:tc>
          <w:tcPr>
            <w:tcW w:w="0" w:type="dxa"/>
            <w:vAlign w:val="bottom"/>
          </w:tcPr>
          <w:p>
            <w:pPr>
              <w:spacing w:after="0"/>
              <w:rPr>
                <w:sz w:val="1"/>
                <w:szCs w:val="1"/>
                <w:color w:val="auto"/>
              </w:rPr>
            </w:pP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securities - short position</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(5,392)</w:t>
            </w:r>
          </w:p>
        </w:tc>
        <w:tc>
          <w:tcPr>
            <w:tcW w:w="120" w:type="dxa"/>
            <w:vAlign w:val="bottom"/>
            <w:tcBorders>
              <w:bottom w:val="single" w:sz="8" w:color="CCEEFF"/>
            </w:tcBorders>
            <w:shd w:val="clear" w:color="auto" w:fill="CCEEFF"/>
          </w:tcPr>
          <w:p>
            <w:pPr>
              <w:spacing w:after="0"/>
              <w:rPr>
                <w:sz w:val="13"/>
                <w:szCs w:val="13"/>
                <w:color w:val="auto"/>
              </w:rPr>
            </w:pPr>
          </w:p>
        </w:tc>
        <w:tc>
          <w:tcPr>
            <w:tcW w:w="116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(10,732)</w:t>
            </w:r>
          </w:p>
        </w:tc>
        <w:tc>
          <w:tcPr>
            <w:tcW w:w="1380" w:type="dxa"/>
            <w:vAlign w:val="bottom"/>
            <w:tcBorders>
              <w:bottom w:val="single" w:sz="8" w:color="CCEEFF"/>
            </w:tcBorders>
            <w:gridSpan w:val="2"/>
            <w:shd w:val="clear" w:color="auto" w:fill="CCEEFF"/>
          </w:tcPr>
          <w:p>
            <w:pPr>
              <w:jc w:val="right"/>
              <w:ind w:right="72"/>
              <w:spacing w:after="0"/>
              <w:rPr>
                <w:sz w:val="20"/>
                <w:szCs w:val="20"/>
                <w:color w:val="auto"/>
              </w:rPr>
            </w:pPr>
            <w:r>
              <w:rPr>
                <w:rFonts w:ascii="Arial" w:cs="Arial" w:eastAsia="Arial" w:hAnsi="Arial"/>
                <w:sz w:val="11"/>
                <w:szCs w:val="11"/>
                <w:color w:val="auto"/>
              </w:rPr>
              <w:t>14,823</w:t>
            </w: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(1,301)</w:t>
            </w:r>
          </w:p>
        </w:tc>
        <w:tc>
          <w:tcPr>
            <w:tcW w:w="120" w:type="dxa"/>
            <w:vAlign w:val="bottom"/>
            <w:tcBorders>
              <w:bottom w:val="single" w:sz="8" w:color="CCEEFF"/>
              <w:right w:val="single" w:sz="8" w:color="auto"/>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0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(89)</w:t>
            </w:r>
          </w:p>
        </w:tc>
        <w:tc>
          <w:tcPr>
            <w:tcW w:w="0" w:type="dxa"/>
            <w:vAlign w:val="bottom"/>
          </w:tcPr>
          <w:p>
            <w:pPr>
              <w:spacing w:after="0"/>
              <w:rPr>
                <w:sz w:val="1"/>
                <w:szCs w:val="1"/>
                <w:color w:val="auto"/>
              </w:rPr>
            </w:pPr>
          </w:p>
        </w:tc>
      </w:tr>
      <w:tr>
        <w:trPr>
          <w:trHeight w:val="158"/>
        </w:trPr>
        <w:tc>
          <w:tcPr>
            <w:tcW w:w="4820" w:type="dxa"/>
            <w:vAlign w:val="bottom"/>
            <w:gridSpan w:val="2"/>
          </w:tcPr>
          <w:p>
            <w:pPr>
              <w:ind w:left="20"/>
              <w:spacing w:after="0"/>
              <w:rPr>
                <w:sz w:val="20"/>
                <w:szCs w:val="20"/>
                <w:color w:val="auto"/>
              </w:rPr>
            </w:pPr>
            <w:r>
              <w:rPr>
                <w:rFonts w:ascii="Arial" w:cs="Arial" w:eastAsia="Arial" w:hAnsi="Arial"/>
                <w:sz w:val="11"/>
                <w:szCs w:val="11"/>
                <w:color w:val="auto"/>
              </w:rPr>
              <w:t>U.S. Treasury securities - long position</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ind w:right="68"/>
              <w:spacing w:after="0"/>
              <w:rPr>
                <w:sz w:val="20"/>
                <w:szCs w:val="20"/>
                <w:color w:val="auto"/>
              </w:rPr>
            </w:pPr>
            <w:r>
              <w:rPr>
                <w:rFonts w:ascii="Arial" w:cs="Arial" w:eastAsia="Arial" w:hAnsi="Arial"/>
                <w:sz w:val="11"/>
                <w:szCs w:val="11"/>
                <w:color w:val="auto"/>
              </w:rPr>
              <w:t>2,411</w:t>
            </w:r>
          </w:p>
        </w:tc>
        <w:tc>
          <w:tcPr>
            <w:tcW w:w="120" w:type="dxa"/>
            <w:vAlign w:val="bottom"/>
          </w:tcPr>
          <w:p>
            <w:pPr>
              <w:spacing w:after="0"/>
              <w:rPr>
                <w:sz w:val="13"/>
                <w:szCs w:val="13"/>
                <w:color w:val="auto"/>
              </w:rPr>
            </w:pPr>
          </w:p>
        </w:tc>
        <w:tc>
          <w:tcPr>
            <w:tcW w:w="1160" w:type="dxa"/>
            <w:vAlign w:val="bottom"/>
          </w:tcPr>
          <w:p>
            <w:pPr>
              <w:jc w:val="right"/>
              <w:ind w:right="67"/>
              <w:spacing w:after="0"/>
              <w:rPr>
                <w:sz w:val="20"/>
                <w:szCs w:val="20"/>
                <w:color w:val="auto"/>
              </w:rPr>
            </w:pPr>
            <w:r>
              <w:rPr>
                <w:rFonts w:ascii="Arial" w:cs="Arial" w:eastAsia="Arial" w:hAnsi="Arial"/>
                <w:sz w:val="11"/>
                <w:szCs w:val="11"/>
                <w:color w:val="auto"/>
              </w:rPr>
              <w:t>31,915</w:t>
            </w:r>
          </w:p>
        </w:tc>
        <w:tc>
          <w:tcPr>
            <w:tcW w:w="1380" w:type="dxa"/>
            <w:vAlign w:val="bottom"/>
            <w:gridSpan w:val="2"/>
          </w:tcPr>
          <w:p>
            <w:pPr>
              <w:jc w:val="right"/>
              <w:ind w:right="32"/>
              <w:spacing w:after="0"/>
              <w:rPr>
                <w:sz w:val="20"/>
                <w:szCs w:val="20"/>
                <w:color w:val="auto"/>
              </w:rPr>
            </w:pPr>
            <w:r>
              <w:rPr>
                <w:rFonts w:ascii="Arial" w:cs="Arial" w:eastAsia="Arial" w:hAnsi="Arial"/>
                <w:sz w:val="11"/>
                <w:szCs w:val="11"/>
                <w:color w:val="auto"/>
              </w:rPr>
              <w:t>(33,551)</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68"/>
              <w:spacing w:after="0"/>
              <w:rPr>
                <w:sz w:val="20"/>
                <w:szCs w:val="20"/>
                <w:color w:val="auto"/>
              </w:rPr>
            </w:pPr>
            <w:r>
              <w:rPr>
                <w:rFonts w:ascii="Arial" w:cs="Arial" w:eastAsia="Arial" w:hAnsi="Arial"/>
                <w:sz w:val="11"/>
                <w:szCs w:val="11"/>
                <w:color w:val="auto"/>
              </w:rPr>
              <w:t>775</w:t>
            </w:r>
          </w:p>
        </w:tc>
        <w:tc>
          <w:tcPr>
            <w:tcW w:w="1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40" w:type="dxa"/>
            <w:vAlign w:val="bottom"/>
          </w:tcPr>
          <w:p>
            <w:pPr>
              <w:jc w:val="right"/>
              <w:ind w:right="28"/>
              <w:spacing w:after="0"/>
              <w:rPr>
                <w:sz w:val="20"/>
                <w:szCs w:val="20"/>
                <w:color w:val="auto"/>
              </w:rPr>
            </w:pPr>
            <w:r>
              <w:rPr>
                <w:rFonts w:ascii="Arial" w:cs="Arial" w:eastAsia="Arial" w:hAnsi="Arial"/>
                <w:sz w:val="11"/>
                <w:szCs w:val="11"/>
                <w:color w:val="auto"/>
              </w:rPr>
              <w:t>(35)</w:t>
            </w:r>
          </w:p>
        </w:tc>
        <w:tc>
          <w:tcPr>
            <w:tcW w:w="0" w:type="dxa"/>
            <w:vAlign w:val="bottom"/>
          </w:tcPr>
          <w:p>
            <w:pPr>
              <w:spacing w:after="0"/>
              <w:rPr>
                <w:sz w:val="1"/>
                <w:szCs w:val="1"/>
                <w:color w:val="auto"/>
              </w:rPr>
            </w:pPr>
          </w:p>
        </w:tc>
      </w:tr>
      <w:tr>
        <w:trPr>
          <w:trHeight w:val="22"/>
        </w:trPr>
        <w:tc>
          <w:tcPr>
            <w:tcW w:w="47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48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futures contracts - short position</w:t>
            </w:r>
          </w:p>
        </w:tc>
        <w:tc>
          <w:tcPr>
            <w:tcW w:w="140" w:type="dxa"/>
            <w:vAlign w:val="bottom"/>
            <w:tcBorders>
              <w:bottom w:val="single" w:sz="8" w:color="CCEEFF"/>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(730)</w:t>
            </w:r>
          </w:p>
        </w:tc>
        <w:tc>
          <w:tcPr>
            <w:tcW w:w="120" w:type="dxa"/>
            <w:vAlign w:val="bottom"/>
            <w:tcBorders>
              <w:bottom w:val="single" w:sz="8" w:color="CCEEFF"/>
            </w:tcBorders>
            <w:shd w:val="clear" w:color="auto" w:fill="CCEEFF"/>
          </w:tcPr>
          <w:p>
            <w:pPr>
              <w:spacing w:after="0"/>
              <w:rPr>
                <w:sz w:val="15"/>
                <w:szCs w:val="15"/>
                <w:color w:val="auto"/>
              </w:rPr>
            </w:pPr>
          </w:p>
        </w:tc>
        <w:tc>
          <w:tcPr>
            <w:tcW w:w="116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(2,190)</w:t>
            </w:r>
          </w:p>
        </w:tc>
        <w:tc>
          <w:tcPr>
            <w:tcW w:w="1380" w:type="dxa"/>
            <w:vAlign w:val="bottom"/>
            <w:tcBorders>
              <w:bottom w:val="single" w:sz="8" w:color="CCEEFF"/>
            </w:tcBorders>
            <w:gridSpan w:val="2"/>
            <w:shd w:val="clear" w:color="auto" w:fill="CCEEFF"/>
          </w:tcPr>
          <w:p>
            <w:pPr>
              <w:jc w:val="right"/>
              <w:ind w:right="72"/>
              <w:spacing w:after="0"/>
              <w:rPr>
                <w:sz w:val="20"/>
                <w:szCs w:val="20"/>
                <w:color w:val="auto"/>
              </w:rPr>
            </w:pPr>
            <w:r>
              <w:rPr>
                <w:rFonts w:ascii="Arial" w:cs="Arial" w:eastAsia="Arial" w:hAnsi="Arial"/>
                <w:sz w:val="11"/>
                <w:szCs w:val="11"/>
                <w:color w:val="auto"/>
              </w:rPr>
              <w:t>2,190</w:t>
            </w:r>
          </w:p>
        </w:tc>
        <w:tc>
          <w:tcPr>
            <w:tcW w:w="120" w:type="dxa"/>
            <w:vAlign w:val="bottom"/>
            <w:tcBorders>
              <w:bottom w:val="single" w:sz="8" w:color="CCEEFF"/>
            </w:tcBorders>
            <w:shd w:val="clear" w:color="auto" w:fill="CCEEFF"/>
          </w:tcPr>
          <w:p>
            <w:pPr>
              <w:spacing w:after="0"/>
              <w:rPr>
                <w:sz w:val="15"/>
                <w:szCs w:val="15"/>
                <w:color w:val="auto"/>
              </w:rPr>
            </w:pPr>
          </w:p>
        </w:tc>
        <w:tc>
          <w:tcPr>
            <w:tcW w:w="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(730)</w:t>
            </w:r>
          </w:p>
        </w:tc>
        <w:tc>
          <w:tcPr>
            <w:tcW w:w="120" w:type="dxa"/>
            <w:vAlign w:val="bottom"/>
            <w:tcBorders>
              <w:bottom w:val="single" w:sz="8" w:color="CCEEFF"/>
              <w:right w:val="single" w:sz="8" w:color="auto"/>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1040" w:type="dxa"/>
            <w:vAlign w:val="bottom"/>
            <w:tcBorders>
              <w:bottom w:val="single" w:sz="8" w:color="CCEEFF"/>
            </w:tcBorders>
            <w:shd w:val="clear" w:color="auto" w:fill="CCEEFF"/>
          </w:tcPr>
          <w:p>
            <w:pPr>
              <w:jc w:val="right"/>
              <w:ind w:right="28"/>
              <w:spacing w:after="0"/>
              <w:rPr>
                <w:sz w:val="20"/>
                <w:szCs w:val="20"/>
                <w:color w:val="auto"/>
              </w:rPr>
            </w:pPr>
            <w:r>
              <w:rPr>
                <w:rFonts w:ascii="Arial" w:cs="Arial" w:eastAsia="Arial" w:hAnsi="Arial"/>
                <w:sz w:val="11"/>
                <w:szCs w:val="11"/>
                <w:color w:val="auto"/>
              </w:rPr>
              <w:t>(28)</w:t>
            </w:r>
          </w:p>
        </w:tc>
        <w:tc>
          <w:tcPr>
            <w:tcW w:w="0" w:type="dxa"/>
            <w:vAlign w:val="bottom"/>
          </w:tcPr>
          <w:p>
            <w:pPr>
              <w:spacing w:after="0"/>
              <w:rPr>
                <w:sz w:val="1"/>
                <w:szCs w:val="1"/>
                <w:color w:val="auto"/>
              </w:rPr>
            </w:pPr>
          </w:p>
        </w:tc>
      </w:tr>
      <w:tr>
        <w:trPr>
          <w:trHeight w:val="138"/>
        </w:trPr>
        <w:tc>
          <w:tcPr>
            <w:tcW w:w="47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Borders>
              <w:top w:val="single" w:sz="8" w:color="auto"/>
            </w:tcBorders>
          </w:tcPr>
          <w:p>
            <w:pPr>
              <w:jc w:val="right"/>
              <w:ind w:right="91"/>
              <w:spacing w:after="0"/>
              <w:rPr>
                <w:sz w:val="20"/>
                <w:szCs w:val="20"/>
                <w:color w:val="auto"/>
              </w:rPr>
            </w:pPr>
            <w:r>
              <w:rPr>
                <w:rFonts w:ascii="Arial" w:cs="Arial" w:eastAsia="Arial" w:hAnsi="Arial"/>
                <w:sz w:val="10"/>
                <w:szCs w:val="10"/>
                <w:color w:val="auto"/>
                <w:w w:val="71"/>
              </w:rPr>
              <w:t>$</w:t>
            </w:r>
          </w:p>
        </w:tc>
        <w:tc>
          <w:tcPr>
            <w:tcW w:w="1040" w:type="dxa"/>
            <w:vAlign w:val="bottom"/>
            <w:tcBorders>
              <w:top w:val="single" w:sz="8" w:color="auto"/>
            </w:tcBorders>
          </w:tcPr>
          <w:p>
            <w:pPr>
              <w:jc w:val="right"/>
              <w:ind w:right="28"/>
              <w:spacing w:after="0"/>
              <w:rPr>
                <w:sz w:val="20"/>
                <w:szCs w:val="20"/>
                <w:color w:val="auto"/>
              </w:rPr>
            </w:pPr>
            <w:r>
              <w:rPr>
                <w:rFonts w:ascii="Arial" w:cs="Arial" w:eastAsia="Arial" w:hAnsi="Arial"/>
                <w:sz w:val="11"/>
                <w:szCs w:val="11"/>
                <w:color w:val="auto"/>
              </w:rPr>
              <w:t>(1,116)</w:t>
            </w:r>
          </w:p>
        </w:tc>
        <w:tc>
          <w:tcPr>
            <w:tcW w:w="0" w:type="dxa"/>
            <w:vAlign w:val="bottom"/>
          </w:tcPr>
          <w:p>
            <w:pPr>
              <w:spacing w:after="0"/>
              <w:rPr>
                <w:sz w:val="1"/>
                <w:szCs w:val="1"/>
                <w:color w:val="auto"/>
              </w:rPr>
            </w:pPr>
          </w:p>
        </w:tc>
      </w:tr>
      <w:tr>
        <w:trPr>
          <w:trHeight w:val="29"/>
        </w:trPr>
        <w:tc>
          <w:tcPr>
            <w:tcW w:w="4700" w:type="dxa"/>
            <w:vAlign w:val="bottom"/>
            <w:vMerge w:val="restart"/>
          </w:tcPr>
          <w:p>
            <w:pPr>
              <w:ind w:left="60"/>
              <w:spacing w:after="0"/>
              <w:rPr>
                <w:sz w:val="20"/>
                <w:szCs w:val="20"/>
                <w:color w:val="auto"/>
              </w:rPr>
            </w:pPr>
            <w:r>
              <w:rPr>
                <w:rFonts w:ascii="Arial" w:cs="Arial" w:eastAsia="Arial" w:hAnsi="Arial"/>
                <w:sz w:val="12"/>
                <w:szCs w:val="12"/>
                <w:color w:val="auto"/>
              </w:rPr>
              <w:t>______________________</w:t>
            </w:r>
          </w:p>
        </w:tc>
        <w:tc>
          <w:tcPr>
            <w:tcW w:w="1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0" w:type="dxa"/>
            <w:vAlign w:val="bottom"/>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40"/>
        </w:trPr>
        <w:tc>
          <w:tcPr>
            <w:tcW w:w="4700" w:type="dxa"/>
            <w:vAlign w:val="bottom"/>
            <w:vMerge w:val="continue"/>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0" w:type="dxa"/>
            <w:vAlign w:val="bottom"/>
          </w:tcPr>
          <w:p>
            <w:pPr>
              <w:spacing w:after="0"/>
              <w:rPr>
                <w:sz w:val="1"/>
                <w:szCs w:val="1"/>
                <w:color w:val="auto"/>
              </w:rPr>
            </w:pPr>
          </w:p>
        </w:tc>
      </w:tr>
    </w:tbl>
    <w:p>
      <w:pPr>
        <w:ind w:left="420" w:hanging="212"/>
        <w:spacing w:after="0" w:line="231" w:lineRule="auto"/>
        <w:tabs>
          <w:tab w:leader="none" w:pos="420" w:val="left"/>
        </w:tabs>
        <w:numPr>
          <w:ilvl w:val="0"/>
          <w:numId w:val="13"/>
        </w:numPr>
        <w:rPr>
          <w:rFonts w:ascii="Arial" w:cs="Arial" w:eastAsia="Arial" w:hAnsi="Arial"/>
          <w:sz w:val="10"/>
          <w:szCs w:val="10"/>
          <w:color w:val="auto"/>
        </w:rPr>
      </w:pPr>
      <w:r>
        <w:rPr>
          <w:rFonts w:ascii="Arial" w:cs="Arial" w:eastAsia="Arial" w:hAnsi="Arial"/>
          <w:sz w:val="10"/>
          <w:szCs w:val="10"/>
          <w:color w:val="auto"/>
        </w:rPr>
        <w:t>Excludes a net gain of $16 million from debt of consolidate VIEs, a net gain of $14 million from interest and principal-only securities and other miscellaneous net losses of $4 million recognized in gain (loss) on derivative instruments and other securities, net in our consolidated statements of comprehensive income.</w:t>
      </w:r>
    </w:p>
    <w:p>
      <w:pPr>
        <w:spacing w:after="0" w:line="131"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7. Pledged Assets</w:t>
      </w:r>
    </w:p>
    <w:p>
      <w:pPr>
        <w:spacing w:after="0" w:line="118" w:lineRule="exact"/>
        <w:rPr>
          <w:sz w:val="20"/>
          <w:szCs w:val="20"/>
          <w:color w:val="auto"/>
        </w:rPr>
      </w:pPr>
    </w:p>
    <w:p>
      <w:pPr>
        <w:jc w:val="both"/>
        <w:ind w:firstLine="270"/>
        <w:spacing w:after="0" w:line="257" w:lineRule="auto"/>
        <w:rPr>
          <w:sz w:val="20"/>
          <w:szCs w:val="20"/>
          <w:color w:val="auto"/>
        </w:rPr>
      </w:pPr>
      <w:r>
        <w:rPr>
          <w:rFonts w:ascii="Arial" w:cs="Arial" w:eastAsia="Arial" w:hAnsi="Arial"/>
          <w:sz w:val="12"/>
          <w:szCs w:val="12"/>
          <w:color w:val="auto"/>
        </w:rPr>
        <w:t>Our funding agreements require us to fully collateralize our obligations under the agreements based upon our counterparties' collateral requirements and their determination of the fair value of the securities pledged as collateral, which fluctuates with changes in interest rates, credit quality and liquidity conditions within the investment banking, mortgage finance and real estate industries. Our derivative contracts similarly require us to fully collateralize our obligations under such agreements, which will vary over time based on similar factors as well as our counterparties' determination of the value of the derivative contract. We are typically required to post initial collateral upon execution of derivative transactions, such as under our interest rate swap agreements and TBA contracts. If we breach our collateral requirements, we will be required to fully settle our obligations under the agreements, which could include a forced liquidation of our pledged collateral.</w:t>
      </w:r>
    </w:p>
    <w:p>
      <w:pPr>
        <w:spacing w:after="0" w:line="90" w:lineRule="exact"/>
        <w:rPr>
          <w:sz w:val="20"/>
          <w:szCs w:val="20"/>
          <w:color w:val="auto"/>
        </w:rPr>
      </w:pPr>
    </w:p>
    <w:p>
      <w:pPr>
        <w:jc w:val="both"/>
        <w:ind w:firstLine="270"/>
        <w:spacing w:after="0" w:line="290" w:lineRule="auto"/>
        <w:rPr>
          <w:sz w:val="20"/>
          <w:szCs w:val="20"/>
          <w:color w:val="auto"/>
        </w:rPr>
      </w:pPr>
      <w:r>
        <w:rPr>
          <w:rFonts w:ascii="Arial" w:cs="Arial" w:eastAsia="Arial" w:hAnsi="Arial"/>
          <w:sz w:val="11"/>
          <w:szCs w:val="11"/>
          <w:color w:val="auto"/>
        </w:rPr>
        <w:t>Our counterparties also apply a "haircut" to our pledged collateral, which means our collateral is valued at slightly less than market value and limits the amount we can borrow against our securities. This haircut reflects the underlying risk of the specific collateral and protects our counterparty against a change in its value. Our agreements do not specify the haircut; rather haircuts are determined on an individual transaction basis. Additionally, the FHLB of Des Moines may adjust the haircut on our outstanding FHLB advances at any time prior to maturity. As a condition of our membership in the FHLB of Des Moines, we are also obligated to purchase membership stock in the FHLB based upon the total assets of our wholly-owned captive insurance company and activity-based stock in the FHLB based upon the aggregate amount of advances obtained from the FHLB.</w:t>
      </w:r>
    </w:p>
    <w:p>
      <w:pPr>
        <w:spacing w:after="0" w:line="73" w:lineRule="exact"/>
        <w:rPr>
          <w:sz w:val="20"/>
          <w:szCs w:val="20"/>
          <w:color w:val="auto"/>
        </w:rPr>
      </w:pPr>
    </w:p>
    <w:p>
      <w:pPr>
        <w:jc w:val="both"/>
        <w:ind w:firstLine="288"/>
        <w:spacing w:after="0" w:line="286" w:lineRule="auto"/>
        <w:rPr>
          <w:sz w:val="20"/>
          <w:szCs w:val="20"/>
          <w:color w:val="auto"/>
        </w:rPr>
      </w:pPr>
      <w:r>
        <w:rPr>
          <w:rFonts w:ascii="Arial" w:cs="Arial" w:eastAsia="Arial" w:hAnsi="Arial"/>
          <w:sz w:val="11"/>
          <w:szCs w:val="11"/>
          <w:color w:val="auto"/>
        </w:rPr>
        <w:t>Consequently, our funding agreements and derivative contracts expose us to credit risk relating to potential losses that could be recognized in the event that our counterparties fail to perform their obligations under such agreements. We minimize this risk by limiting our counterparties to major financial institutions with acceptable credit ratings or to registered clearinghouses and U.S. government agencies and we monitor our positions with individual counterparties. In the event of a default by a counterparty we may have difficulty obtaining our assets pledged as collateral to such counterparty and may not receive payments provided for under the terms of our derivative agreements. In the case of centrally cleared instruments, we could be exposed to credit risk if the central clearing agency or a clearing member defaults on its respective obligation to perform under the contract. However, we believe that the risk is minimal due to the clearing exchanges' initial and daily mark to market margin requirements and clearinghouse guarantee funds and other resources that are available in the event of a clearing member default.</w:t>
      </w:r>
    </w:p>
    <w:p>
      <w:pPr>
        <w:spacing w:after="0" w:line="75" w:lineRule="exact"/>
        <w:rPr>
          <w:sz w:val="20"/>
          <w:szCs w:val="20"/>
          <w:color w:val="auto"/>
        </w:rPr>
      </w:pPr>
    </w:p>
    <w:p>
      <w:pPr>
        <w:jc w:val="both"/>
        <w:ind w:firstLine="288"/>
        <w:spacing w:after="0" w:line="327" w:lineRule="auto"/>
        <w:rPr>
          <w:sz w:val="20"/>
          <w:szCs w:val="20"/>
          <w:color w:val="auto"/>
        </w:rPr>
      </w:pPr>
      <w:r>
        <w:rPr>
          <w:rFonts w:ascii="Arial" w:cs="Arial" w:eastAsia="Arial" w:hAnsi="Arial"/>
          <w:sz w:val="10"/>
          <w:szCs w:val="10"/>
          <w:color w:val="auto"/>
        </w:rPr>
        <w:t>Further, each of our International Swaps and Derivatives Association ("ISDA") Master Agreements also contains a cross default provision under which a default under certain of our other indebtedness in excess of certain thresholds causes an event of default under the ISDA Master Agreement. Threshold amounts vary by lender. Following an event of default, we could be required to settle our obligations under the agreements. Additionally, under certain of our ISDA Master Agreements, we could be required to settle our obligations under the agreements if we fail to maintain certain minimum stockholders' equity thresholds or our REIT status or if we fail to comply with limits on our leverage up to certain specified levels. As of September 30, 2016, the fair value of additional collateral that could be required to be posted as a result of the credit-risk-related contingent features being triggered was not material to our financial statements.</w:t>
      </w:r>
    </w:p>
    <w:p>
      <w:pPr>
        <w:spacing w:after="0" w:line="58" w:lineRule="exact"/>
        <w:rPr>
          <w:sz w:val="20"/>
          <w:szCs w:val="20"/>
          <w:color w:val="auto"/>
        </w:rPr>
      </w:pPr>
    </w:p>
    <w:p>
      <w:pPr>
        <w:jc w:val="both"/>
        <w:ind w:right="20" w:firstLine="288"/>
        <w:spacing w:after="0" w:line="276" w:lineRule="auto"/>
        <w:rPr>
          <w:sz w:val="20"/>
          <w:szCs w:val="20"/>
          <w:color w:val="auto"/>
        </w:rPr>
      </w:pPr>
      <w:r>
        <w:rPr>
          <w:rFonts w:ascii="Arial" w:cs="Arial" w:eastAsia="Arial" w:hAnsi="Arial"/>
          <w:sz w:val="12"/>
          <w:szCs w:val="12"/>
          <w:color w:val="auto"/>
        </w:rPr>
        <w:t>As of September 30, 2016, our maximum amount at risk with any counterparty related to our repurchase agreements was less than 5% of our stockholders' equity and our maximum amount at risk with any counterparty related to our interest rate swap and swaption agreements, excluding centrally cleared swaps, was less than 1% of our stockholders' equity.</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20</w:t>
      </w:r>
    </w:p>
    <w:p>
      <w:pPr>
        <w:sectPr>
          <w:pgSz w:w="11900" w:h="16838" w:orient="portrait"/>
          <w:cols w:equalWidth="0" w:num="1">
            <w:col w:w="11480"/>
          </w:cols>
          <w:pgMar w:left="220" w:top="584" w:right="199" w:bottom="1440" w:gutter="0" w:footer="0" w:header="0"/>
        </w:sectPr>
      </w:pPr>
    </w:p>
    <w:bookmarkStart w:id="21" w:name="page22"/>
    <w:bookmarkEnd w:id="21"/>
    <w:p>
      <w:pPr>
        <w:spacing w:after="0"/>
        <w:rPr>
          <w:sz w:val="20"/>
          <w:szCs w:val="20"/>
          <w:color w:val="auto"/>
        </w:rPr>
      </w:pPr>
      <w:r>
        <w:rPr>
          <w:rFonts w:ascii="Arial" w:cs="Arial" w:eastAsia="Arial" w:hAnsi="Arial"/>
          <w:sz w:val="12"/>
          <w:szCs w:val="12"/>
          <w:b w:val="1"/>
          <w:bCs w:val="1"/>
          <w:i w:val="1"/>
          <w:iCs w:val="1"/>
          <w:color w:val="auto"/>
        </w:rPr>
        <w:t>Assets Pledged to Counterparties</w:t>
      </w:r>
    </w:p>
    <w:p>
      <w:pPr>
        <w:spacing w:after="0" w:line="114" w:lineRule="exact"/>
        <w:rPr>
          <w:sz w:val="20"/>
          <w:szCs w:val="20"/>
          <w:color w:val="auto"/>
        </w:rPr>
      </w:pPr>
    </w:p>
    <w:p>
      <w:pPr>
        <w:ind w:firstLine="288"/>
        <w:spacing w:after="0" w:line="276" w:lineRule="auto"/>
        <w:rPr>
          <w:sz w:val="20"/>
          <w:szCs w:val="20"/>
          <w:color w:val="auto"/>
        </w:rPr>
      </w:pPr>
      <w:r>
        <w:rPr>
          <w:rFonts w:ascii="Arial" w:cs="Arial" w:eastAsia="Arial" w:hAnsi="Arial"/>
          <w:sz w:val="12"/>
          <w:szCs w:val="12"/>
          <w:color w:val="auto"/>
        </w:rPr>
        <w:t>The following tables summarize our assets pledged as collateral under our funding, derivative and prime broker agreements by type, including securities pledged related to securities sold but not yet settled, as of September 30, 2016 and December 31, 2015 (in millions):</w:t>
      </w:r>
    </w:p>
    <w:p>
      <w:pPr>
        <w:spacing w:after="0" w:line="118"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42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5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80" w:type="dxa"/>
            <w:vAlign w:val="bottom"/>
            <w:tcBorders>
              <w:bottom w:val="single" w:sz="8" w:color="auto"/>
            </w:tcBorders>
          </w:tcPr>
          <w:p>
            <w:pPr>
              <w:spacing w:after="0"/>
              <w:rPr>
                <w:sz w:val="11"/>
                <w:szCs w:val="11"/>
                <w:color w:val="auto"/>
              </w:rPr>
            </w:pPr>
          </w:p>
        </w:tc>
        <w:tc>
          <w:tcPr>
            <w:tcW w:w="1520" w:type="dxa"/>
            <w:vAlign w:val="bottom"/>
            <w:tcBorders>
              <w:bottom w:val="single" w:sz="8" w:color="auto"/>
            </w:tcBorders>
            <w:gridSpan w:val="4"/>
          </w:tcPr>
          <w:p>
            <w:pPr>
              <w:ind w:left="40"/>
              <w:spacing w:after="0"/>
              <w:rPr>
                <w:sz w:val="20"/>
                <w:szCs w:val="20"/>
                <w:color w:val="auto"/>
              </w:rPr>
            </w:pPr>
            <w:r>
              <w:rPr>
                <w:rFonts w:ascii="Arial" w:cs="Arial" w:eastAsia="Arial" w:hAnsi="Arial"/>
                <w:sz w:val="10"/>
                <w:szCs w:val="10"/>
                <w:b w:val="1"/>
                <w:bCs w:val="1"/>
                <w:color w:val="auto"/>
              </w:rPr>
              <w:t>September 30, 2016</w:t>
            </w:r>
          </w:p>
        </w:tc>
        <w:tc>
          <w:tcPr>
            <w:tcW w:w="6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spacing w:after="0"/>
              <w:rPr>
                <w:sz w:val="11"/>
                <w:szCs w:val="11"/>
                <w:color w:val="auto"/>
              </w:rPr>
            </w:pPr>
          </w:p>
        </w:tc>
      </w:tr>
      <w:tr>
        <w:trPr>
          <w:trHeight w:val="96"/>
        </w:trPr>
        <w:tc>
          <w:tcPr>
            <w:tcW w:w="42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60" w:type="dxa"/>
            <w:vAlign w:val="bottom"/>
            <w:gridSpan w:val="2"/>
          </w:tcPr>
          <w:p>
            <w:pPr>
              <w:spacing w:after="0" w:line="96" w:lineRule="exact"/>
              <w:rPr>
                <w:sz w:val="20"/>
                <w:szCs w:val="20"/>
                <w:color w:val="auto"/>
              </w:rPr>
            </w:pPr>
            <w:r>
              <w:rPr>
                <w:rFonts w:ascii="Arial" w:cs="Arial" w:eastAsia="Arial" w:hAnsi="Arial"/>
                <w:sz w:val="10"/>
                <w:szCs w:val="10"/>
                <w:b w:val="1"/>
                <w:bCs w:val="1"/>
                <w:color w:val="auto"/>
                <w:w w:val="97"/>
              </w:rPr>
              <w:t>Repurchase Agreements and FHLB</w:t>
            </w:r>
          </w:p>
        </w:tc>
        <w:tc>
          <w:tcPr>
            <w:tcW w:w="10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1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 w:type="dxa"/>
            <w:vAlign w:val="bottom"/>
          </w:tcPr>
          <w:p>
            <w:pPr>
              <w:spacing w:after="0"/>
              <w:rPr>
                <w:sz w:val="8"/>
                <w:szCs w:val="8"/>
                <w:color w:val="auto"/>
              </w:rPr>
            </w:pPr>
          </w:p>
        </w:tc>
        <w:tc>
          <w:tcPr>
            <w:tcW w:w="880" w:type="dxa"/>
            <w:vAlign w:val="bottom"/>
          </w:tcPr>
          <w:p>
            <w:pPr>
              <w:spacing w:after="0"/>
              <w:rPr>
                <w:sz w:val="8"/>
                <w:szCs w:val="8"/>
                <w:color w:val="auto"/>
              </w:rPr>
            </w:pPr>
          </w:p>
        </w:tc>
      </w:tr>
      <w:tr>
        <w:trPr>
          <w:trHeight w:val="128"/>
        </w:trPr>
        <w:tc>
          <w:tcPr>
            <w:tcW w:w="424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Assets Pledged to Counterparties</w:t>
            </w:r>
          </w:p>
        </w:tc>
        <w:tc>
          <w:tcPr>
            <w:tcW w:w="12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540" w:type="dxa"/>
            <w:vAlign w:val="bottom"/>
            <w:tcBorders>
              <w:bottom w:val="single" w:sz="8" w:color="auto"/>
            </w:tcBorders>
          </w:tcPr>
          <w:p>
            <w:pPr>
              <w:jc w:val="right"/>
              <w:ind w:right="532"/>
              <w:spacing w:after="0"/>
              <w:rPr>
                <w:sz w:val="20"/>
                <w:szCs w:val="20"/>
                <w:color w:val="auto"/>
              </w:rPr>
            </w:pPr>
            <w:r>
              <w:rPr>
                <w:rFonts w:ascii="Arial" w:cs="Arial" w:eastAsia="Arial" w:hAnsi="Arial"/>
                <w:sz w:val="10"/>
                <w:szCs w:val="10"/>
                <w:b w:val="1"/>
                <w:bCs w:val="1"/>
                <w:color w:val="auto"/>
              </w:rPr>
              <w:t xml:space="preserve">Advances </w:t>
            </w:r>
            <w:r>
              <w:rPr>
                <w:rFonts w:ascii="Arial" w:cs="Arial" w:eastAsia="Arial" w:hAnsi="Arial"/>
                <w:sz w:val="5"/>
                <w:szCs w:val="5"/>
                <w:b w:val="1"/>
                <w:bCs w:val="1"/>
                <w:color w:val="auto"/>
              </w:rPr>
              <w:t>1</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8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b w:val="1"/>
                <w:bCs w:val="1"/>
                <w:color w:val="auto"/>
                <w:w w:val="89"/>
              </w:rPr>
              <w:t>Debt of Consolidated VIEs</w:t>
            </w:r>
          </w:p>
        </w:tc>
        <w:tc>
          <w:tcPr>
            <w:tcW w:w="12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b w:val="1"/>
                <w:bCs w:val="1"/>
                <w:color w:val="auto"/>
                <w:w w:val="88"/>
              </w:rPr>
              <w:t>Derivative Agreements</w:t>
            </w:r>
          </w:p>
        </w:tc>
        <w:tc>
          <w:tcPr>
            <w:tcW w:w="12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b w:val="1"/>
                <w:bCs w:val="1"/>
                <w:color w:val="auto"/>
                <w:w w:val="87"/>
              </w:rPr>
              <w:t>Prime Broker Agreements</w:t>
            </w:r>
          </w:p>
        </w:tc>
        <w:tc>
          <w:tcPr>
            <w:tcW w:w="100" w:type="dxa"/>
            <w:vAlign w:val="bottom"/>
            <w:tcBorders>
              <w:bottom w:val="single" w:sz="8" w:color="CCEEFF"/>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jc w:val="right"/>
              <w:ind w:right="412"/>
              <w:spacing w:after="0"/>
              <w:rPr>
                <w:sz w:val="20"/>
                <w:szCs w:val="20"/>
                <w:color w:val="auto"/>
              </w:rPr>
            </w:pPr>
            <w:r>
              <w:rPr>
                <w:rFonts w:ascii="Arial" w:cs="Arial" w:eastAsia="Arial" w:hAnsi="Arial"/>
                <w:sz w:val="10"/>
                <w:szCs w:val="10"/>
                <w:b w:val="1"/>
                <w:bCs w:val="1"/>
                <w:color w:val="auto"/>
              </w:rPr>
              <w:t>Total</w:t>
            </w:r>
          </w:p>
        </w:tc>
      </w:tr>
      <w:tr>
        <w:trPr>
          <w:trHeight w:val="164"/>
        </w:trPr>
        <w:tc>
          <w:tcPr>
            <w:tcW w:w="436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Agency MBS - fair value</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5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42,997</w:t>
            </w: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890</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0"/>
                <w:szCs w:val="10"/>
                <w:color w:val="auto"/>
              </w:rPr>
              <w:t>$</w:t>
            </w:r>
          </w:p>
        </w:tc>
        <w:tc>
          <w:tcPr>
            <w:tcW w:w="11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684</w:t>
            </w:r>
          </w:p>
        </w:tc>
        <w:tc>
          <w:tcPr>
            <w:tcW w:w="120" w:type="dxa"/>
            <w:vAlign w:val="bottom"/>
            <w:shd w:val="clear" w:color="auto" w:fill="CCEEFF"/>
          </w:tcPr>
          <w:p>
            <w:pPr>
              <w:spacing w:after="0"/>
              <w:rPr>
                <w:sz w:val="14"/>
                <w:szCs w:val="14"/>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830</w:t>
            </w:r>
          </w:p>
        </w:tc>
        <w:tc>
          <w:tcPr>
            <w:tcW w:w="100" w:type="dxa"/>
            <w:vAlign w:val="bottom"/>
            <w:shd w:val="clear" w:color="auto" w:fill="CCEEFF"/>
          </w:tcPr>
          <w:p>
            <w:pPr>
              <w:spacing w:after="0"/>
              <w:rPr>
                <w:sz w:val="14"/>
                <w:szCs w:val="14"/>
                <w:color w:val="auto"/>
              </w:rPr>
            </w:pPr>
          </w:p>
        </w:tc>
        <w:tc>
          <w:tcPr>
            <w:tcW w:w="260" w:type="dxa"/>
            <w:vAlign w:val="bottom"/>
            <w:shd w:val="clear" w:color="auto" w:fill="CCEEFF"/>
          </w:tcPr>
          <w:p>
            <w:pPr>
              <w:jc w:val="right"/>
              <w:ind w:right="152"/>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45,401</w:t>
            </w:r>
          </w:p>
        </w:tc>
      </w:tr>
      <w:tr>
        <w:trPr>
          <w:trHeight w:val="176"/>
        </w:trPr>
        <w:tc>
          <w:tcPr>
            <w:tcW w:w="4360" w:type="dxa"/>
            <w:vAlign w:val="bottom"/>
            <w:gridSpan w:val="2"/>
          </w:tcPr>
          <w:p>
            <w:pPr>
              <w:ind w:left="20"/>
              <w:spacing w:after="0"/>
              <w:rPr>
                <w:sz w:val="20"/>
                <w:szCs w:val="20"/>
                <w:color w:val="auto"/>
              </w:rPr>
            </w:pPr>
            <w:r>
              <w:rPr>
                <w:rFonts w:ascii="Arial" w:cs="Arial" w:eastAsia="Arial" w:hAnsi="Arial"/>
                <w:sz w:val="10"/>
                <w:szCs w:val="10"/>
                <w:color w:val="auto"/>
              </w:rPr>
              <w:t>Non-agency MBS - fair value</w:t>
            </w:r>
          </w:p>
        </w:tc>
        <w:tc>
          <w:tcPr>
            <w:tcW w:w="80" w:type="dxa"/>
            <w:vAlign w:val="bottom"/>
          </w:tcPr>
          <w:p>
            <w:pPr>
              <w:spacing w:after="0"/>
              <w:rPr>
                <w:sz w:val="15"/>
                <w:szCs w:val="15"/>
                <w:color w:val="auto"/>
              </w:rPr>
            </w:pPr>
          </w:p>
        </w:tc>
        <w:tc>
          <w:tcPr>
            <w:tcW w:w="1540" w:type="dxa"/>
            <w:vAlign w:val="bottom"/>
          </w:tcPr>
          <w:p>
            <w:pPr>
              <w:jc w:val="right"/>
              <w:ind w:right="72"/>
              <w:spacing w:after="0"/>
              <w:rPr>
                <w:sz w:val="20"/>
                <w:szCs w:val="20"/>
                <w:color w:val="auto"/>
              </w:rPr>
            </w:pPr>
            <w:r>
              <w:rPr>
                <w:rFonts w:ascii="Arial" w:cs="Arial" w:eastAsia="Arial" w:hAnsi="Arial"/>
                <w:sz w:val="10"/>
                <w:szCs w:val="10"/>
                <w:color w:val="auto"/>
              </w:rPr>
              <w:t>102</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80" w:type="dxa"/>
            <w:vAlign w:val="bottom"/>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5"/>
                <w:szCs w:val="15"/>
                <w:color w:val="auto"/>
              </w:rPr>
            </w:pPr>
          </w:p>
        </w:tc>
        <w:tc>
          <w:tcPr>
            <w:tcW w:w="128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260" w:type="dxa"/>
            <w:vAlign w:val="bottom"/>
          </w:tcPr>
          <w:p>
            <w:pPr>
              <w:spacing w:after="0"/>
              <w:rPr>
                <w:sz w:val="15"/>
                <w:szCs w:val="15"/>
                <w:color w:val="auto"/>
              </w:rPr>
            </w:pPr>
          </w:p>
        </w:tc>
        <w:tc>
          <w:tcPr>
            <w:tcW w:w="880" w:type="dxa"/>
            <w:vAlign w:val="bottom"/>
          </w:tcPr>
          <w:p>
            <w:pPr>
              <w:jc w:val="right"/>
              <w:ind w:right="72"/>
              <w:spacing w:after="0"/>
              <w:rPr>
                <w:sz w:val="20"/>
                <w:szCs w:val="20"/>
                <w:color w:val="auto"/>
              </w:rPr>
            </w:pPr>
            <w:r>
              <w:rPr>
                <w:rFonts w:ascii="Arial" w:cs="Arial" w:eastAsia="Arial" w:hAnsi="Arial"/>
                <w:sz w:val="10"/>
                <w:szCs w:val="10"/>
                <w:color w:val="auto"/>
              </w:rPr>
              <w:t>102</w:t>
            </w:r>
          </w:p>
        </w:tc>
      </w:tr>
      <w:tr>
        <w:trPr>
          <w:trHeight w:val="184"/>
        </w:trPr>
        <w:tc>
          <w:tcPr>
            <w:tcW w:w="436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U.S. Treasury securities - fair value</w:t>
            </w:r>
          </w:p>
        </w:tc>
        <w:tc>
          <w:tcPr>
            <w:tcW w:w="80" w:type="dxa"/>
            <w:vAlign w:val="bottom"/>
            <w:shd w:val="clear" w:color="auto" w:fill="CCEEFF"/>
          </w:tcPr>
          <w:p>
            <w:pPr>
              <w:spacing w:after="0"/>
              <w:rPr>
                <w:sz w:val="16"/>
                <w:szCs w:val="16"/>
                <w:color w:val="auto"/>
              </w:rPr>
            </w:pPr>
          </w:p>
        </w:tc>
        <w:tc>
          <w:tcPr>
            <w:tcW w:w="15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45</w:t>
            </w: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8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16"/>
                <w:szCs w:val="16"/>
                <w:color w:val="auto"/>
              </w:rPr>
            </w:pPr>
          </w:p>
        </w:tc>
        <w:tc>
          <w:tcPr>
            <w:tcW w:w="128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260" w:type="dxa"/>
            <w:vAlign w:val="bottom"/>
            <w:shd w:val="clear" w:color="auto" w:fill="CCEEFF"/>
          </w:tcPr>
          <w:p>
            <w:pPr>
              <w:spacing w:after="0"/>
              <w:rPr>
                <w:sz w:val="16"/>
                <w:szCs w:val="16"/>
                <w:color w:val="auto"/>
              </w:rPr>
            </w:pPr>
          </w:p>
        </w:tc>
        <w:tc>
          <w:tcPr>
            <w:tcW w:w="8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45</w:t>
            </w:r>
          </w:p>
        </w:tc>
      </w:tr>
      <w:tr>
        <w:trPr>
          <w:trHeight w:val="176"/>
        </w:trPr>
        <w:tc>
          <w:tcPr>
            <w:tcW w:w="4360" w:type="dxa"/>
            <w:vAlign w:val="bottom"/>
            <w:gridSpan w:val="2"/>
          </w:tcPr>
          <w:p>
            <w:pPr>
              <w:ind w:left="20"/>
              <w:spacing w:after="0"/>
              <w:rPr>
                <w:sz w:val="20"/>
                <w:szCs w:val="20"/>
                <w:color w:val="auto"/>
              </w:rPr>
            </w:pPr>
            <w:r>
              <w:rPr>
                <w:rFonts w:ascii="Arial" w:cs="Arial" w:eastAsia="Arial" w:hAnsi="Arial"/>
                <w:sz w:val="10"/>
                <w:szCs w:val="10"/>
                <w:color w:val="auto"/>
              </w:rPr>
              <w:t>Accrued interest on pledged securities</w:t>
            </w:r>
          </w:p>
        </w:tc>
        <w:tc>
          <w:tcPr>
            <w:tcW w:w="80" w:type="dxa"/>
            <w:vAlign w:val="bottom"/>
          </w:tcPr>
          <w:p>
            <w:pPr>
              <w:spacing w:after="0"/>
              <w:rPr>
                <w:sz w:val="15"/>
                <w:szCs w:val="15"/>
                <w:color w:val="auto"/>
              </w:rPr>
            </w:pPr>
          </w:p>
        </w:tc>
        <w:tc>
          <w:tcPr>
            <w:tcW w:w="1540" w:type="dxa"/>
            <w:vAlign w:val="bottom"/>
          </w:tcPr>
          <w:p>
            <w:pPr>
              <w:jc w:val="right"/>
              <w:ind w:right="72"/>
              <w:spacing w:after="0"/>
              <w:rPr>
                <w:sz w:val="20"/>
                <w:szCs w:val="20"/>
                <w:color w:val="auto"/>
              </w:rPr>
            </w:pPr>
            <w:r>
              <w:rPr>
                <w:rFonts w:ascii="Arial" w:cs="Arial" w:eastAsia="Arial" w:hAnsi="Arial"/>
                <w:sz w:val="10"/>
                <w:szCs w:val="10"/>
                <w:color w:val="auto"/>
              </w:rPr>
              <w:t>118</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80" w:type="dxa"/>
            <w:vAlign w:val="bottom"/>
          </w:tcPr>
          <w:p>
            <w:pPr>
              <w:jc w:val="right"/>
              <w:ind w:right="72"/>
              <w:spacing w:after="0"/>
              <w:rPr>
                <w:sz w:val="20"/>
                <w:szCs w:val="20"/>
                <w:color w:val="auto"/>
              </w:rPr>
            </w:pPr>
            <w:r>
              <w:rPr>
                <w:rFonts w:ascii="Arial" w:cs="Arial" w:eastAsia="Arial" w:hAnsi="Arial"/>
                <w:sz w:val="10"/>
                <w:szCs w:val="10"/>
                <w:color w:val="auto"/>
              </w:rPr>
              <w:t>3</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160" w:type="dxa"/>
            <w:vAlign w:val="bottom"/>
          </w:tcPr>
          <w:p>
            <w:pPr>
              <w:jc w:val="right"/>
              <w:ind w:right="72"/>
              <w:spacing w:after="0"/>
              <w:rPr>
                <w:sz w:val="20"/>
                <w:szCs w:val="20"/>
                <w:color w:val="auto"/>
              </w:rPr>
            </w:pPr>
            <w:r>
              <w:rPr>
                <w:rFonts w:ascii="Arial" w:cs="Arial" w:eastAsia="Arial" w:hAnsi="Arial"/>
                <w:sz w:val="10"/>
                <w:szCs w:val="10"/>
                <w:color w:val="auto"/>
              </w:rPr>
              <w:t>2</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180" w:type="dxa"/>
            <w:vAlign w:val="bottom"/>
          </w:tcPr>
          <w:p>
            <w:pPr>
              <w:jc w:val="right"/>
              <w:ind w:right="72"/>
              <w:spacing w:after="0"/>
              <w:rPr>
                <w:sz w:val="20"/>
                <w:szCs w:val="20"/>
                <w:color w:val="auto"/>
              </w:rPr>
            </w:pPr>
            <w:r>
              <w:rPr>
                <w:rFonts w:ascii="Arial" w:cs="Arial" w:eastAsia="Arial" w:hAnsi="Arial"/>
                <w:sz w:val="10"/>
                <w:szCs w:val="10"/>
                <w:color w:val="auto"/>
              </w:rPr>
              <w:t>2</w:t>
            </w: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80" w:type="dxa"/>
            <w:vAlign w:val="bottom"/>
          </w:tcPr>
          <w:p>
            <w:pPr>
              <w:jc w:val="right"/>
              <w:ind w:right="72"/>
              <w:spacing w:after="0"/>
              <w:rPr>
                <w:sz w:val="20"/>
                <w:szCs w:val="20"/>
                <w:color w:val="auto"/>
              </w:rPr>
            </w:pPr>
            <w:r>
              <w:rPr>
                <w:rFonts w:ascii="Arial" w:cs="Arial" w:eastAsia="Arial" w:hAnsi="Arial"/>
                <w:sz w:val="10"/>
                <w:szCs w:val="10"/>
                <w:color w:val="auto"/>
              </w:rPr>
              <w:t>125</w:t>
            </w:r>
          </w:p>
        </w:tc>
      </w:tr>
      <w:tr>
        <w:trPr>
          <w:trHeight w:val="180"/>
        </w:trPr>
        <w:tc>
          <w:tcPr>
            <w:tcW w:w="436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Restricted cash and cash equivalents</w:t>
            </w:r>
          </w:p>
        </w:tc>
        <w:tc>
          <w:tcPr>
            <w:tcW w:w="80" w:type="dxa"/>
            <w:vAlign w:val="bottom"/>
            <w:tcBorders>
              <w:bottom w:val="single" w:sz="8" w:color="auto"/>
            </w:tcBorders>
            <w:shd w:val="clear" w:color="auto" w:fill="CCEEFF"/>
          </w:tcPr>
          <w:p>
            <w:pPr>
              <w:spacing w:after="0"/>
              <w:rPr>
                <w:sz w:val="15"/>
                <w:szCs w:val="15"/>
                <w:color w:val="auto"/>
              </w:rPr>
            </w:pPr>
          </w:p>
        </w:tc>
        <w:tc>
          <w:tcPr>
            <w:tcW w:w="15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15</w:t>
            </w:r>
          </w:p>
        </w:tc>
        <w:tc>
          <w:tcPr>
            <w:tcW w:w="120" w:type="dxa"/>
            <w:vAlign w:val="bottom"/>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12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16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666</w:t>
            </w:r>
          </w:p>
        </w:tc>
        <w:tc>
          <w:tcPr>
            <w:tcW w:w="120" w:type="dxa"/>
            <w:vAlign w:val="bottom"/>
            <w:shd w:val="clear" w:color="auto" w:fill="CCEEFF"/>
          </w:tcPr>
          <w:p>
            <w:pPr>
              <w:spacing w:after="0"/>
              <w:rPr>
                <w:sz w:val="15"/>
                <w:szCs w:val="15"/>
                <w:color w:val="auto"/>
              </w:rPr>
            </w:pPr>
          </w:p>
        </w:tc>
        <w:tc>
          <w:tcPr>
            <w:tcW w:w="60" w:type="dxa"/>
            <w:vAlign w:val="bottom"/>
            <w:tcBorders>
              <w:bottom w:val="single" w:sz="8" w:color="auto"/>
            </w:tcBorders>
            <w:shd w:val="clear" w:color="auto" w:fill="CCEEFF"/>
          </w:tcPr>
          <w:p>
            <w:pPr>
              <w:spacing w:after="0"/>
              <w:rPr>
                <w:sz w:val="15"/>
                <w:szCs w:val="15"/>
                <w:color w:val="auto"/>
              </w:rPr>
            </w:pPr>
          </w:p>
        </w:tc>
        <w:tc>
          <w:tcPr>
            <w:tcW w:w="11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5"/>
                <w:szCs w:val="15"/>
                <w:color w:val="auto"/>
              </w:rPr>
            </w:pPr>
          </w:p>
        </w:tc>
        <w:tc>
          <w:tcPr>
            <w:tcW w:w="260" w:type="dxa"/>
            <w:vAlign w:val="bottom"/>
            <w:tcBorders>
              <w:bottom w:val="single" w:sz="8" w:color="auto"/>
            </w:tcBorders>
            <w:shd w:val="clear" w:color="auto" w:fill="CCEEFF"/>
          </w:tcPr>
          <w:p>
            <w:pPr>
              <w:spacing w:after="0"/>
              <w:rPr>
                <w:sz w:val="15"/>
                <w:szCs w:val="15"/>
                <w:color w:val="auto"/>
              </w:rPr>
            </w:pPr>
          </w:p>
        </w:tc>
        <w:tc>
          <w:tcPr>
            <w:tcW w:w="8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681</w:t>
            </w:r>
          </w:p>
        </w:tc>
      </w:tr>
      <w:tr>
        <w:trPr>
          <w:trHeight w:val="162"/>
        </w:trPr>
        <w:tc>
          <w:tcPr>
            <w:tcW w:w="4360" w:type="dxa"/>
            <w:vAlign w:val="bottom"/>
            <w:gridSpan w:val="2"/>
          </w:tcPr>
          <w:p>
            <w:pPr>
              <w:ind w:left="120"/>
              <w:spacing w:after="0"/>
              <w:rPr>
                <w:sz w:val="20"/>
                <w:szCs w:val="20"/>
                <w:color w:val="auto"/>
              </w:rPr>
            </w:pPr>
            <w:r>
              <w:rPr>
                <w:rFonts w:ascii="Arial" w:cs="Arial" w:eastAsia="Arial" w:hAnsi="Arial"/>
                <w:sz w:val="10"/>
                <w:szCs w:val="10"/>
                <w:color w:val="auto"/>
              </w:rPr>
              <w:t>Total</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540" w:type="dxa"/>
            <w:vAlign w:val="bottom"/>
          </w:tcPr>
          <w:p>
            <w:pPr>
              <w:jc w:val="right"/>
              <w:ind w:right="72"/>
              <w:spacing w:after="0"/>
              <w:rPr>
                <w:sz w:val="20"/>
                <w:szCs w:val="20"/>
                <w:color w:val="auto"/>
              </w:rPr>
            </w:pPr>
            <w:r>
              <w:rPr>
                <w:rFonts w:ascii="Arial" w:cs="Arial" w:eastAsia="Arial" w:hAnsi="Arial"/>
                <w:sz w:val="10"/>
                <w:szCs w:val="10"/>
                <w:color w:val="auto"/>
              </w:rPr>
              <w:t>43,277</w:t>
            </w:r>
          </w:p>
        </w:tc>
        <w:tc>
          <w:tcPr>
            <w:tcW w:w="12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Pr>
          <w:p>
            <w:pPr>
              <w:jc w:val="right"/>
              <w:ind w:right="72"/>
              <w:spacing w:after="0"/>
              <w:rPr>
                <w:sz w:val="20"/>
                <w:szCs w:val="20"/>
                <w:color w:val="auto"/>
              </w:rPr>
            </w:pPr>
            <w:r>
              <w:rPr>
                <w:rFonts w:ascii="Arial" w:cs="Arial" w:eastAsia="Arial" w:hAnsi="Arial"/>
                <w:sz w:val="10"/>
                <w:szCs w:val="10"/>
                <w:color w:val="auto"/>
              </w:rPr>
              <w:t>893</w:t>
            </w:r>
          </w:p>
        </w:tc>
        <w:tc>
          <w:tcPr>
            <w:tcW w:w="240" w:type="dxa"/>
            <w:vAlign w:val="bottom"/>
            <w:gridSpan w:val="2"/>
          </w:tcPr>
          <w:p>
            <w:pPr>
              <w:jc w:val="right"/>
              <w:ind w:right="60"/>
              <w:spacing w:after="0"/>
              <w:rPr>
                <w:sz w:val="20"/>
                <w:szCs w:val="20"/>
                <w:color w:val="auto"/>
              </w:rPr>
            </w:pPr>
            <w:r>
              <w:rPr>
                <w:rFonts w:ascii="Arial" w:cs="Arial" w:eastAsia="Arial" w:hAnsi="Arial"/>
                <w:sz w:val="10"/>
                <w:szCs w:val="10"/>
                <w:color w:val="auto"/>
              </w:rPr>
              <w:t>$</w:t>
            </w:r>
          </w:p>
        </w:tc>
        <w:tc>
          <w:tcPr>
            <w:tcW w:w="1160" w:type="dxa"/>
            <w:vAlign w:val="bottom"/>
          </w:tcPr>
          <w:p>
            <w:pPr>
              <w:jc w:val="right"/>
              <w:ind w:right="72"/>
              <w:spacing w:after="0"/>
              <w:rPr>
                <w:sz w:val="20"/>
                <w:szCs w:val="20"/>
                <w:color w:val="auto"/>
              </w:rPr>
            </w:pPr>
            <w:r>
              <w:rPr>
                <w:rFonts w:ascii="Arial" w:cs="Arial" w:eastAsia="Arial" w:hAnsi="Arial"/>
                <w:sz w:val="10"/>
                <w:szCs w:val="10"/>
                <w:color w:val="auto"/>
              </w:rPr>
              <w:t>1,352</w:t>
            </w:r>
          </w:p>
        </w:tc>
        <w:tc>
          <w:tcPr>
            <w:tcW w:w="120" w:type="dxa"/>
            <w:vAlign w:val="bottom"/>
          </w:tcPr>
          <w:p>
            <w:pPr>
              <w:spacing w:after="0"/>
              <w:rPr>
                <w:sz w:val="14"/>
                <w:szCs w:val="14"/>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80" w:type="dxa"/>
            <w:vAlign w:val="bottom"/>
          </w:tcPr>
          <w:p>
            <w:pPr>
              <w:jc w:val="right"/>
              <w:ind w:right="72"/>
              <w:spacing w:after="0"/>
              <w:rPr>
                <w:sz w:val="20"/>
                <w:szCs w:val="20"/>
                <w:color w:val="auto"/>
              </w:rPr>
            </w:pPr>
            <w:r>
              <w:rPr>
                <w:rFonts w:ascii="Arial" w:cs="Arial" w:eastAsia="Arial" w:hAnsi="Arial"/>
                <w:sz w:val="10"/>
                <w:szCs w:val="10"/>
                <w:color w:val="auto"/>
              </w:rPr>
              <w:t>832</w:t>
            </w:r>
          </w:p>
        </w:tc>
        <w:tc>
          <w:tcPr>
            <w:tcW w:w="100" w:type="dxa"/>
            <w:vAlign w:val="bottom"/>
          </w:tcPr>
          <w:p>
            <w:pPr>
              <w:spacing w:after="0"/>
              <w:rPr>
                <w:sz w:val="14"/>
                <w:szCs w:val="14"/>
                <w:color w:val="auto"/>
              </w:rPr>
            </w:pPr>
          </w:p>
        </w:tc>
        <w:tc>
          <w:tcPr>
            <w:tcW w:w="260" w:type="dxa"/>
            <w:vAlign w:val="bottom"/>
          </w:tcPr>
          <w:p>
            <w:pPr>
              <w:jc w:val="right"/>
              <w:ind w:right="152"/>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ind w:right="72"/>
              <w:spacing w:after="0"/>
              <w:rPr>
                <w:sz w:val="20"/>
                <w:szCs w:val="20"/>
                <w:color w:val="auto"/>
              </w:rPr>
            </w:pPr>
            <w:r>
              <w:rPr>
                <w:rFonts w:ascii="Arial" w:cs="Arial" w:eastAsia="Arial" w:hAnsi="Arial"/>
                <w:sz w:val="10"/>
                <w:szCs w:val="10"/>
                <w:color w:val="auto"/>
              </w:rPr>
              <w:t>46,354</w:t>
            </w:r>
          </w:p>
        </w:tc>
      </w:tr>
      <w:tr>
        <w:trPr>
          <w:trHeight w:val="96"/>
        </w:trPr>
        <w:tc>
          <w:tcPr>
            <w:tcW w:w="4240" w:type="dxa"/>
            <w:vAlign w:val="bottom"/>
          </w:tcPr>
          <w:p>
            <w:pPr>
              <w:spacing w:after="0"/>
              <w:rPr>
                <w:sz w:val="20"/>
                <w:szCs w:val="20"/>
                <w:color w:val="auto"/>
              </w:rPr>
            </w:pPr>
            <w:r>
              <w:rPr>
                <w:rFonts w:ascii="Arial" w:cs="Arial" w:eastAsia="Arial" w:hAnsi="Arial"/>
                <w:sz w:val="8"/>
                <w:szCs w:val="8"/>
                <w:color w:val="auto"/>
              </w:rPr>
              <w:t>______________________</w:t>
            </w:r>
          </w:p>
        </w:tc>
        <w:tc>
          <w:tcPr>
            <w:tcW w:w="12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154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28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116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1180" w:type="dxa"/>
            <w:vAlign w:val="bottom"/>
            <w:tcBorders>
              <w:top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260" w:type="dxa"/>
            <w:vAlign w:val="bottom"/>
            <w:tcBorders>
              <w:top w:val="single" w:sz="8" w:color="auto"/>
            </w:tcBorders>
          </w:tcPr>
          <w:p>
            <w:pPr>
              <w:spacing w:after="0"/>
              <w:rPr>
                <w:sz w:val="8"/>
                <w:szCs w:val="8"/>
                <w:color w:val="auto"/>
              </w:rPr>
            </w:pPr>
          </w:p>
        </w:tc>
        <w:tc>
          <w:tcPr>
            <w:tcW w:w="880" w:type="dxa"/>
            <w:vAlign w:val="bottom"/>
            <w:tcBorders>
              <w:top w:val="single" w:sz="8" w:color="auto"/>
            </w:tcBorders>
          </w:tcPr>
          <w:p>
            <w:pPr>
              <w:spacing w:after="0"/>
              <w:rPr>
                <w:sz w:val="8"/>
                <w:szCs w:val="8"/>
                <w:color w:val="auto"/>
              </w:rPr>
            </w:pPr>
          </w:p>
        </w:tc>
      </w:tr>
    </w:tbl>
    <w:p>
      <w:pPr>
        <w:spacing w:after="0" w:line="9" w:lineRule="exact"/>
        <w:rPr>
          <w:sz w:val="20"/>
          <w:szCs w:val="20"/>
          <w:color w:val="auto"/>
        </w:rPr>
      </w:pPr>
    </w:p>
    <w:p>
      <w:pPr>
        <w:ind w:left="200"/>
        <w:spacing w:after="0"/>
        <w:rPr>
          <w:sz w:val="20"/>
          <w:szCs w:val="20"/>
          <w:color w:val="auto"/>
        </w:rPr>
      </w:pPr>
      <w:r>
        <w:rPr>
          <w:rFonts w:ascii="Arial" w:cs="Arial" w:eastAsia="Arial" w:hAnsi="Arial"/>
          <w:sz w:val="10"/>
          <w:szCs w:val="10"/>
          <w:color w:val="auto"/>
        </w:rPr>
        <w:t>1. Includes $194 million of retained interests in our consolidated VIEs pledged as collateral under repurchase agreements.</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42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5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80" w:type="dxa"/>
            <w:vAlign w:val="bottom"/>
            <w:tcBorders>
              <w:bottom w:val="single" w:sz="8" w:color="auto"/>
            </w:tcBorders>
          </w:tcPr>
          <w:p>
            <w:pPr>
              <w:spacing w:after="0"/>
              <w:rPr>
                <w:sz w:val="11"/>
                <w:szCs w:val="11"/>
                <w:color w:val="auto"/>
              </w:rPr>
            </w:pPr>
          </w:p>
        </w:tc>
        <w:tc>
          <w:tcPr>
            <w:tcW w:w="1520" w:type="dxa"/>
            <w:vAlign w:val="bottom"/>
            <w:tcBorders>
              <w:bottom w:val="single" w:sz="8" w:color="auto"/>
            </w:tcBorders>
            <w:gridSpan w:val="4"/>
          </w:tcPr>
          <w:p>
            <w:pPr>
              <w:ind w:left="60"/>
              <w:spacing w:after="0"/>
              <w:rPr>
                <w:sz w:val="20"/>
                <w:szCs w:val="20"/>
                <w:color w:val="auto"/>
              </w:rPr>
            </w:pPr>
            <w:r>
              <w:rPr>
                <w:rFonts w:ascii="Arial" w:cs="Arial" w:eastAsia="Arial" w:hAnsi="Arial"/>
                <w:sz w:val="10"/>
                <w:szCs w:val="10"/>
                <w:b w:val="1"/>
                <w:bCs w:val="1"/>
                <w:color w:val="auto"/>
              </w:rPr>
              <w:t>December 31, 2015</w:t>
            </w:r>
          </w:p>
        </w:tc>
        <w:tc>
          <w:tcPr>
            <w:tcW w:w="6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spacing w:after="0"/>
              <w:rPr>
                <w:sz w:val="11"/>
                <w:szCs w:val="11"/>
                <w:color w:val="auto"/>
              </w:rPr>
            </w:pPr>
          </w:p>
        </w:tc>
      </w:tr>
      <w:tr>
        <w:trPr>
          <w:trHeight w:val="96"/>
        </w:trPr>
        <w:tc>
          <w:tcPr>
            <w:tcW w:w="42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60" w:type="dxa"/>
            <w:vAlign w:val="bottom"/>
            <w:gridSpan w:val="2"/>
          </w:tcPr>
          <w:p>
            <w:pPr>
              <w:spacing w:after="0" w:line="96" w:lineRule="exact"/>
              <w:rPr>
                <w:sz w:val="20"/>
                <w:szCs w:val="20"/>
                <w:color w:val="auto"/>
              </w:rPr>
            </w:pPr>
            <w:r>
              <w:rPr>
                <w:rFonts w:ascii="Arial" w:cs="Arial" w:eastAsia="Arial" w:hAnsi="Arial"/>
                <w:sz w:val="10"/>
                <w:szCs w:val="10"/>
                <w:b w:val="1"/>
                <w:bCs w:val="1"/>
                <w:color w:val="auto"/>
                <w:w w:val="97"/>
              </w:rPr>
              <w:t>Repurchase Agreements and FHLB</w:t>
            </w:r>
          </w:p>
        </w:tc>
        <w:tc>
          <w:tcPr>
            <w:tcW w:w="10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1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60" w:type="dxa"/>
            <w:vAlign w:val="bottom"/>
          </w:tcPr>
          <w:p>
            <w:pPr>
              <w:spacing w:after="0"/>
              <w:rPr>
                <w:sz w:val="8"/>
                <w:szCs w:val="8"/>
                <w:color w:val="auto"/>
              </w:rPr>
            </w:pPr>
          </w:p>
        </w:tc>
        <w:tc>
          <w:tcPr>
            <w:tcW w:w="880" w:type="dxa"/>
            <w:vAlign w:val="bottom"/>
          </w:tcPr>
          <w:p>
            <w:pPr>
              <w:spacing w:after="0"/>
              <w:rPr>
                <w:sz w:val="8"/>
                <w:szCs w:val="8"/>
                <w:color w:val="auto"/>
              </w:rPr>
            </w:pPr>
          </w:p>
        </w:tc>
      </w:tr>
      <w:tr>
        <w:trPr>
          <w:trHeight w:val="128"/>
        </w:trPr>
        <w:tc>
          <w:tcPr>
            <w:tcW w:w="424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Assets Pledged to Counterparties</w:t>
            </w:r>
          </w:p>
        </w:tc>
        <w:tc>
          <w:tcPr>
            <w:tcW w:w="12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540" w:type="dxa"/>
            <w:vAlign w:val="bottom"/>
            <w:tcBorders>
              <w:bottom w:val="single" w:sz="8" w:color="auto"/>
            </w:tcBorders>
          </w:tcPr>
          <w:p>
            <w:pPr>
              <w:jc w:val="right"/>
              <w:ind w:right="532"/>
              <w:spacing w:after="0"/>
              <w:rPr>
                <w:sz w:val="20"/>
                <w:szCs w:val="20"/>
                <w:color w:val="auto"/>
              </w:rPr>
            </w:pPr>
            <w:r>
              <w:rPr>
                <w:rFonts w:ascii="Arial" w:cs="Arial" w:eastAsia="Arial" w:hAnsi="Arial"/>
                <w:sz w:val="10"/>
                <w:szCs w:val="10"/>
                <w:b w:val="1"/>
                <w:bCs w:val="1"/>
                <w:color w:val="auto"/>
              </w:rPr>
              <w:t xml:space="preserve">Advances </w:t>
            </w:r>
            <w:r>
              <w:rPr>
                <w:rFonts w:ascii="Arial" w:cs="Arial" w:eastAsia="Arial" w:hAnsi="Arial"/>
                <w:sz w:val="5"/>
                <w:szCs w:val="5"/>
                <w:b w:val="1"/>
                <w:bCs w:val="1"/>
                <w:color w:val="auto"/>
              </w:rPr>
              <w:t>1</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8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b w:val="1"/>
                <w:bCs w:val="1"/>
                <w:color w:val="auto"/>
                <w:w w:val="89"/>
              </w:rPr>
              <w:t>Debt of Consolidated VIEs</w:t>
            </w:r>
          </w:p>
        </w:tc>
        <w:tc>
          <w:tcPr>
            <w:tcW w:w="12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b w:val="1"/>
                <w:bCs w:val="1"/>
                <w:color w:val="auto"/>
                <w:w w:val="88"/>
              </w:rPr>
              <w:t>Derivative Agreements</w:t>
            </w:r>
          </w:p>
        </w:tc>
        <w:tc>
          <w:tcPr>
            <w:tcW w:w="12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b w:val="1"/>
                <w:bCs w:val="1"/>
                <w:color w:val="auto"/>
                <w:w w:val="87"/>
              </w:rPr>
              <w:t>Prime Broker Agreements</w:t>
            </w:r>
          </w:p>
        </w:tc>
        <w:tc>
          <w:tcPr>
            <w:tcW w:w="100" w:type="dxa"/>
            <w:vAlign w:val="bottom"/>
            <w:tcBorders>
              <w:bottom w:val="single" w:sz="8" w:color="CCEEFF"/>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jc w:val="right"/>
              <w:ind w:right="412"/>
              <w:spacing w:after="0"/>
              <w:rPr>
                <w:sz w:val="20"/>
                <w:szCs w:val="20"/>
                <w:color w:val="auto"/>
              </w:rPr>
            </w:pPr>
            <w:r>
              <w:rPr>
                <w:rFonts w:ascii="Arial" w:cs="Arial" w:eastAsia="Arial" w:hAnsi="Arial"/>
                <w:sz w:val="10"/>
                <w:szCs w:val="10"/>
                <w:b w:val="1"/>
                <w:bCs w:val="1"/>
                <w:color w:val="auto"/>
              </w:rPr>
              <w:t>Total</w:t>
            </w:r>
          </w:p>
        </w:tc>
      </w:tr>
      <w:tr>
        <w:trPr>
          <w:trHeight w:val="164"/>
        </w:trPr>
        <w:tc>
          <w:tcPr>
            <w:tcW w:w="436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Agency MBS - fair value</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5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47,992</w:t>
            </w: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1,029</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0"/>
                <w:szCs w:val="10"/>
                <w:color w:val="auto"/>
              </w:rPr>
              <w:t>$</w:t>
            </w:r>
          </w:p>
        </w:tc>
        <w:tc>
          <w:tcPr>
            <w:tcW w:w="11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148</w:t>
            </w:r>
          </w:p>
        </w:tc>
        <w:tc>
          <w:tcPr>
            <w:tcW w:w="120" w:type="dxa"/>
            <w:vAlign w:val="bottom"/>
            <w:shd w:val="clear" w:color="auto" w:fill="CCEEFF"/>
          </w:tcPr>
          <w:p>
            <w:pPr>
              <w:spacing w:after="0"/>
              <w:rPr>
                <w:sz w:val="14"/>
                <w:szCs w:val="14"/>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485</w:t>
            </w:r>
          </w:p>
        </w:tc>
        <w:tc>
          <w:tcPr>
            <w:tcW w:w="100" w:type="dxa"/>
            <w:vAlign w:val="bottom"/>
            <w:shd w:val="clear" w:color="auto" w:fill="CCEEFF"/>
          </w:tcPr>
          <w:p>
            <w:pPr>
              <w:spacing w:after="0"/>
              <w:rPr>
                <w:sz w:val="14"/>
                <w:szCs w:val="14"/>
                <w:color w:val="auto"/>
              </w:rPr>
            </w:pPr>
          </w:p>
        </w:tc>
        <w:tc>
          <w:tcPr>
            <w:tcW w:w="260" w:type="dxa"/>
            <w:vAlign w:val="bottom"/>
            <w:shd w:val="clear" w:color="auto" w:fill="CCEEFF"/>
          </w:tcPr>
          <w:p>
            <w:pPr>
              <w:jc w:val="right"/>
              <w:ind w:right="152"/>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49,654</w:t>
            </w:r>
          </w:p>
        </w:tc>
      </w:tr>
      <w:tr>
        <w:trPr>
          <w:trHeight w:val="176"/>
        </w:trPr>
        <w:tc>
          <w:tcPr>
            <w:tcW w:w="4360" w:type="dxa"/>
            <w:vAlign w:val="bottom"/>
            <w:gridSpan w:val="2"/>
          </w:tcPr>
          <w:p>
            <w:pPr>
              <w:ind w:left="20"/>
              <w:spacing w:after="0"/>
              <w:rPr>
                <w:sz w:val="20"/>
                <w:szCs w:val="20"/>
                <w:color w:val="auto"/>
              </w:rPr>
            </w:pPr>
            <w:r>
              <w:rPr>
                <w:rFonts w:ascii="Arial" w:cs="Arial" w:eastAsia="Arial" w:hAnsi="Arial"/>
                <w:sz w:val="10"/>
                <w:szCs w:val="10"/>
                <w:color w:val="auto"/>
              </w:rPr>
              <w:t>Non-agency MBS - fair value</w:t>
            </w:r>
          </w:p>
        </w:tc>
        <w:tc>
          <w:tcPr>
            <w:tcW w:w="80" w:type="dxa"/>
            <w:vAlign w:val="bottom"/>
          </w:tcPr>
          <w:p>
            <w:pPr>
              <w:spacing w:after="0"/>
              <w:rPr>
                <w:sz w:val="15"/>
                <w:szCs w:val="15"/>
                <w:color w:val="auto"/>
              </w:rPr>
            </w:pPr>
          </w:p>
        </w:tc>
        <w:tc>
          <w:tcPr>
            <w:tcW w:w="1540" w:type="dxa"/>
            <w:vAlign w:val="bottom"/>
          </w:tcPr>
          <w:p>
            <w:pPr>
              <w:jc w:val="right"/>
              <w:ind w:right="72"/>
              <w:spacing w:after="0"/>
              <w:rPr>
                <w:sz w:val="20"/>
                <w:szCs w:val="20"/>
                <w:color w:val="auto"/>
              </w:rPr>
            </w:pPr>
            <w:r>
              <w:rPr>
                <w:rFonts w:ascii="Arial" w:cs="Arial" w:eastAsia="Arial" w:hAnsi="Arial"/>
                <w:sz w:val="10"/>
                <w:szCs w:val="10"/>
                <w:color w:val="auto"/>
              </w:rPr>
              <w:t>113</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80" w:type="dxa"/>
            <w:vAlign w:val="bottom"/>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5"/>
                <w:szCs w:val="15"/>
                <w:color w:val="auto"/>
              </w:rPr>
            </w:pPr>
          </w:p>
        </w:tc>
        <w:tc>
          <w:tcPr>
            <w:tcW w:w="128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260" w:type="dxa"/>
            <w:vAlign w:val="bottom"/>
          </w:tcPr>
          <w:p>
            <w:pPr>
              <w:spacing w:after="0"/>
              <w:rPr>
                <w:sz w:val="15"/>
                <w:szCs w:val="15"/>
                <w:color w:val="auto"/>
              </w:rPr>
            </w:pPr>
          </w:p>
        </w:tc>
        <w:tc>
          <w:tcPr>
            <w:tcW w:w="880" w:type="dxa"/>
            <w:vAlign w:val="bottom"/>
          </w:tcPr>
          <w:p>
            <w:pPr>
              <w:jc w:val="right"/>
              <w:ind w:right="72"/>
              <w:spacing w:after="0"/>
              <w:rPr>
                <w:sz w:val="20"/>
                <w:szCs w:val="20"/>
                <w:color w:val="auto"/>
              </w:rPr>
            </w:pPr>
            <w:r>
              <w:rPr>
                <w:rFonts w:ascii="Arial" w:cs="Arial" w:eastAsia="Arial" w:hAnsi="Arial"/>
                <w:sz w:val="10"/>
                <w:szCs w:val="10"/>
                <w:color w:val="auto"/>
              </w:rPr>
              <w:t>113</w:t>
            </w:r>
          </w:p>
        </w:tc>
      </w:tr>
      <w:tr>
        <w:trPr>
          <w:trHeight w:val="184"/>
        </w:trPr>
        <w:tc>
          <w:tcPr>
            <w:tcW w:w="436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U.S. Treasury securities - fair value</w:t>
            </w:r>
          </w:p>
        </w:tc>
        <w:tc>
          <w:tcPr>
            <w:tcW w:w="80" w:type="dxa"/>
            <w:vAlign w:val="bottom"/>
            <w:shd w:val="clear" w:color="auto" w:fill="CCEEFF"/>
          </w:tcPr>
          <w:p>
            <w:pPr>
              <w:spacing w:after="0"/>
              <w:rPr>
                <w:sz w:val="16"/>
                <w:szCs w:val="16"/>
                <w:color w:val="auto"/>
              </w:rPr>
            </w:pPr>
          </w:p>
        </w:tc>
        <w:tc>
          <w:tcPr>
            <w:tcW w:w="15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25</w:t>
            </w: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8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16"/>
                <w:szCs w:val="16"/>
                <w:color w:val="auto"/>
              </w:rPr>
            </w:pPr>
          </w:p>
        </w:tc>
        <w:tc>
          <w:tcPr>
            <w:tcW w:w="128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260" w:type="dxa"/>
            <w:vAlign w:val="bottom"/>
            <w:shd w:val="clear" w:color="auto" w:fill="CCEEFF"/>
          </w:tcPr>
          <w:p>
            <w:pPr>
              <w:spacing w:after="0"/>
              <w:rPr>
                <w:sz w:val="16"/>
                <w:szCs w:val="16"/>
                <w:color w:val="auto"/>
              </w:rPr>
            </w:pPr>
          </w:p>
        </w:tc>
        <w:tc>
          <w:tcPr>
            <w:tcW w:w="8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25</w:t>
            </w:r>
          </w:p>
        </w:tc>
      </w:tr>
      <w:tr>
        <w:trPr>
          <w:trHeight w:val="176"/>
        </w:trPr>
        <w:tc>
          <w:tcPr>
            <w:tcW w:w="4360" w:type="dxa"/>
            <w:vAlign w:val="bottom"/>
            <w:gridSpan w:val="2"/>
          </w:tcPr>
          <w:p>
            <w:pPr>
              <w:ind w:left="20"/>
              <w:spacing w:after="0"/>
              <w:rPr>
                <w:sz w:val="20"/>
                <w:szCs w:val="20"/>
                <w:color w:val="auto"/>
              </w:rPr>
            </w:pPr>
            <w:r>
              <w:rPr>
                <w:rFonts w:ascii="Arial" w:cs="Arial" w:eastAsia="Arial" w:hAnsi="Arial"/>
                <w:sz w:val="10"/>
                <w:szCs w:val="10"/>
                <w:color w:val="auto"/>
              </w:rPr>
              <w:t>Accrued interest on pledged securities</w:t>
            </w:r>
          </w:p>
        </w:tc>
        <w:tc>
          <w:tcPr>
            <w:tcW w:w="80" w:type="dxa"/>
            <w:vAlign w:val="bottom"/>
          </w:tcPr>
          <w:p>
            <w:pPr>
              <w:spacing w:after="0"/>
              <w:rPr>
                <w:sz w:val="15"/>
                <w:szCs w:val="15"/>
                <w:color w:val="auto"/>
              </w:rPr>
            </w:pPr>
          </w:p>
        </w:tc>
        <w:tc>
          <w:tcPr>
            <w:tcW w:w="1540" w:type="dxa"/>
            <w:vAlign w:val="bottom"/>
          </w:tcPr>
          <w:p>
            <w:pPr>
              <w:jc w:val="right"/>
              <w:ind w:right="72"/>
              <w:spacing w:after="0"/>
              <w:rPr>
                <w:sz w:val="20"/>
                <w:szCs w:val="20"/>
                <w:color w:val="auto"/>
              </w:rPr>
            </w:pPr>
            <w:r>
              <w:rPr>
                <w:rFonts w:ascii="Arial" w:cs="Arial" w:eastAsia="Arial" w:hAnsi="Arial"/>
                <w:sz w:val="10"/>
                <w:szCs w:val="10"/>
                <w:color w:val="auto"/>
              </w:rPr>
              <w:t>135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80" w:type="dxa"/>
            <w:vAlign w:val="bottom"/>
          </w:tcPr>
          <w:p>
            <w:pPr>
              <w:jc w:val="right"/>
              <w:ind w:right="72"/>
              <w:spacing w:after="0"/>
              <w:rPr>
                <w:sz w:val="20"/>
                <w:szCs w:val="20"/>
                <w:color w:val="auto"/>
              </w:rPr>
            </w:pPr>
            <w:r>
              <w:rPr>
                <w:rFonts w:ascii="Arial" w:cs="Arial" w:eastAsia="Arial" w:hAnsi="Arial"/>
                <w:sz w:val="10"/>
                <w:szCs w:val="10"/>
                <w:color w:val="auto"/>
              </w:rPr>
              <w:t>3</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5"/>
                <w:szCs w:val="15"/>
                <w:color w:val="auto"/>
              </w:rPr>
            </w:pPr>
          </w:p>
        </w:tc>
        <w:tc>
          <w:tcPr>
            <w:tcW w:w="1180" w:type="dxa"/>
            <w:vAlign w:val="bottom"/>
          </w:tcPr>
          <w:p>
            <w:pPr>
              <w:jc w:val="right"/>
              <w:ind w:right="72"/>
              <w:spacing w:after="0"/>
              <w:rPr>
                <w:sz w:val="20"/>
                <w:szCs w:val="20"/>
                <w:color w:val="auto"/>
              </w:rPr>
            </w:pPr>
            <w:r>
              <w:rPr>
                <w:rFonts w:ascii="Arial" w:cs="Arial" w:eastAsia="Arial" w:hAnsi="Arial"/>
                <w:sz w:val="10"/>
                <w:szCs w:val="10"/>
                <w:color w:val="auto"/>
              </w:rPr>
              <w:t>2</w:t>
            </w: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80" w:type="dxa"/>
            <w:vAlign w:val="bottom"/>
          </w:tcPr>
          <w:p>
            <w:pPr>
              <w:jc w:val="right"/>
              <w:ind w:right="72"/>
              <w:spacing w:after="0"/>
              <w:rPr>
                <w:sz w:val="20"/>
                <w:szCs w:val="20"/>
                <w:color w:val="auto"/>
              </w:rPr>
            </w:pPr>
            <w:r>
              <w:rPr>
                <w:rFonts w:ascii="Arial" w:cs="Arial" w:eastAsia="Arial" w:hAnsi="Arial"/>
                <w:sz w:val="10"/>
                <w:szCs w:val="10"/>
                <w:color w:val="auto"/>
              </w:rPr>
              <w:t>140</w:t>
            </w:r>
          </w:p>
        </w:tc>
      </w:tr>
      <w:tr>
        <w:trPr>
          <w:trHeight w:val="180"/>
        </w:trPr>
        <w:tc>
          <w:tcPr>
            <w:tcW w:w="436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Restricted cash and cash equivalents</w:t>
            </w:r>
          </w:p>
        </w:tc>
        <w:tc>
          <w:tcPr>
            <w:tcW w:w="80" w:type="dxa"/>
            <w:vAlign w:val="bottom"/>
            <w:tcBorders>
              <w:bottom w:val="single" w:sz="8" w:color="auto"/>
            </w:tcBorders>
            <w:shd w:val="clear" w:color="auto" w:fill="CCEEFF"/>
          </w:tcPr>
          <w:p>
            <w:pPr>
              <w:spacing w:after="0"/>
              <w:rPr>
                <w:sz w:val="15"/>
                <w:szCs w:val="15"/>
                <w:color w:val="auto"/>
              </w:rPr>
            </w:pPr>
          </w:p>
        </w:tc>
        <w:tc>
          <w:tcPr>
            <w:tcW w:w="15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23</w:t>
            </w:r>
          </w:p>
        </w:tc>
        <w:tc>
          <w:tcPr>
            <w:tcW w:w="120" w:type="dxa"/>
            <w:vAlign w:val="bottom"/>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12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1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1,226</w:t>
            </w:r>
          </w:p>
        </w:tc>
        <w:tc>
          <w:tcPr>
            <w:tcW w:w="120" w:type="dxa"/>
            <w:vAlign w:val="bottom"/>
            <w:shd w:val="clear" w:color="auto" w:fill="CCEEFF"/>
          </w:tcPr>
          <w:p>
            <w:pPr>
              <w:spacing w:after="0"/>
              <w:rPr>
                <w:sz w:val="15"/>
                <w:szCs w:val="15"/>
                <w:color w:val="auto"/>
              </w:rPr>
            </w:pPr>
          </w:p>
        </w:tc>
        <w:tc>
          <w:tcPr>
            <w:tcW w:w="60" w:type="dxa"/>
            <w:vAlign w:val="bottom"/>
            <w:tcBorders>
              <w:bottom w:val="single" w:sz="8" w:color="auto"/>
            </w:tcBorders>
            <w:shd w:val="clear" w:color="auto" w:fill="CCEEFF"/>
          </w:tcPr>
          <w:p>
            <w:pPr>
              <w:spacing w:after="0"/>
              <w:rPr>
                <w:sz w:val="15"/>
                <w:szCs w:val="15"/>
                <w:color w:val="auto"/>
              </w:rPr>
            </w:pPr>
          </w:p>
        </w:tc>
        <w:tc>
          <w:tcPr>
            <w:tcW w:w="11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32</w:t>
            </w:r>
          </w:p>
        </w:tc>
        <w:tc>
          <w:tcPr>
            <w:tcW w:w="100" w:type="dxa"/>
            <w:vAlign w:val="bottom"/>
            <w:shd w:val="clear" w:color="auto" w:fill="CCEEFF"/>
          </w:tcPr>
          <w:p>
            <w:pPr>
              <w:spacing w:after="0"/>
              <w:rPr>
                <w:sz w:val="15"/>
                <w:szCs w:val="15"/>
                <w:color w:val="auto"/>
              </w:rPr>
            </w:pPr>
          </w:p>
        </w:tc>
        <w:tc>
          <w:tcPr>
            <w:tcW w:w="260" w:type="dxa"/>
            <w:vAlign w:val="bottom"/>
            <w:tcBorders>
              <w:bottom w:val="single" w:sz="8" w:color="auto"/>
            </w:tcBorders>
            <w:shd w:val="clear" w:color="auto" w:fill="CCEEFF"/>
          </w:tcPr>
          <w:p>
            <w:pPr>
              <w:spacing w:after="0"/>
              <w:rPr>
                <w:sz w:val="15"/>
                <w:szCs w:val="15"/>
                <w:color w:val="auto"/>
              </w:rPr>
            </w:pPr>
          </w:p>
        </w:tc>
        <w:tc>
          <w:tcPr>
            <w:tcW w:w="8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1,281</w:t>
            </w:r>
          </w:p>
        </w:tc>
      </w:tr>
      <w:tr>
        <w:trPr>
          <w:trHeight w:val="162"/>
        </w:trPr>
        <w:tc>
          <w:tcPr>
            <w:tcW w:w="4360" w:type="dxa"/>
            <w:vAlign w:val="bottom"/>
            <w:gridSpan w:val="2"/>
          </w:tcPr>
          <w:p>
            <w:pPr>
              <w:ind w:left="120"/>
              <w:spacing w:after="0"/>
              <w:rPr>
                <w:sz w:val="20"/>
                <w:szCs w:val="20"/>
                <w:color w:val="auto"/>
              </w:rPr>
            </w:pPr>
            <w:r>
              <w:rPr>
                <w:rFonts w:ascii="Arial" w:cs="Arial" w:eastAsia="Arial" w:hAnsi="Arial"/>
                <w:sz w:val="10"/>
                <w:szCs w:val="10"/>
                <w:color w:val="auto"/>
              </w:rPr>
              <w:t>Total</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540" w:type="dxa"/>
            <w:vAlign w:val="bottom"/>
          </w:tcPr>
          <w:p>
            <w:pPr>
              <w:jc w:val="right"/>
              <w:ind w:right="72"/>
              <w:spacing w:after="0"/>
              <w:rPr>
                <w:sz w:val="20"/>
                <w:szCs w:val="20"/>
                <w:color w:val="auto"/>
              </w:rPr>
            </w:pPr>
            <w:r>
              <w:rPr>
                <w:rFonts w:ascii="Arial" w:cs="Arial" w:eastAsia="Arial" w:hAnsi="Arial"/>
                <w:sz w:val="10"/>
                <w:szCs w:val="10"/>
                <w:color w:val="auto"/>
              </w:rPr>
              <w:t>48,288</w:t>
            </w:r>
          </w:p>
        </w:tc>
        <w:tc>
          <w:tcPr>
            <w:tcW w:w="12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Pr>
          <w:p>
            <w:pPr>
              <w:jc w:val="right"/>
              <w:ind w:right="72"/>
              <w:spacing w:after="0"/>
              <w:rPr>
                <w:sz w:val="20"/>
                <w:szCs w:val="20"/>
                <w:color w:val="auto"/>
              </w:rPr>
            </w:pPr>
            <w:r>
              <w:rPr>
                <w:rFonts w:ascii="Arial" w:cs="Arial" w:eastAsia="Arial" w:hAnsi="Arial"/>
                <w:sz w:val="10"/>
                <w:szCs w:val="10"/>
                <w:color w:val="auto"/>
              </w:rPr>
              <w:t>1,032</w:t>
            </w:r>
          </w:p>
        </w:tc>
        <w:tc>
          <w:tcPr>
            <w:tcW w:w="240" w:type="dxa"/>
            <w:vAlign w:val="bottom"/>
            <w:gridSpan w:val="2"/>
          </w:tcPr>
          <w:p>
            <w:pPr>
              <w:jc w:val="right"/>
              <w:ind w:right="60"/>
              <w:spacing w:after="0"/>
              <w:rPr>
                <w:sz w:val="20"/>
                <w:szCs w:val="20"/>
                <w:color w:val="auto"/>
              </w:rPr>
            </w:pPr>
            <w:r>
              <w:rPr>
                <w:rFonts w:ascii="Arial" w:cs="Arial" w:eastAsia="Arial" w:hAnsi="Arial"/>
                <w:sz w:val="10"/>
                <w:szCs w:val="10"/>
                <w:color w:val="auto"/>
              </w:rPr>
              <w:t>$</w:t>
            </w:r>
          </w:p>
        </w:tc>
        <w:tc>
          <w:tcPr>
            <w:tcW w:w="1160" w:type="dxa"/>
            <w:vAlign w:val="bottom"/>
          </w:tcPr>
          <w:p>
            <w:pPr>
              <w:jc w:val="right"/>
              <w:ind w:right="72"/>
              <w:spacing w:after="0"/>
              <w:rPr>
                <w:sz w:val="20"/>
                <w:szCs w:val="20"/>
                <w:color w:val="auto"/>
              </w:rPr>
            </w:pPr>
            <w:r>
              <w:rPr>
                <w:rFonts w:ascii="Arial" w:cs="Arial" w:eastAsia="Arial" w:hAnsi="Arial"/>
                <w:sz w:val="10"/>
                <w:szCs w:val="10"/>
                <w:color w:val="auto"/>
              </w:rPr>
              <w:t>1,374</w:t>
            </w:r>
          </w:p>
        </w:tc>
        <w:tc>
          <w:tcPr>
            <w:tcW w:w="120" w:type="dxa"/>
            <w:vAlign w:val="bottom"/>
          </w:tcPr>
          <w:p>
            <w:pPr>
              <w:spacing w:after="0"/>
              <w:rPr>
                <w:sz w:val="14"/>
                <w:szCs w:val="14"/>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80" w:type="dxa"/>
            <w:vAlign w:val="bottom"/>
          </w:tcPr>
          <w:p>
            <w:pPr>
              <w:jc w:val="right"/>
              <w:ind w:right="72"/>
              <w:spacing w:after="0"/>
              <w:rPr>
                <w:sz w:val="20"/>
                <w:szCs w:val="20"/>
                <w:color w:val="auto"/>
              </w:rPr>
            </w:pPr>
            <w:r>
              <w:rPr>
                <w:rFonts w:ascii="Arial" w:cs="Arial" w:eastAsia="Arial" w:hAnsi="Arial"/>
                <w:sz w:val="10"/>
                <w:szCs w:val="10"/>
                <w:color w:val="auto"/>
              </w:rPr>
              <w:t>519</w:t>
            </w:r>
          </w:p>
        </w:tc>
        <w:tc>
          <w:tcPr>
            <w:tcW w:w="100" w:type="dxa"/>
            <w:vAlign w:val="bottom"/>
          </w:tcPr>
          <w:p>
            <w:pPr>
              <w:spacing w:after="0"/>
              <w:rPr>
                <w:sz w:val="14"/>
                <w:szCs w:val="14"/>
                <w:color w:val="auto"/>
              </w:rPr>
            </w:pPr>
          </w:p>
        </w:tc>
        <w:tc>
          <w:tcPr>
            <w:tcW w:w="260" w:type="dxa"/>
            <w:vAlign w:val="bottom"/>
          </w:tcPr>
          <w:p>
            <w:pPr>
              <w:jc w:val="right"/>
              <w:ind w:right="152"/>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ind w:right="72"/>
              <w:spacing w:after="0"/>
              <w:rPr>
                <w:sz w:val="20"/>
                <w:szCs w:val="20"/>
                <w:color w:val="auto"/>
              </w:rPr>
            </w:pPr>
            <w:r>
              <w:rPr>
                <w:rFonts w:ascii="Arial" w:cs="Arial" w:eastAsia="Arial" w:hAnsi="Arial"/>
                <w:sz w:val="10"/>
                <w:szCs w:val="10"/>
                <w:color w:val="auto"/>
              </w:rPr>
              <w:t>51,213</w:t>
            </w:r>
          </w:p>
        </w:tc>
      </w:tr>
      <w:tr>
        <w:trPr>
          <w:trHeight w:val="95"/>
        </w:trPr>
        <w:tc>
          <w:tcPr>
            <w:tcW w:w="4240" w:type="dxa"/>
            <w:vAlign w:val="bottom"/>
          </w:tcPr>
          <w:p>
            <w:pPr>
              <w:spacing w:after="0"/>
              <w:rPr>
                <w:sz w:val="20"/>
                <w:szCs w:val="20"/>
                <w:color w:val="auto"/>
              </w:rPr>
            </w:pPr>
            <w:r>
              <w:rPr>
                <w:rFonts w:ascii="Arial" w:cs="Arial" w:eastAsia="Arial" w:hAnsi="Arial"/>
                <w:sz w:val="8"/>
                <w:szCs w:val="8"/>
                <w:color w:val="auto"/>
              </w:rPr>
              <w:t>______________________</w:t>
            </w:r>
          </w:p>
        </w:tc>
        <w:tc>
          <w:tcPr>
            <w:tcW w:w="12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154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128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116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1180" w:type="dxa"/>
            <w:vAlign w:val="bottom"/>
            <w:tcBorders>
              <w:top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260" w:type="dxa"/>
            <w:vAlign w:val="bottom"/>
            <w:tcBorders>
              <w:top w:val="single" w:sz="8" w:color="auto"/>
            </w:tcBorders>
          </w:tcPr>
          <w:p>
            <w:pPr>
              <w:spacing w:after="0"/>
              <w:rPr>
                <w:sz w:val="8"/>
                <w:szCs w:val="8"/>
                <w:color w:val="auto"/>
              </w:rPr>
            </w:pPr>
          </w:p>
        </w:tc>
        <w:tc>
          <w:tcPr>
            <w:tcW w:w="880" w:type="dxa"/>
            <w:vAlign w:val="bottom"/>
            <w:tcBorders>
              <w:top w:val="single" w:sz="8" w:color="auto"/>
            </w:tcBorders>
          </w:tcPr>
          <w:p>
            <w:pPr>
              <w:spacing w:after="0"/>
              <w:rPr>
                <w:sz w:val="8"/>
                <w:szCs w:val="8"/>
                <w:color w:val="auto"/>
              </w:rPr>
            </w:pPr>
          </w:p>
        </w:tc>
      </w:tr>
    </w:tbl>
    <w:p>
      <w:pPr>
        <w:ind w:left="200"/>
        <w:spacing w:after="0" w:line="236" w:lineRule="auto"/>
        <w:rPr>
          <w:sz w:val="20"/>
          <w:szCs w:val="20"/>
          <w:color w:val="auto"/>
        </w:rPr>
      </w:pPr>
      <w:r>
        <w:rPr>
          <w:rFonts w:ascii="Arial" w:cs="Arial" w:eastAsia="Arial" w:hAnsi="Arial"/>
          <w:sz w:val="10"/>
          <w:szCs w:val="10"/>
          <w:color w:val="auto"/>
        </w:rPr>
        <w:t>1. Includes $245 million of retained interests in our consolidated VIEs pledged as collateral under repurchase agreements.</w:t>
      </w:r>
    </w:p>
    <w:p>
      <w:pPr>
        <w:spacing w:after="0" w:line="99"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As of September 30, 2016 and December 31, 2015, we held $126 million and $150 million, respectively, of membership and activity-based stock in the FHLB of Des Moines. FHLB stock is reported at cost, which equals par value, in other assets on our accompanying consolidated balance sheets. FHLB stock can only be redeemed or sold at its par value, and only to the FHLB of Des Moines.</w:t>
      </w:r>
    </w:p>
    <w:p>
      <w:pPr>
        <w:spacing w:after="0" w:line="79"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The cash and cash equivalents and agency securities pledged as collateral under our derivative agreements are included in restricted cash and cash equivalents and agency securities, at fair value, respectively, on our consolidated balance sheets.</w:t>
      </w:r>
    </w:p>
    <w:p>
      <w:pPr>
        <w:spacing w:after="0" w:line="79" w:lineRule="exact"/>
        <w:rPr>
          <w:sz w:val="20"/>
          <w:szCs w:val="20"/>
          <w:color w:val="auto"/>
        </w:rPr>
      </w:pPr>
    </w:p>
    <w:p>
      <w:pPr>
        <w:jc w:val="both"/>
        <w:ind w:firstLine="288"/>
        <w:spacing w:after="0" w:line="323" w:lineRule="auto"/>
        <w:rPr>
          <w:sz w:val="20"/>
          <w:szCs w:val="20"/>
          <w:color w:val="auto"/>
        </w:rPr>
      </w:pPr>
      <w:r>
        <w:rPr>
          <w:rFonts w:ascii="Arial" w:cs="Arial" w:eastAsia="Arial" w:hAnsi="Arial"/>
          <w:sz w:val="11"/>
          <w:szCs w:val="11"/>
          <w:color w:val="auto"/>
        </w:rPr>
        <w:t>The following table summarizes our securities pledged as collateral under our repurchase agreements and FHLB advances by the remaining maturity of our borrowings, including securities pledged related to sold but not yet settled securities, as of September 30, 2016 and December 31, 2015 (in millions). For the corresponding borrowings associated with the following amounts and the interest rates thereon, refer to Note 5</w:t>
      </w:r>
      <w:r>
        <w:rPr>
          <w:rFonts w:ascii="Arial" w:cs="Arial" w:eastAsia="Arial" w:hAnsi="Arial"/>
          <w:sz w:val="11"/>
          <w:szCs w:val="11"/>
          <w:i w:val="1"/>
          <w:iCs w:val="1"/>
          <w:color w:val="auto"/>
        </w:rPr>
        <w:t>.</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21</w:t>
      </w:r>
    </w:p>
    <w:p>
      <w:pPr>
        <w:sectPr>
          <w:pgSz w:w="11900" w:h="16838" w:orient="portrait"/>
          <w:cols w:equalWidth="0" w:num="1">
            <w:col w:w="11480"/>
          </w:cols>
          <w:pgMar w:left="220" w:top="545" w:right="199" w:bottom="1440" w:gutter="0" w:footer="0" w:header="0"/>
        </w:sectPr>
      </w:pPr>
    </w:p>
    <w:bookmarkStart w:id="22" w:name="page23"/>
    <w:bookmarkEnd w:id="22"/>
    <w:tbl>
      <w:tblPr>
        <w:tblLayout w:type="fixed"/>
        <w:tblInd w:w="0" w:type="dxa"/>
        <w:tblCellMar>
          <w:top w:w="0" w:type="dxa"/>
          <w:left w:w="0" w:type="dxa"/>
          <w:bottom w:w="0" w:type="dxa"/>
          <w:right w:w="0" w:type="dxa"/>
        </w:tblCellMar>
      </w:tblPr>
      <w:tr>
        <w:trPr>
          <w:trHeight w:val="128"/>
        </w:trPr>
        <w:tc>
          <w:tcPr>
            <w:tcW w:w="39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200" w:type="dxa"/>
            <w:vAlign w:val="bottom"/>
            <w:tcBorders>
              <w:bottom w:val="single" w:sz="8" w:color="auto"/>
            </w:tcBorders>
            <w:gridSpan w:val="2"/>
          </w:tcPr>
          <w:p>
            <w:pPr>
              <w:spacing w:after="0"/>
              <w:rPr>
                <w:sz w:val="20"/>
                <w:szCs w:val="20"/>
                <w:color w:val="auto"/>
              </w:rPr>
            </w:pPr>
            <w:r>
              <w:rPr>
                <w:rFonts w:ascii="Arial" w:cs="Arial" w:eastAsia="Arial" w:hAnsi="Arial"/>
                <w:sz w:val="10"/>
                <w:szCs w:val="10"/>
                <w:b w:val="1"/>
                <w:bCs w:val="1"/>
                <w:color w:val="auto"/>
              </w:rPr>
              <w:t>September 30, 2016</w:t>
            </w:r>
          </w:p>
        </w:tc>
        <w:tc>
          <w:tcPr>
            <w:tcW w:w="2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240" w:type="dxa"/>
            <w:vAlign w:val="bottom"/>
            <w:tcBorders>
              <w:bottom w:val="single" w:sz="8" w:color="auto"/>
            </w:tcBorders>
            <w:gridSpan w:val="3"/>
          </w:tcPr>
          <w:p>
            <w:pPr>
              <w:ind w:left="60"/>
              <w:spacing w:after="0"/>
              <w:rPr>
                <w:sz w:val="20"/>
                <w:szCs w:val="20"/>
                <w:color w:val="auto"/>
              </w:rPr>
            </w:pPr>
            <w:r>
              <w:rPr>
                <w:rFonts w:ascii="Arial" w:cs="Arial" w:eastAsia="Arial" w:hAnsi="Arial"/>
                <w:sz w:val="10"/>
                <w:szCs w:val="10"/>
                <w:b w:val="1"/>
                <w:bCs w:val="1"/>
                <w:color w:val="auto"/>
              </w:rPr>
              <w:t>December 31, 2015</w:t>
            </w: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r>
      <w:tr>
        <w:trPr>
          <w:trHeight w:val="96"/>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960" w:type="dxa"/>
            <w:vAlign w:val="bottom"/>
            <w:gridSpan w:val="2"/>
          </w:tcPr>
          <w:p>
            <w:pPr>
              <w:jc w:val="center"/>
              <w:ind w:right="300"/>
              <w:spacing w:after="0" w:line="96" w:lineRule="exact"/>
              <w:rPr>
                <w:sz w:val="20"/>
                <w:szCs w:val="20"/>
                <w:color w:val="auto"/>
              </w:rPr>
            </w:pPr>
            <w:r>
              <w:rPr>
                <w:rFonts w:ascii="Arial" w:cs="Arial" w:eastAsia="Arial" w:hAnsi="Arial"/>
                <w:sz w:val="10"/>
                <w:szCs w:val="10"/>
                <w:b w:val="1"/>
                <w:bCs w:val="1"/>
                <w:color w:val="auto"/>
                <w:w w:val="84"/>
              </w:rPr>
              <w:t>Accrued</w:t>
            </w:r>
          </w:p>
        </w:tc>
        <w:tc>
          <w:tcPr>
            <w:tcW w:w="140" w:type="dxa"/>
            <w:vAlign w:val="bottom"/>
          </w:tcPr>
          <w:p>
            <w:pPr>
              <w:spacing w:after="0"/>
              <w:rPr>
                <w:sz w:val="8"/>
                <w:szCs w:val="8"/>
                <w:color w:val="auto"/>
              </w:rPr>
            </w:pPr>
          </w:p>
        </w:tc>
        <w:tc>
          <w:tcPr>
            <w:tcW w:w="1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9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80" w:type="dxa"/>
            <w:vAlign w:val="bottom"/>
          </w:tcPr>
          <w:p>
            <w:pPr>
              <w:spacing w:after="0"/>
              <w:rPr>
                <w:sz w:val="8"/>
                <w:szCs w:val="8"/>
                <w:color w:val="auto"/>
              </w:rPr>
            </w:pPr>
          </w:p>
        </w:tc>
        <w:tc>
          <w:tcPr>
            <w:tcW w:w="840" w:type="dxa"/>
            <w:vAlign w:val="bottom"/>
          </w:tcPr>
          <w:p>
            <w:pPr>
              <w:jc w:val="center"/>
              <w:ind w:right="128"/>
              <w:spacing w:after="0" w:line="96" w:lineRule="exact"/>
              <w:rPr>
                <w:sz w:val="20"/>
                <w:szCs w:val="20"/>
                <w:color w:val="auto"/>
              </w:rPr>
            </w:pPr>
            <w:r>
              <w:rPr>
                <w:rFonts w:ascii="Arial" w:cs="Arial" w:eastAsia="Arial" w:hAnsi="Arial"/>
                <w:sz w:val="10"/>
                <w:szCs w:val="10"/>
                <w:b w:val="1"/>
                <w:bCs w:val="1"/>
                <w:color w:val="auto"/>
                <w:w w:val="84"/>
              </w:rPr>
              <w:t>Accrued</w:t>
            </w:r>
          </w:p>
        </w:tc>
      </w:tr>
      <w:tr>
        <w:trPr>
          <w:trHeight w:val="99"/>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960" w:type="dxa"/>
            <w:vAlign w:val="bottom"/>
            <w:gridSpan w:val="2"/>
          </w:tcPr>
          <w:p>
            <w:pPr>
              <w:jc w:val="center"/>
              <w:ind w:right="320"/>
              <w:spacing w:after="0" w:line="99" w:lineRule="exact"/>
              <w:rPr>
                <w:sz w:val="20"/>
                <w:szCs w:val="20"/>
                <w:color w:val="auto"/>
              </w:rPr>
            </w:pPr>
            <w:r>
              <w:rPr>
                <w:rFonts w:ascii="Arial" w:cs="Arial" w:eastAsia="Arial" w:hAnsi="Arial"/>
                <w:sz w:val="10"/>
                <w:szCs w:val="10"/>
                <w:b w:val="1"/>
                <w:bCs w:val="1"/>
                <w:color w:val="auto"/>
                <w:w w:val="85"/>
              </w:rPr>
              <w:t>Interest on</w:t>
            </w:r>
          </w:p>
        </w:tc>
        <w:tc>
          <w:tcPr>
            <w:tcW w:w="140" w:type="dxa"/>
            <w:vAlign w:val="bottom"/>
          </w:tcPr>
          <w:p>
            <w:pPr>
              <w:spacing w:after="0"/>
              <w:rPr>
                <w:sz w:val="8"/>
                <w:szCs w:val="8"/>
                <w:color w:val="auto"/>
              </w:rPr>
            </w:pPr>
          </w:p>
        </w:tc>
        <w:tc>
          <w:tcPr>
            <w:tcW w:w="1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Pr>
          <w:p>
            <w:pPr>
              <w:spacing w:after="0"/>
              <w:rPr>
                <w:sz w:val="8"/>
                <w:szCs w:val="8"/>
                <w:color w:val="auto"/>
              </w:rPr>
            </w:pPr>
          </w:p>
        </w:tc>
        <w:tc>
          <w:tcPr>
            <w:tcW w:w="9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80" w:type="dxa"/>
            <w:vAlign w:val="bottom"/>
          </w:tcPr>
          <w:p>
            <w:pPr>
              <w:spacing w:after="0"/>
              <w:rPr>
                <w:sz w:val="8"/>
                <w:szCs w:val="8"/>
                <w:color w:val="auto"/>
              </w:rPr>
            </w:pPr>
          </w:p>
        </w:tc>
        <w:tc>
          <w:tcPr>
            <w:tcW w:w="840" w:type="dxa"/>
            <w:vAlign w:val="bottom"/>
          </w:tcPr>
          <w:p>
            <w:pPr>
              <w:jc w:val="center"/>
              <w:ind w:right="148"/>
              <w:spacing w:after="0" w:line="99" w:lineRule="exact"/>
              <w:rPr>
                <w:sz w:val="20"/>
                <w:szCs w:val="20"/>
                <w:color w:val="auto"/>
              </w:rPr>
            </w:pPr>
            <w:r>
              <w:rPr>
                <w:rFonts w:ascii="Arial" w:cs="Arial" w:eastAsia="Arial" w:hAnsi="Arial"/>
                <w:sz w:val="10"/>
                <w:szCs w:val="10"/>
                <w:b w:val="1"/>
                <w:bCs w:val="1"/>
                <w:color w:val="auto"/>
                <w:w w:val="85"/>
              </w:rPr>
              <w:t>Interest on</w:t>
            </w:r>
          </w:p>
        </w:tc>
      </w:tr>
      <w:tr>
        <w:trPr>
          <w:trHeight w:val="99"/>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240" w:type="dxa"/>
            <w:vAlign w:val="bottom"/>
            <w:gridSpan w:val="2"/>
          </w:tcPr>
          <w:p>
            <w:pPr>
              <w:ind w:left="60"/>
              <w:spacing w:after="0" w:line="99" w:lineRule="exact"/>
              <w:rPr>
                <w:sz w:val="20"/>
                <w:szCs w:val="20"/>
                <w:color w:val="auto"/>
              </w:rPr>
            </w:pPr>
            <w:r>
              <w:rPr>
                <w:rFonts w:ascii="Arial" w:cs="Arial" w:eastAsia="Arial" w:hAnsi="Arial"/>
                <w:sz w:val="10"/>
                <w:szCs w:val="10"/>
                <w:b w:val="1"/>
                <w:bCs w:val="1"/>
                <w:color w:val="auto"/>
              </w:rPr>
              <w:t>Fair Value of Pledged</w:t>
            </w:r>
          </w:p>
        </w:tc>
        <w:tc>
          <w:tcPr>
            <w:tcW w:w="80" w:type="dxa"/>
            <w:vAlign w:val="bottom"/>
          </w:tcPr>
          <w:p>
            <w:pPr>
              <w:spacing w:after="0"/>
              <w:rPr>
                <w:sz w:val="8"/>
                <w:szCs w:val="8"/>
                <w:color w:val="auto"/>
              </w:rPr>
            </w:pPr>
          </w:p>
        </w:tc>
        <w:tc>
          <w:tcPr>
            <w:tcW w:w="1200" w:type="dxa"/>
            <w:vAlign w:val="bottom"/>
            <w:gridSpan w:val="2"/>
          </w:tcPr>
          <w:p>
            <w:pPr>
              <w:jc w:val="center"/>
              <w:ind w:right="200"/>
              <w:spacing w:after="0" w:line="99" w:lineRule="exact"/>
              <w:rPr>
                <w:sz w:val="20"/>
                <w:szCs w:val="20"/>
                <w:color w:val="auto"/>
              </w:rPr>
            </w:pPr>
            <w:r>
              <w:rPr>
                <w:rFonts w:ascii="Arial" w:cs="Arial" w:eastAsia="Arial" w:hAnsi="Arial"/>
                <w:sz w:val="10"/>
                <w:szCs w:val="10"/>
                <w:b w:val="1"/>
                <w:bCs w:val="1"/>
                <w:color w:val="auto"/>
                <w:w w:val="89"/>
              </w:rPr>
              <w:t>Amortized</w:t>
            </w:r>
          </w:p>
        </w:tc>
        <w:tc>
          <w:tcPr>
            <w:tcW w:w="200" w:type="dxa"/>
            <w:vAlign w:val="bottom"/>
          </w:tcPr>
          <w:p>
            <w:pPr>
              <w:spacing w:after="0"/>
              <w:rPr>
                <w:sz w:val="8"/>
                <w:szCs w:val="8"/>
                <w:color w:val="auto"/>
              </w:rPr>
            </w:pPr>
          </w:p>
        </w:tc>
        <w:tc>
          <w:tcPr>
            <w:tcW w:w="960" w:type="dxa"/>
            <w:vAlign w:val="bottom"/>
            <w:gridSpan w:val="2"/>
          </w:tcPr>
          <w:p>
            <w:pPr>
              <w:jc w:val="center"/>
              <w:ind w:right="320"/>
              <w:spacing w:after="0" w:line="99" w:lineRule="exact"/>
              <w:rPr>
                <w:sz w:val="20"/>
                <w:szCs w:val="20"/>
                <w:color w:val="auto"/>
              </w:rPr>
            </w:pPr>
            <w:r>
              <w:rPr>
                <w:rFonts w:ascii="Arial" w:cs="Arial" w:eastAsia="Arial" w:hAnsi="Arial"/>
                <w:sz w:val="10"/>
                <w:szCs w:val="10"/>
                <w:b w:val="1"/>
                <w:bCs w:val="1"/>
                <w:color w:val="auto"/>
                <w:w w:val="82"/>
              </w:rPr>
              <w:t>Pledged</w:t>
            </w:r>
          </w:p>
        </w:tc>
        <w:tc>
          <w:tcPr>
            <w:tcW w:w="140" w:type="dxa"/>
            <w:vAlign w:val="bottom"/>
          </w:tcPr>
          <w:p>
            <w:pPr>
              <w:spacing w:after="0"/>
              <w:rPr>
                <w:sz w:val="8"/>
                <w:szCs w:val="8"/>
                <w:color w:val="auto"/>
              </w:rPr>
            </w:pPr>
          </w:p>
        </w:tc>
        <w:tc>
          <w:tcPr>
            <w:tcW w:w="1240" w:type="dxa"/>
            <w:vAlign w:val="bottom"/>
            <w:gridSpan w:val="2"/>
          </w:tcPr>
          <w:p>
            <w:pPr>
              <w:ind w:left="60"/>
              <w:spacing w:after="0" w:line="99" w:lineRule="exact"/>
              <w:rPr>
                <w:sz w:val="20"/>
                <w:szCs w:val="20"/>
                <w:color w:val="auto"/>
              </w:rPr>
            </w:pPr>
            <w:r>
              <w:rPr>
                <w:rFonts w:ascii="Arial" w:cs="Arial" w:eastAsia="Arial" w:hAnsi="Arial"/>
                <w:sz w:val="10"/>
                <w:szCs w:val="10"/>
                <w:b w:val="1"/>
                <w:bCs w:val="1"/>
                <w:color w:val="auto"/>
              </w:rPr>
              <w:t>Fair Value of Pledged</w:t>
            </w:r>
          </w:p>
        </w:tc>
        <w:tc>
          <w:tcPr>
            <w:tcW w:w="200" w:type="dxa"/>
            <w:vAlign w:val="bottom"/>
          </w:tcPr>
          <w:p>
            <w:pPr>
              <w:spacing w:after="0"/>
              <w:rPr>
                <w:sz w:val="8"/>
                <w:szCs w:val="8"/>
                <w:color w:val="auto"/>
              </w:rPr>
            </w:pPr>
          </w:p>
        </w:tc>
        <w:tc>
          <w:tcPr>
            <w:tcW w:w="1040" w:type="dxa"/>
            <w:vAlign w:val="bottom"/>
            <w:gridSpan w:val="2"/>
          </w:tcPr>
          <w:p>
            <w:pPr>
              <w:jc w:val="center"/>
              <w:ind w:right="320"/>
              <w:spacing w:after="0" w:line="99" w:lineRule="exact"/>
              <w:rPr>
                <w:sz w:val="20"/>
                <w:szCs w:val="20"/>
                <w:color w:val="auto"/>
              </w:rPr>
            </w:pPr>
            <w:r>
              <w:rPr>
                <w:rFonts w:ascii="Arial" w:cs="Arial" w:eastAsia="Arial" w:hAnsi="Arial"/>
                <w:sz w:val="10"/>
                <w:szCs w:val="10"/>
                <w:b w:val="1"/>
                <w:bCs w:val="1"/>
                <w:color w:val="auto"/>
                <w:w w:val="89"/>
              </w:rPr>
              <w:t>Amortized</w:t>
            </w:r>
          </w:p>
        </w:tc>
        <w:tc>
          <w:tcPr>
            <w:tcW w:w="180" w:type="dxa"/>
            <w:vAlign w:val="bottom"/>
          </w:tcPr>
          <w:p>
            <w:pPr>
              <w:spacing w:after="0"/>
              <w:rPr>
                <w:sz w:val="8"/>
                <w:szCs w:val="8"/>
                <w:color w:val="auto"/>
              </w:rPr>
            </w:pPr>
          </w:p>
        </w:tc>
        <w:tc>
          <w:tcPr>
            <w:tcW w:w="840" w:type="dxa"/>
            <w:vAlign w:val="bottom"/>
          </w:tcPr>
          <w:p>
            <w:pPr>
              <w:jc w:val="center"/>
              <w:ind w:right="148"/>
              <w:spacing w:after="0" w:line="99" w:lineRule="exact"/>
              <w:rPr>
                <w:sz w:val="20"/>
                <w:szCs w:val="20"/>
                <w:color w:val="auto"/>
              </w:rPr>
            </w:pPr>
            <w:r>
              <w:rPr>
                <w:rFonts w:ascii="Arial" w:cs="Arial" w:eastAsia="Arial" w:hAnsi="Arial"/>
                <w:sz w:val="10"/>
                <w:szCs w:val="10"/>
                <w:b w:val="1"/>
                <w:bCs w:val="1"/>
                <w:color w:val="auto"/>
                <w:w w:val="82"/>
              </w:rPr>
              <w:t>Pledged</w:t>
            </w:r>
          </w:p>
        </w:tc>
      </w:tr>
      <w:tr>
        <w:trPr>
          <w:trHeight w:val="128"/>
        </w:trPr>
        <w:tc>
          <w:tcPr>
            <w:tcW w:w="39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w w:val="89"/>
              </w:rPr>
              <w:t>Securities Pledged by Remaining Maturity of Repurchase Agreements and FHLB Advances</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jc w:val="right"/>
              <w:ind w:right="367"/>
              <w:spacing w:after="0"/>
              <w:rPr>
                <w:sz w:val="20"/>
                <w:szCs w:val="20"/>
                <w:color w:val="auto"/>
              </w:rPr>
            </w:pPr>
            <w:r>
              <w:rPr>
                <w:rFonts w:ascii="Arial" w:cs="Arial" w:eastAsia="Arial" w:hAnsi="Arial"/>
                <w:sz w:val="10"/>
                <w:szCs w:val="10"/>
                <w:b w:val="1"/>
                <w:bCs w:val="1"/>
                <w:color w:val="auto"/>
              </w:rPr>
              <w:t>Securities</w:t>
            </w:r>
          </w:p>
        </w:tc>
        <w:tc>
          <w:tcPr>
            <w:tcW w:w="120" w:type="dxa"/>
            <w:vAlign w:val="bottom"/>
            <w:tcBorders>
              <w:bottom w:val="single" w:sz="8" w:color="CCEEFF"/>
            </w:tcBorders>
          </w:tcPr>
          <w:p>
            <w:pPr>
              <w:spacing w:after="0"/>
              <w:rPr>
                <w:sz w:val="11"/>
                <w:szCs w:val="11"/>
                <w:color w:val="auto"/>
              </w:rPr>
            </w:pPr>
          </w:p>
        </w:tc>
        <w:tc>
          <w:tcPr>
            <w:tcW w:w="1160" w:type="dxa"/>
            <w:vAlign w:val="bottom"/>
            <w:tcBorders>
              <w:bottom w:val="single" w:sz="8" w:color="auto"/>
            </w:tcBorders>
            <w:gridSpan w:val="2"/>
          </w:tcPr>
          <w:p>
            <w:pPr>
              <w:jc w:val="center"/>
              <w:spacing w:after="0"/>
              <w:rPr>
                <w:sz w:val="20"/>
                <w:szCs w:val="20"/>
                <w:color w:val="auto"/>
              </w:rPr>
            </w:pPr>
            <w:r>
              <w:rPr>
                <w:rFonts w:ascii="Arial" w:cs="Arial" w:eastAsia="Arial" w:hAnsi="Arial"/>
                <w:sz w:val="10"/>
                <w:szCs w:val="10"/>
                <w:b w:val="1"/>
                <w:bCs w:val="1"/>
                <w:color w:val="auto"/>
                <w:w w:val="83"/>
              </w:rPr>
              <w:t>Cost of Pledged Securities</w:t>
            </w:r>
          </w:p>
        </w:tc>
        <w:tc>
          <w:tcPr>
            <w:tcW w:w="12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jc w:val="center"/>
              <w:ind w:right="148"/>
              <w:spacing w:after="0"/>
              <w:rPr>
                <w:sz w:val="20"/>
                <w:szCs w:val="20"/>
                <w:color w:val="auto"/>
              </w:rPr>
            </w:pPr>
            <w:r>
              <w:rPr>
                <w:rFonts w:ascii="Arial" w:cs="Arial" w:eastAsia="Arial" w:hAnsi="Arial"/>
                <w:sz w:val="10"/>
                <w:szCs w:val="10"/>
                <w:b w:val="1"/>
                <w:bCs w:val="1"/>
                <w:color w:val="auto"/>
                <w:w w:val="83"/>
              </w:rPr>
              <w:t>Securities</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jc w:val="right"/>
              <w:ind w:right="367"/>
              <w:spacing w:after="0"/>
              <w:rPr>
                <w:sz w:val="20"/>
                <w:szCs w:val="20"/>
                <w:color w:val="auto"/>
              </w:rPr>
            </w:pPr>
            <w:r>
              <w:rPr>
                <w:rFonts w:ascii="Arial" w:cs="Arial" w:eastAsia="Arial" w:hAnsi="Arial"/>
                <w:sz w:val="10"/>
                <w:szCs w:val="10"/>
                <w:b w:val="1"/>
                <w:bCs w:val="1"/>
                <w:color w:val="auto"/>
              </w:rPr>
              <w:t>Securities</w:t>
            </w:r>
          </w:p>
        </w:tc>
        <w:tc>
          <w:tcPr>
            <w:tcW w:w="120" w:type="dxa"/>
            <w:vAlign w:val="bottom"/>
            <w:tcBorders>
              <w:bottom w:val="single" w:sz="8" w:color="CCEEFF"/>
            </w:tcBorders>
          </w:tcPr>
          <w:p>
            <w:pPr>
              <w:spacing w:after="0"/>
              <w:rPr>
                <w:sz w:val="11"/>
                <w:szCs w:val="11"/>
                <w:color w:val="auto"/>
              </w:rPr>
            </w:pPr>
          </w:p>
        </w:tc>
        <w:tc>
          <w:tcPr>
            <w:tcW w:w="1140" w:type="dxa"/>
            <w:vAlign w:val="bottom"/>
            <w:tcBorders>
              <w:bottom w:val="single" w:sz="8" w:color="auto"/>
            </w:tcBorders>
            <w:gridSpan w:val="2"/>
          </w:tcPr>
          <w:p>
            <w:pPr>
              <w:jc w:val="center"/>
              <w:spacing w:after="0"/>
              <w:rPr>
                <w:sz w:val="20"/>
                <w:szCs w:val="20"/>
                <w:color w:val="auto"/>
              </w:rPr>
            </w:pPr>
            <w:r>
              <w:rPr>
                <w:rFonts w:ascii="Arial" w:cs="Arial" w:eastAsia="Arial" w:hAnsi="Arial"/>
                <w:sz w:val="10"/>
                <w:szCs w:val="10"/>
                <w:b w:val="1"/>
                <w:bCs w:val="1"/>
                <w:color w:val="auto"/>
                <w:w w:val="83"/>
              </w:rPr>
              <w:t>Cost of Pledged Securities</w:t>
            </w:r>
          </w:p>
        </w:tc>
        <w:tc>
          <w:tcPr>
            <w:tcW w:w="10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jc w:val="center"/>
              <w:ind w:right="148"/>
              <w:spacing w:after="0"/>
              <w:rPr>
                <w:sz w:val="20"/>
                <w:szCs w:val="20"/>
                <w:color w:val="auto"/>
              </w:rPr>
            </w:pPr>
            <w:r>
              <w:rPr>
                <w:rFonts w:ascii="Arial" w:cs="Arial" w:eastAsia="Arial" w:hAnsi="Arial"/>
                <w:sz w:val="10"/>
                <w:szCs w:val="10"/>
                <w:b w:val="1"/>
                <w:bCs w:val="1"/>
                <w:color w:val="auto"/>
                <w:w w:val="83"/>
              </w:rPr>
              <w:t>Securities</w:t>
            </w:r>
          </w:p>
        </w:tc>
      </w:tr>
      <w:tr>
        <w:trPr>
          <w:trHeight w:val="173"/>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11"/>
                <w:szCs w:val="11"/>
                <w:color w:val="auto"/>
              </w:rPr>
              <w:t>MBS:</w:t>
            </w:r>
            <w:r>
              <w:rPr>
                <w:rFonts w:ascii="Arial" w:cs="Arial" w:eastAsia="Arial" w:hAnsi="Arial"/>
                <w:sz w:val="14"/>
                <w:szCs w:val="14"/>
                <w:color w:val="auto"/>
                <w:vertAlign w:val="superscript"/>
              </w:rPr>
              <w:t>1</w:t>
            </w:r>
          </w:p>
        </w:tc>
        <w:tc>
          <w:tcPr>
            <w:tcW w:w="140" w:type="dxa"/>
            <w:vAlign w:val="bottom"/>
            <w:shd w:val="clear" w:color="auto" w:fill="CCEEFF"/>
          </w:tcPr>
          <w:p>
            <w:pPr>
              <w:spacing w:after="0"/>
              <w:rPr>
                <w:sz w:val="15"/>
                <w:szCs w:val="15"/>
                <w:color w:val="auto"/>
              </w:rPr>
            </w:pPr>
          </w:p>
        </w:tc>
        <w:tc>
          <w:tcPr>
            <w:tcW w:w="1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r>
      <w:tr>
        <w:trPr>
          <w:trHeight w:val="158"/>
        </w:trPr>
        <w:tc>
          <w:tcPr>
            <w:tcW w:w="4020" w:type="dxa"/>
            <w:vAlign w:val="bottom"/>
            <w:gridSpan w:val="2"/>
          </w:tcPr>
          <w:p>
            <w:pPr>
              <w:ind w:left="60"/>
              <w:spacing w:after="0"/>
              <w:rPr>
                <w:sz w:val="20"/>
                <w:szCs w:val="20"/>
                <w:color w:val="auto"/>
              </w:rPr>
            </w:pPr>
            <w:r>
              <w:rPr>
                <w:rFonts w:ascii="Arial" w:cs="Arial" w:eastAsia="Arial" w:hAnsi="Arial"/>
                <w:sz w:val="11"/>
                <w:szCs w:val="11"/>
                <w:color w:val="auto"/>
              </w:rPr>
              <w:t>≤ 30 days</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120" w:type="dxa"/>
            <w:vAlign w:val="bottom"/>
          </w:tcPr>
          <w:p>
            <w:pPr>
              <w:jc w:val="right"/>
              <w:ind w:right="47"/>
              <w:spacing w:after="0"/>
              <w:rPr>
                <w:sz w:val="20"/>
                <w:szCs w:val="20"/>
                <w:color w:val="auto"/>
              </w:rPr>
            </w:pPr>
            <w:r>
              <w:rPr>
                <w:rFonts w:ascii="Arial" w:cs="Arial" w:eastAsia="Arial" w:hAnsi="Arial"/>
                <w:sz w:val="11"/>
                <w:szCs w:val="11"/>
                <w:color w:val="auto"/>
              </w:rPr>
              <w:t>18,604</w:t>
            </w:r>
          </w:p>
        </w:tc>
        <w:tc>
          <w:tcPr>
            <w:tcW w:w="120" w:type="dxa"/>
            <w:vAlign w:val="bottom"/>
          </w:tcPr>
          <w:p>
            <w:pPr>
              <w:spacing w:after="0"/>
              <w:rPr>
                <w:sz w:val="13"/>
                <w:szCs w:val="13"/>
                <w:color w:val="auto"/>
              </w:rPr>
            </w:pPr>
          </w:p>
        </w:tc>
        <w:tc>
          <w:tcPr>
            <w:tcW w:w="80" w:type="dxa"/>
            <w:vAlign w:val="bottom"/>
          </w:tcPr>
          <w:p>
            <w:pPr>
              <w:jc w:val="right"/>
              <w:spacing w:after="0"/>
              <w:rPr>
                <w:sz w:val="20"/>
                <w:szCs w:val="20"/>
                <w:color w:val="auto"/>
              </w:rPr>
            </w:pPr>
            <w:r>
              <w:rPr>
                <w:rFonts w:ascii="Arial" w:cs="Arial" w:eastAsia="Arial" w:hAnsi="Arial"/>
                <w:sz w:val="11"/>
                <w:szCs w:val="11"/>
                <w:color w:val="auto"/>
                <w:w w:val="97"/>
              </w:rPr>
              <w:t>$</w:t>
            </w:r>
          </w:p>
        </w:tc>
        <w:tc>
          <w:tcPr>
            <w:tcW w:w="1080" w:type="dxa"/>
            <w:vAlign w:val="bottom"/>
          </w:tcPr>
          <w:p>
            <w:pPr>
              <w:jc w:val="right"/>
              <w:ind w:right="47"/>
              <w:spacing w:after="0"/>
              <w:rPr>
                <w:sz w:val="20"/>
                <w:szCs w:val="20"/>
                <w:color w:val="auto"/>
              </w:rPr>
            </w:pPr>
            <w:r>
              <w:rPr>
                <w:rFonts w:ascii="Arial" w:cs="Arial" w:eastAsia="Arial" w:hAnsi="Arial"/>
                <w:sz w:val="11"/>
                <w:szCs w:val="11"/>
                <w:color w:val="auto"/>
              </w:rPr>
              <w:t>18,204</w:t>
            </w:r>
          </w:p>
        </w:tc>
        <w:tc>
          <w:tcPr>
            <w:tcW w:w="120" w:type="dxa"/>
            <w:vAlign w:val="bottom"/>
          </w:tcPr>
          <w:p>
            <w:pPr>
              <w:spacing w:after="0"/>
              <w:rPr>
                <w:sz w:val="13"/>
                <w:szCs w:val="13"/>
                <w:color w:val="auto"/>
              </w:rPr>
            </w:pPr>
          </w:p>
        </w:tc>
        <w:tc>
          <w:tcPr>
            <w:tcW w:w="200" w:type="dxa"/>
            <w:vAlign w:val="bottom"/>
          </w:tcPr>
          <w:p>
            <w:pPr>
              <w:jc w:val="right"/>
              <w:ind w:right="66"/>
              <w:spacing w:after="0"/>
              <w:rPr>
                <w:sz w:val="20"/>
                <w:szCs w:val="20"/>
                <w:color w:val="auto"/>
              </w:rPr>
            </w:pPr>
            <w:r>
              <w:rPr>
                <w:rFonts w:ascii="Arial" w:cs="Arial" w:eastAsia="Arial" w:hAnsi="Arial"/>
                <w:sz w:val="11"/>
                <w:szCs w:val="11"/>
                <w:color w:val="auto"/>
                <w:w w:val="97"/>
              </w:rPr>
              <w:t>$</w:t>
            </w:r>
          </w:p>
        </w:tc>
        <w:tc>
          <w:tcPr>
            <w:tcW w:w="840" w:type="dxa"/>
            <w:vAlign w:val="bottom"/>
          </w:tcPr>
          <w:p>
            <w:pPr>
              <w:jc w:val="right"/>
              <w:ind w:right="48"/>
              <w:spacing w:after="0"/>
              <w:rPr>
                <w:sz w:val="20"/>
                <w:szCs w:val="20"/>
                <w:color w:val="auto"/>
              </w:rPr>
            </w:pPr>
            <w:r>
              <w:rPr>
                <w:rFonts w:ascii="Arial" w:cs="Arial" w:eastAsia="Arial" w:hAnsi="Arial"/>
                <w:sz w:val="11"/>
                <w:szCs w:val="11"/>
                <w:color w:val="auto"/>
              </w:rPr>
              <w:t>51</w:t>
            </w:r>
          </w:p>
        </w:tc>
        <w:tc>
          <w:tcPr>
            <w:tcW w:w="120" w:type="dxa"/>
            <w:vAlign w:val="bottom"/>
          </w:tcPr>
          <w:p>
            <w:pPr>
              <w:spacing w:after="0"/>
              <w:rPr>
                <w:sz w:val="13"/>
                <w:szCs w:val="13"/>
                <w:color w:val="auto"/>
              </w:rPr>
            </w:pP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1120" w:type="dxa"/>
            <w:vAlign w:val="bottom"/>
          </w:tcPr>
          <w:p>
            <w:pPr>
              <w:jc w:val="right"/>
              <w:ind w:right="47"/>
              <w:spacing w:after="0"/>
              <w:rPr>
                <w:sz w:val="20"/>
                <w:szCs w:val="20"/>
                <w:color w:val="auto"/>
              </w:rPr>
            </w:pPr>
            <w:r>
              <w:rPr>
                <w:rFonts w:ascii="Arial" w:cs="Arial" w:eastAsia="Arial" w:hAnsi="Arial"/>
                <w:sz w:val="11"/>
                <w:szCs w:val="11"/>
                <w:color w:val="auto"/>
              </w:rPr>
              <w:t>20,053</w:t>
            </w:r>
          </w:p>
        </w:tc>
        <w:tc>
          <w:tcPr>
            <w:tcW w:w="120" w:type="dxa"/>
            <w:vAlign w:val="bottom"/>
          </w:tcPr>
          <w:p>
            <w:pPr>
              <w:spacing w:after="0"/>
              <w:rPr>
                <w:sz w:val="13"/>
                <w:szCs w:val="13"/>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tcPr>
          <w:p>
            <w:pPr>
              <w:jc w:val="right"/>
              <w:ind w:right="67"/>
              <w:spacing w:after="0"/>
              <w:rPr>
                <w:sz w:val="20"/>
                <w:szCs w:val="20"/>
                <w:color w:val="auto"/>
              </w:rPr>
            </w:pPr>
            <w:r>
              <w:rPr>
                <w:rFonts w:ascii="Arial" w:cs="Arial" w:eastAsia="Arial" w:hAnsi="Arial"/>
                <w:sz w:val="11"/>
                <w:szCs w:val="11"/>
                <w:color w:val="auto"/>
              </w:rPr>
              <w:t>20,075</w:t>
            </w:r>
          </w:p>
        </w:tc>
        <w:tc>
          <w:tcPr>
            <w:tcW w:w="100" w:type="dxa"/>
            <w:vAlign w:val="bottom"/>
          </w:tcPr>
          <w:p>
            <w:pPr>
              <w:spacing w:after="0"/>
              <w:rPr>
                <w:sz w:val="13"/>
                <w:szCs w:val="13"/>
                <w:color w:val="auto"/>
              </w:rPr>
            </w:pPr>
          </w:p>
        </w:tc>
        <w:tc>
          <w:tcPr>
            <w:tcW w:w="180" w:type="dxa"/>
            <w:vAlign w:val="bottom"/>
          </w:tcPr>
          <w:p>
            <w:pPr>
              <w:jc w:val="right"/>
              <w:ind w:right="46"/>
              <w:spacing w:after="0"/>
              <w:rPr>
                <w:sz w:val="20"/>
                <w:szCs w:val="20"/>
                <w:color w:val="auto"/>
              </w:rPr>
            </w:pPr>
            <w:r>
              <w:rPr>
                <w:rFonts w:ascii="Arial" w:cs="Arial" w:eastAsia="Arial" w:hAnsi="Arial"/>
                <w:sz w:val="11"/>
                <w:szCs w:val="11"/>
                <w:color w:val="auto"/>
                <w:w w:val="97"/>
              </w:rPr>
              <w:t>$</w:t>
            </w:r>
          </w:p>
        </w:tc>
        <w:tc>
          <w:tcPr>
            <w:tcW w:w="840" w:type="dxa"/>
            <w:vAlign w:val="bottom"/>
          </w:tcPr>
          <w:p>
            <w:pPr>
              <w:jc w:val="right"/>
              <w:ind w:right="68"/>
              <w:spacing w:after="0"/>
              <w:rPr>
                <w:sz w:val="20"/>
                <w:szCs w:val="20"/>
                <w:color w:val="auto"/>
              </w:rPr>
            </w:pPr>
            <w:r>
              <w:rPr>
                <w:rFonts w:ascii="Arial" w:cs="Arial" w:eastAsia="Arial" w:hAnsi="Arial"/>
                <w:sz w:val="11"/>
                <w:szCs w:val="11"/>
                <w:color w:val="auto"/>
              </w:rPr>
              <w:t>57</w:t>
            </w:r>
          </w:p>
        </w:tc>
      </w:tr>
      <w:tr>
        <w:trPr>
          <w:trHeight w:val="22"/>
        </w:trPr>
        <w:tc>
          <w:tcPr>
            <w:tcW w:w="39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r>
      <w:tr>
        <w:trPr>
          <w:trHeight w:val="160"/>
        </w:trPr>
        <w:tc>
          <w:tcPr>
            <w:tcW w:w="402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&gt; 30 and ≤ 60 days</w:t>
            </w:r>
          </w:p>
        </w:tc>
        <w:tc>
          <w:tcPr>
            <w:tcW w:w="140" w:type="dxa"/>
            <w:vAlign w:val="bottom"/>
            <w:tcBorders>
              <w:bottom w:val="single" w:sz="8" w:color="CCEEFF"/>
            </w:tcBorders>
            <w:shd w:val="clear" w:color="auto" w:fill="CCEEFF"/>
          </w:tcPr>
          <w:p>
            <w:pPr>
              <w:spacing w:after="0"/>
              <w:rPr>
                <w:sz w:val="13"/>
                <w:szCs w:val="13"/>
                <w:color w:val="auto"/>
              </w:rPr>
            </w:pPr>
          </w:p>
        </w:tc>
        <w:tc>
          <w:tcPr>
            <w:tcW w:w="112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7,404</w:t>
            </w:r>
          </w:p>
        </w:tc>
        <w:tc>
          <w:tcPr>
            <w:tcW w:w="120" w:type="dxa"/>
            <w:vAlign w:val="bottom"/>
            <w:tcBorders>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108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7,258</w:t>
            </w:r>
          </w:p>
        </w:tc>
        <w:tc>
          <w:tcPr>
            <w:tcW w:w="12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840" w:type="dxa"/>
            <w:vAlign w:val="bottom"/>
            <w:tcBorders>
              <w:bottom w:val="single" w:sz="8" w:color="CCEEFF"/>
            </w:tcBorders>
            <w:shd w:val="clear" w:color="auto" w:fill="CCEEFF"/>
          </w:tcPr>
          <w:p>
            <w:pPr>
              <w:jc w:val="right"/>
              <w:ind w:right="48"/>
              <w:spacing w:after="0"/>
              <w:rPr>
                <w:sz w:val="20"/>
                <w:szCs w:val="20"/>
                <w:color w:val="auto"/>
              </w:rPr>
            </w:pPr>
            <w:r>
              <w:rPr>
                <w:rFonts w:ascii="Arial" w:cs="Arial" w:eastAsia="Arial" w:hAnsi="Arial"/>
                <w:sz w:val="11"/>
                <w:szCs w:val="11"/>
                <w:color w:val="auto"/>
              </w:rPr>
              <w:t>20</w:t>
            </w:r>
          </w:p>
        </w:tc>
        <w:tc>
          <w:tcPr>
            <w:tcW w:w="12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tcBorders>
            <w:shd w:val="clear" w:color="auto" w:fill="CCEEFF"/>
          </w:tcPr>
          <w:p>
            <w:pPr>
              <w:spacing w:after="0"/>
              <w:rPr>
                <w:sz w:val="13"/>
                <w:szCs w:val="13"/>
                <w:color w:val="auto"/>
              </w:rPr>
            </w:pPr>
          </w:p>
        </w:tc>
        <w:tc>
          <w:tcPr>
            <w:tcW w:w="112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8,311</w:t>
            </w:r>
          </w:p>
        </w:tc>
        <w:tc>
          <w:tcPr>
            <w:tcW w:w="12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8,340</w:t>
            </w:r>
          </w:p>
        </w:tc>
        <w:tc>
          <w:tcPr>
            <w:tcW w:w="100" w:type="dxa"/>
            <w:vAlign w:val="bottom"/>
            <w:tcBorders>
              <w:bottom w:val="single" w:sz="8" w:color="CCEEFF"/>
            </w:tcBorders>
            <w:shd w:val="clear" w:color="auto" w:fill="CCEEFF"/>
          </w:tcPr>
          <w:p>
            <w:pPr>
              <w:spacing w:after="0"/>
              <w:rPr>
                <w:sz w:val="13"/>
                <w:szCs w:val="13"/>
                <w:color w:val="auto"/>
              </w:rPr>
            </w:pPr>
          </w:p>
        </w:tc>
        <w:tc>
          <w:tcPr>
            <w:tcW w:w="180" w:type="dxa"/>
            <w:vAlign w:val="bottom"/>
            <w:tcBorders>
              <w:bottom w:val="single" w:sz="8" w:color="CCEEFF"/>
            </w:tcBorders>
            <w:shd w:val="clear" w:color="auto" w:fill="CCEEFF"/>
          </w:tcPr>
          <w:p>
            <w:pPr>
              <w:spacing w:after="0"/>
              <w:rPr>
                <w:sz w:val="13"/>
                <w:szCs w:val="13"/>
                <w:color w:val="auto"/>
              </w:rPr>
            </w:pPr>
          </w:p>
        </w:tc>
        <w:tc>
          <w:tcPr>
            <w:tcW w:w="8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23</w:t>
            </w:r>
          </w:p>
        </w:tc>
      </w:tr>
      <w:tr>
        <w:trPr>
          <w:trHeight w:val="158"/>
        </w:trPr>
        <w:tc>
          <w:tcPr>
            <w:tcW w:w="4020" w:type="dxa"/>
            <w:vAlign w:val="bottom"/>
            <w:gridSpan w:val="2"/>
          </w:tcPr>
          <w:p>
            <w:pPr>
              <w:ind w:left="60"/>
              <w:spacing w:after="0"/>
              <w:rPr>
                <w:sz w:val="20"/>
                <w:szCs w:val="20"/>
                <w:color w:val="auto"/>
              </w:rPr>
            </w:pPr>
            <w:r>
              <w:rPr>
                <w:rFonts w:ascii="Arial" w:cs="Arial" w:eastAsia="Arial" w:hAnsi="Arial"/>
                <w:sz w:val="11"/>
                <w:szCs w:val="11"/>
                <w:color w:val="auto"/>
              </w:rPr>
              <w:t>&gt; 60 and ≤ 90 days</w:t>
            </w:r>
          </w:p>
        </w:tc>
        <w:tc>
          <w:tcPr>
            <w:tcW w:w="140" w:type="dxa"/>
            <w:vAlign w:val="bottom"/>
          </w:tcPr>
          <w:p>
            <w:pPr>
              <w:spacing w:after="0"/>
              <w:rPr>
                <w:sz w:val="13"/>
                <w:szCs w:val="13"/>
                <w:color w:val="auto"/>
              </w:rPr>
            </w:pPr>
          </w:p>
        </w:tc>
        <w:tc>
          <w:tcPr>
            <w:tcW w:w="1120" w:type="dxa"/>
            <w:vAlign w:val="bottom"/>
          </w:tcPr>
          <w:p>
            <w:pPr>
              <w:jc w:val="right"/>
              <w:ind w:right="47"/>
              <w:spacing w:after="0"/>
              <w:rPr>
                <w:sz w:val="20"/>
                <w:szCs w:val="20"/>
                <w:color w:val="auto"/>
              </w:rPr>
            </w:pPr>
            <w:r>
              <w:rPr>
                <w:rFonts w:ascii="Arial" w:cs="Arial" w:eastAsia="Arial" w:hAnsi="Arial"/>
                <w:sz w:val="11"/>
                <w:szCs w:val="11"/>
                <w:color w:val="auto"/>
              </w:rPr>
              <w:t>2,078</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80" w:type="dxa"/>
            <w:vAlign w:val="bottom"/>
          </w:tcPr>
          <w:p>
            <w:pPr>
              <w:jc w:val="right"/>
              <w:ind w:right="47"/>
              <w:spacing w:after="0"/>
              <w:rPr>
                <w:sz w:val="20"/>
                <w:szCs w:val="20"/>
                <w:color w:val="auto"/>
              </w:rPr>
            </w:pPr>
            <w:r>
              <w:rPr>
                <w:rFonts w:ascii="Arial" w:cs="Arial" w:eastAsia="Arial" w:hAnsi="Arial"/>
                <w:sz w:val="11"/>
                <w:szCs w:val="11"/>
                <w:color w:val="auto"/>
              </w:rPr>
              <w:t>2,026</w:t>
            </w: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40" w:type="dxa"/>
            <w:vAlign w:val="bottom"/>
          </w:tcPr>
          <w:p>
            <w:pPr>
              <w:jc w:val="right"/>
              <w:ind w:right="48"/>
              <w:spacing w:after="0"/>
              <w:rPr>
                <w:sz w:val="20"/>
                <w:szCs w:val="20"/>
                <w:color w:val="auto"/>
              </w:rPr>
            </w:pPr>
            <w:r>
              <w:rPr>
                <w:rFonts w:ascii="Arial" w:cs="Arial" w:eastAsia="Arial" w:hAnsi="Arial"/>
                <w:sz w:val="11"/>
                <w:szCs w:val="11"/>
                <w:color w:val="auto"/>
              </w:rPr>
              <w:t>6</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20" w:type="dxa"/>
            <w:vAlign w:val="bottom"/>
          </w:tcPr>
          <w:p>
            <w:pPr>
              <w:jc w:val="right"/>
              <w:ind w:right="47"/>
              <w:spacing w:after="0"/>
              <w:rPr>
                <w:sz w:val="20"/>
                <w:szCs w:val="20"/>
                <w:color w:val="auto"/>
              </w:rPr>
            </w:pPr>
            <w:r>
              <w:rPr>
                <w:rFonts w:ascii="Arial" w:cs="Arial" w:eastAsia="Arial" w:hAnsi="Arial"/>
                <w:sz w:val="11"/>
                <w:szCs w:val="11"/>
                <w:color w:val="auto"/>
              </w:rPr>
              <w:t>7,534</w:t>
            </w: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40" w:type="dxa"/>
            <w:vAlign w:val="bottom"/>
          </w:tcPr>
          <w:p>
            <w:pPr>
              <w:jc w:val="right"/>
              <w:ind w:right="67"/>
              <w:spacing w:after="0"/>
              <w:rPr>
                <w:sz w:val="20"/>
                <w:szCs w:val="20"/>
                <w:color w:val="auto"/>
              </w:rPr>
            </w:pPr>
            <w:r>
              <w:rPr>
                <w:rFonts w:ascii="Arial" w:cs="Arial" w:eastAsia="Arial" w:hAnsi="Arial"/>
                <w:sz w:val="11"/>
                <w:szCs w:val="11"/>
                <w:color w:val="auto"/>
              </w:rPr>
              <w:t>7,525</w:t>
            </w: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tcPr>
          <w:p>
            <w:pPr>
              <w:jc w:val="right"/>
              <w:ind w:right="68"/>
              <w:spacing w:after="0"/>
              <w:rPr>
                <w:sz w:val="20"/>
                <w:szCs w:val="20"/>
                <w:color w:val="auto"/>
              </w:rPr>
            </w:pPr>
            <w:r>
              <w:rPr>
                <w:rFonts w:ascii="Arial" w:cs="Arial" w:eastAsia="Arial" w:hAnsi="Arial"/>
                <w:sz w:val="11"/>
                <w:szCs w:val="11"/>
                <w:color w:val="auto"/>
              </w:rPr>
              <w:t>21</w:t>
            </w:r>
          </w:p>
        </w:tc>
      </w:tr>
      <w:tr>
        <w:trPr>
          <w:trHeight w:val="22"/>
        </w:trPr>
        <w:tc>
          <w:tcPr>
            <w:tcW w:w="39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r>
      <w:tr>
        <w:trPr>
          <w:trHeight w:val="180"/>
        </w:trPr>
        <w:tc>
          <w:tcPr>
            <w:tcW w:w="4020" w:type="dxa"/>
            <w:vAlign w:val="bottom"/>
            <w:tcBorders>
              <w:bottom w:val="single" w:sz="8" w:color="CCEEFF"/>
            </w:tcBorders>
            <w:gridSpan w:val="2"/>
            <w:shd w:val="clear" w:color="auto" w:fill="CCEEFF"/>
          </w:tcPr>
          <w:p>
            <w:pPr>
              <w:ind w:left="60"/>
              <w:spacing w:after="0"/>
              <w:rPr>
                <w:sz w:val="20"/>
                <w:szCs w:val="20"/>
                <w:color w:val="auto"/>
              </w:rPr>
            </w:pPr>
            <w:r>
              <w:rPr>
                <w:rFonts w:ascii="Arial" w:cs="Arial" w:eastAsia="Arial" w:hAnsi="Arial"/>
                <w:sz w:val="11"/>
                <w:szCs w:val="11"/>
                <w:color w:val="auto"/>
              </w:rPr>
              <w:t>&gt; 90 days</w:t>
            </w:r>
          </w:p>
        </w:tc>
        <w:tc>
          <w:tcPr>
            <w:tcW w:w="140" w:type="dxa"/>
            <w:vAlign w:val="bottom"/>
            <w:tcBorders>
              <w:bottom w:val="single" w:sz="8" w:color="CCEEFF"/>
            </w:tcBorders>
            <w:shd w:val="clear" w:color="auto" w:fill="CCEEFF"/>
          </w:tcPr>
          <w:p>
            <w:pPr>
              <w:spacing w:after="0"/>
              <w:rPr>
                <w:sz w:val="15"/>
                <w:szCs w:val="15"/>
                <w:color w:val="auto"/>
              </w:rPr>
            </w:pPr>
          </w:p>
        </w:tc>
        <w:tc>
          <w:tcPr>
            <w:tcW w:w="112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15,014</w:t>
            </w:r>
          </w:p>
        </w:tc>
        <w:tc>
          <w:tcPr>
            <w:tcW w:w="120" w:type="dxa"/>
            <w:vAlign w:val="bottom"/>
            <w:tcBorders>
              <w:bottom w:val="single" w:sz="8" w:color="CCEEFF"/>
            </w:tcBorders>
            <w:shd w:val="clear" w:color="auto" w:fill="CCEEFF"/>
          </w:tcPr>
          <w:p>
            <w:pPr>
              <w:spacing w:after="0"/>
              <w:rPr>
                <w:sz w:val="15"/>
                <w:szCs w:val="15"/>
                <w:color w:val="auto"/>
              </w:rPr>
            </w:pPr>
          </w:p>
        </w:tc>
        <w:tc>
          <w:tcPr>
            <w:tcW w:w="80" w:type="dxa"/>
            <w:vAlign w:val="bottom"/>
            <w:tcBorders>
              <w:bottom w:val="single" w:sz="8" w:color="CCEEFF"/>
            </w:tcBorders>
            <w:shd w:val="clear" w:color="auto" w:fill="CCEEFF"/>
          </w:tcPr>
          <w:p>
            <w:pPr>
              <w:spacing w:after="0"/>
              <w:rPr>
                <w:sz w:val="15"/>
                <w:szCs w:val="15"/>
                <w:color w:val="auto"/>
              </w:rPr>
            </w:pPr>
          </w:p>
        </w:tc>
        <w:tc>
          <w:tcPr>
            <w:tcW w:w="108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14,668</w:t>
            </w:r>
          </w:p>
        </w:tc>
        <w:tc>
          <w:tcPr>
            <w:tcW w:w="12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840" w:type="dxa"/>
            <w:vAlign w:val="bottom"/>
            <w:tcBorders>
              <w:bottom w:val="single" w:sz="8" w:color="CCEEFF"/>
            </w:tcBorders>
            <w:shd w:val="clear" w:color="auto" w:fill="CCEEFF"/>
          </w:tcPr>
          <w:p>
            <w:pPr>
              <w:jc w:val="right"/>
              <w:ind w:right="48"/>
              <w:spacing w:after="0"/>
              <w:rPr>
                <w:sz w:val="20"/>
                <w:szCs w:val="20"/>
                <w:color w:val="auto"/>
              </w:rPr>
            </w:pPr>
            <w:r>
              <w:rPr>
                <w:rFonts w:ascii="Arial" w:cs="Arial" w:eastAsia="Arial" w:hAnsi="Arial"/>
                <w:sz w:val="11"/>
                <w:szCs w:val="11"/>
                <w:color w:val="auto"/>
              </w:rPr>
              <w:t>41</w:t>
            </w:r>
          </w:p>
        </w:tc>
        <w:tc>
          <w:tcPr>
            <w:tcW w:w="120" w:type="dxa"/>
            <w:vAlign w:val="bottom"/>
            <w:tcBorders>
              <w:bottom w:val="single" w:sz="8" w:color="CCEEFF"/>
            </w:tcBorders>
            <w:shd w:val="clear" w:color="auto" w:fill="CCEEFF"/>
          </w:tcPr>
          <w:p>
            <w:pPr>
              <w:spacing w:after="0"/>
              <w:rPr>
                <w:sz w:val="15"/>
                <w:szCs w:val="15"/>
                <w:color w:val="auto"/>
              </w:rPr>
            </w:pPr>
          </w:p>
        </w:tc>
        <w:tc>
          <w:tcPr>
            <w:tcW w:w="140" w:type="dxa"/>
            <w:vAlign w:val="bottom"/>
            <w:tcBorders>
              <w:bottom w:val="single" w:sz="8" w:color="CCEEFF"/>
            </w:tcBorders>
            <w:shd w:val="clear" w:color="auto" w:fill="CCEEFF"/>
          </w:tcPr>
          <w:p>
            <w:pPr>
              <w:spacing w:after="0"/>
              <w:rPr>
                <w:sz w:val="15"/>
                <w:szCs w:val="15"/>
                <w:color w:val="auto"/>
              </w:rPr>
            </w:pPr>
          </w:p>
        </w:tc>
        <w:tc>
          <w:tcPr>
            <w:tcW w:w="112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12,207</w:t>
            </w:r>
          </w:p>
        </w:tc>
        <w:tc>
          <w:tcPr>
            <w:tcW w:w="12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12,187</w:t>
            </w:r>
          </w:p>
        </w:tc>
        <w:tc>
          <w:tcPr>
            <w:tcW w:w="100" w:type="dxa"/>
            <w:vAlign w:val="bottom"/>
            <w:tcBorders>
              <w:bottom w:val="single" w:sz="8" w:color="CCEEFF"/>
            </w:tcBorders>
            <w:shd w:val="clear" w:color="auto" w:fill="CCEEFF"/>
          </w:tcPr>
          <w:p>
            <w:pPr>
              <w:spacing w:after="0"/>
              <w:rPr>
                <w:sz w:val="15"/>
                <w:szCs w:val="15"/>
                <w:color w:val="auto"/>
              </w:rPr>
            </w:pPr>
          </w:p>
        </w:tc>
        <w:tc>
          <w:tcPr>
            <w:tcW w:w="180" w:type="dxa"/>
            <w:vAlign w:val="bottom"/>
            <w:tcBorders>
              <w:bottom w:val="single" w:sz="8" w:color="CCEEFF"/>
            </w:tcBorders>
            <w:shd w:val="clear" w:color="auto" w:fill="CCEEFF"/>
          </w:tcPr>
          <w:p>
            <w:pPr>
              <w:spacing w:after="0"/>
              <w:rPr>
                <w:sz w:val="15"/>
                <w:szCs w:val="15"/>
                <w:color w:val="auto"/>
              </w:rPr>
            </w:pPr>
          </w:p>
        </w:tc>
        <w:tc>
          <w:tcPr>
            <w:tcW w:w="840" w:type="dxa"/>
            <w:vAlign w:val="bottom"/>
            <w:tcBorders>
              <w:bottom w:val="single" w:sz="8" w:color="CCEEFF"/>
            </w:tcBorders>
            <w:shd w:val="clear" w:color="auto" w:fill="CCEEFF"/>
          </w:tcPr>
          <w:p>
            <w:pPr>
              <w:jc w:val="right"/>
              <w:ind w:right="68"/>
              <w:spacing w:after="0"/>
              <w:rPr>
                <w:sz w:val="20"/>
                <w:szCs w:val="20"/>
                <w:color w:val="auto"/>
              </w:rPr>
            </w:pPr>
            <w:r>
              <w:rPr>
                <w:rFonts w:ascii="Arial" w:cs="Arial" w:eastAsia="Arial" w:hAnsi="Arial"/>
                <w:sz w:val="11"/>
                <w:szCs w:val="11"/>
                <w:color w:val="auto"/>
              </w:rPr>
              <w:t>34</w:t>
            </w:r>
          </w:p>
        </w:tc>
      </w:tr>
      <w:tr>
        <w:trPr>
          <w:trHeight w:val="138"/>
        </w:trPr>
        <w:tc>
          <w:tcPr>
            <w:tcW w:w="4020" w:type="dxa"/>
            <w:vAlign w:val="bottom"/>
            <w:gridSpan w:val="2"/>
          </w:tcPr>
          <w:p>
            <w:pPr>
              <w:ind w:left="240"/>
              <w:spacing w:after="0"/>
              <w:rPr>
                <w:sz w:val="20"/>
                <w:szCs w:val="20"/>
                <w:color w:val="auto"/>
              </w:rPr>
            </w:pPr>
            <w:r>
              <w:rPr>
                <w:rFonts w:ascii="Arial" w:cs="Arial" w:eastAsia="Arial" w:hAnsi="Arial"/>
                <w:sz w:val="11"/>
                <w:szCs w:val="11"/>
                <w:color w:val="auto"/>
              </w:rPr>
              <w:t>Total MBS</w:t>
            </w:r>
          </w:p>
        </w:tc>
        <w:tc>
          <w:tcPr>
            <w:tcW w:w="140" w:type="dxa"/>
            <w:vAlign w:val="bottom"/>
            <w:tcBorders>
              <w:top w:val="single" w:sz="8" w:color="auto"/>
            </w:tcBorders>
          </w:tcPr>
          <w:p>
            <w:pPr>
              <w:spacing w:after="0"/>
              <w:rPr>
                <w:sz w:val="12"/>
                <w:szCs w:val="12"/>
                <w:color w:val="auto"/>
              </w:rPr>
            </w:pPr>
          </w:p>
        </w:tc>
        <w:tc>
          <w:tcPr>
            <w:tcW w:w="1120" w:type="dxa"/>
            <w:vAlign w:val="bottom"/>
            <w:tcBorders>
              <w:top w:val="single" w:sz="8" w:color="auto"/>
            </w:tcBorders>
          </w:tcPr>
          <w:p>
            <w:pPr>
              <w:jc w:val="right"/>
              <w:ind w:right="47"/>
              <w:spacing w:after="0"/>
              <w:rPr>
                <w:sz w:val="20"/>
                <w:szCs w:val="20"/>
                <w:color w:val="auto"/>
              </w:rPr>
            </w:pPr>
            <w:r>
              <w:rPr>
                <w:rFonts w:ascii="Arial" w:cs="Arial" w:eastAsia="Arial" w:hAnsi="Arial"/>
                <w:sz w:val="11"/>
                <w:szCs w:val="11"/>
                <w:color w:val="auto"/>
              </w:rPr>
              <w:t>43,100</w:t>
            </w:r>
          </w:p>
        </w:tc>
        <w:tc>
          <w:tcPr>
            <w:tcW w:w="1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080" w:type="dxa"/>
            <w:vAlign w:val="bottom"/>
            <w:tcBorders>
              <w:top w:val="single" w:sz="8" w:color="auto"/>
            </w:tcBorders>
          </w:tcPr>
          <w:p>
            <w:pPr>
              <w:jc w:val="right"/>
              <w:ind w:right="47"/>
              <w:spacing w:after="0"/>
              <w:rPr>
                <w:sz w:val="20"/>
                <w:szCs w:val="20"/>
                <w:color w:val="auto"/>
              </w:rPr>
            </w:pPr>
            <w:r>
              <w:rPr>
                <w:rFonts w:ascii="Arial" w:cs="Arial" w:eastAsia="Arial" w:hAnsi="Arial"/>
                <w:sz w:val="11"/>
                <w:szCs w:val="11"/>
                <w:color w:val="auto"/>
              </w:rPr>
              <w:t>42,156</w:t>
            </w:r>
          </w:p>
        </w:tc>
        <w:tc>
          <w:tcPr>
            <w:tcW w:w="12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840" w:type="dxa"/>
            <w:vAlign w:val="bottom"/>
            <w:tcBorders>
              <w:top w:val="single" w:sz="8" w:color="auto"/>
            </w:tcBorders>
          </w:tcPr>
          <w:p>
            <w:pPr>
              <w:jc w:val="right"/>
              <w:ind w:right="48"/>
              <w:spacing w:after="0"/>
              <w:rPr>
                <w:sz w:val="20"/>
                <w:szCs w:val="20"/>
                <w:color w:val="auto"/>
              </w:rPr>
            </w:pPr>
            <w:r>
              <w:rPr>
                <w:rFonts w:ascii="Arial" w:cs="Arial" w:eastAsia="Arial" w:hAnsi="Arial"/>
                <w:sz w:val="11"/>
                <w:szCs w:val="11"/>
                <w:color w:val="auto"/>
              </w:rPr>
              <w:t>118</w:t>
            </w:r>
          </w:p>
        </w:tc>
        <w:tc>
          <w:tcPr>
            <w:tcW w:w="12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120" w:type="dxa"/>
            <w:vAlign w:val="bottom"/>
            <w:tcBorders>
              <w:top w:val="single" w:sz="8" w:color="auto"/>
            </w:tcBorders>
          </w:tcPr>
          <w:p>
            <w:pPr>
              <w:jc w:val="right"/>
              <w:ind w:right="47"/>
              <w:spacing w:after="0"/>
              <w:rPr>
                <w:sz w:val="20"/>
                <w:szCs w:val="20"/>
                <w:color w:val="auto"/>
              </w:rPr>
            </w:pPr>
            <w:r>
              <w:rPr>
                <w:rFonts w:ascii="Arial" w:cs="Arial" w:eastAsia="Arial" w:hAnsi="Arial"/>
                <w:sz w:val="11"/>
                <w:szCs w:val="11"/>
                <w:color w:val="auto"/>
              </w:rPr>
              <w:t>48,105</w:t>
            </w:r>
          </w:p>
        </w:tc>
        <w:tc>
          <w:tcPr>
            <w:tcW w:w="12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right"/>
              <w:ind w:right="67"/>
              <w:spacing w:after="0"/>
              <w:rPr>
                <w:sz w:val="20"/>
                <w:szCs w:val="20"/>
                <w:color w:val="auto"/>
              </w:rPr>
            </w:pPr>
            <w:r>
              <w:rPr>
                <w:rFonts w:ascii="Arial" w:cs="Arial" w:eastAsia="Arial" w:hAnsi="Arial"/>
                <w:sz w:val="11"/>
                <w:szCs w:val="11"/>
                <w:color w:val="auto"/>
              </w:rPr>
              <w:t>48,127</w:t>
            </w:r>
          </w:p>
        </w:tc>
        <w:tc>
          <w:tcPr>
            <w:tcW w:w="100" w:type="dxa"/>
            <w:vAlign w:val="bottom"/>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840" w:type="dxa"/>
            <w:vAlign w:val="bottom"/>
            <w:tcBorders>
              <w:top w:val="single" w:sz="8" w:color="auto"/>
            </w:tcBorders>
          </w:tcPr>
          <w:p>
            <w:pPr>
              <w:jc w:val="right"/>
              <w:ind w:right="68"/>
              <w:spacing w:after="0"/>
              <w:rPr>
                <w:sz w:val="20"/>
                <w:szCs w:val="20"/>
                <w:color w:val="auto"/>
              </w:rPr>
            </w:pPr>
            <w:r>
              <w:rPr>
                <w:rFonts w:ascii="Arial" w:cs="Arial" w:eastAsia="Arial" w:hAnsi="Arial"/>
                <w:sz w:val="11"/>
                <w:szCs w:val="11"/>
                <w:color w:val="auto"/>
              </w:rPr>
              <w:t>135</w:t>
            </w:r>
          </w:p>
        </w:tc>
      </w:tr>
      <w:tr>
        <w:trPr>
          <w:trHeight w:val="22"/>
        </w:trPr>
        <w:tc>
          <w:tcPr>
            <w:tcW w:w="39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r>
      <w:tr>
        <w:trPr>
          <w:trHeight w:val="149"/>
        </w:trPr>
        <w:tc>
          <w:tcPr>
            <w:tcW w:w="402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U.S. Treasury securities:</w:t>
            </w:r>
          </w:p>
        </w:tc>
        <w:tc>
          <w:tcPr>
            <w:tcW w:w="140" w:type="dxa"/>
            <w:vAlign w:val="bottom"/>
            <w:tcBorders>
              <w:bottom w:val="single" w:sz="8" w:color="CCEEFF"/>
            </w:tcBorders>
            <w:shd w:val="clear" w:color="auto" w:fill="CCEEFF"/>
          </w:tcPr>
          <w:p>
            <w:pPr>
              <w:spacing w:after="0"/>
              <w:rPr>
                <w:sz w:val="12"/>
                <w:szCs w:val="12"/>
                <w:color w:val="auto"/>
              </w:rPr>
            </w:pPr>
          </w:p>
        </w:tc>
        <w:tc>
          <w:tcPr>
            <w:tcW w:w="112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108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spacing w:after="0"/>
              <w:rPr>
                <w:sz w:val="12"/>
                <w:szCs w:val="12"/>
                <w:color w:val="auto"/>
              </w:rPr>
            </w:pPr>
          </w:p>
        </w:tc>
        <w:tc>
          <w:tcPr>
            <w:tcW w:w="84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CCEEFF"/>
            </w:tcBorders>
            <w:shd w:val="clear" w:color="auto" w:fill="CCEEFF"/>
          </w:tcPr>
          <w:p>
            <w:pPr>
              <w:spacing w:after="0"/>
              <w:rPr>
                <w:sz w:val="12"/>
                <w:szCs w:val="12"/>
                <w:color w:val="auto"/>
              </w:rPr>
            </w:pPr>
          </w:p>
        </w:tc>
        <w:tc>
          <w:tcPr>
            <w:tcW w:w="112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spacing w:after="0"/>
              <w:rPr>
                <w:sz w:val="12"/>
                <w:szCs w:val="12"/>
                <w:color w:val="auto"/>
              </w:rPr>
            </w:pPr>
          </w:p>
        </w:tc>
        <w:tc>
          <w:tcPr>
            <w:tcW w:w="94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CCEEFF"/>
            </w:tcBorders>
            <w:shd w:val="clear" w:color="auto" w:fill="CCEEFF"/>
          </w:tcPr>
          <w:p>
            <w:pPr>
              <w:spacing w:after="0"/>
              <w:rPr>
                <w:sz w:val="12"/>
                <w:szCs w:val="12"/>
                <w:color w:val="auto"/>
              </w:rPr>
            </w:pPr>
          </w:p>
        </w:tc>
        <w:tc>
          <w:tcPr>
            <w:tcW w:w="840" w:type="dxa"/>
            <w:vAlign w:val="bottom"/>
            <w:tcBorders>
              <w:bottom w:val="single" w:sz="8" w:color="CCEEFF"/>
            </w:tcBorders>
            <w:shd w:val="clear" w:color="auto" w:fill="CCEEFF"/>
          </w:tcPr>
          <w:p>
            <w:pPr>
              <w:spacing w:after="0"/>
              <w:rPr>
                <w:sz w:val="12"/>
                <w:szCs w:val="12"/>
                <w:color w:val="auto"/>
              </w:rPr>
            </w:pPr>
          </w:p>
        </w:tc>
      </w:tr>
      <w:tr>
        <w:trPr>
          <w:trHeight w:val="158"/>
        </w:trPr>
        <w:tc>
          <w:tcPr>
            <w:tcW w:w="4020" w:type="dxa"/>
            <w:vAlign w:val="bottom"/>
            <w:gridSpan w:val="2"/>
          </w:tcPr>
          <w:p>
            <w:pPr>
              <w:ind w:left="100"/>
              <w:spacing w:after="0"/>
              <w:rPr>
                <w:sz w:val="20"/>
                <w:szCs w:val="20"/>
                <w:color w:val="auto"/>
              </w:rPr>
            </w:pPr>
            <w:r>
              <w:rPr>
                <w:rFonts w:ascii="Arial" w:cs="Arial" w:eastAsia="Arial" w:hAnsi="Arial"/>
                <w:sz w:val="11"/>
                <w:szCs w:val="11"/>
                <w:color w:val="auto"/>
              </w:rPr>
              <w:t>1 day</w:t>
            </w:r>
          </w:p>
        </w:tc>
        <w:tc>
          <w:tcPr>
            <w:tcW w:w="140" w:type="dxa"/>
            <w:vAlign w:val="bottom"/>
          </w:tcPr>
          <w:p>
            <w:pPr>
              <w:spacing w:after="0"/>
              <w:rPr>
                <w:sz w:val="13"/>
                <w:szCs w:val="13"/>
                <w:color w:val="auto"/>
              </w:rPr>
            </w:pPr>
          </w:p>
        </w:tc>
        <w:tc>
          <w:tcPr>
            <w:tcW w:w="1120" w:type="dxa"/>
            <w:vAlign w:val="bottom"/>
          </w:tcPr>
          <w:p>
            <w:pPr>
              <w:jc w:val="right"/>
              <w:ind w:right="47"/>
              <w:spacing w:after="0"/>
              <w:rPr>
                <w:sz w:val="20"/>
                <w:szCs w:val="20"/>
                <w:color w:val="auto"/>
              </w:rPr>
            </w:pPr>
            <w:r>
              <w:rPr>
                <w:rFonts w:ascii="Arial" w:cs="Arial" w:eastAsia="Arial" w:hAnsi="Arial"/>
                <w:sz w:val="11"/>
                <w:szCs w:val="11"/>
                <w:color w:val="auto"/>
              </w:rPr>
              <w:t>45</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80" w:type="dxa"/>
            <w:vAlign w:val="bottom"/>
          </w:tcPr>
          <w:p>
            <w:pPr>
              <w:jc w:val="right"/>
              <w:ind w:right="47"/>
              <w:spacing w:after="0"/>
              <w:rPr>
                <w:sz w:val="20"/>
                <w:szCs w:val="20"/>
                <w:color w:val="auto"/>
              </w:rPr>
            </w:pPr>
            <w:r>
              <w:rPr>
                <w:rFonts w:ascii="Arial" w:cs="Arial" w:eastAsia="Arial" w:hAnsi="Arial"/>
                <w:sz w:val="11"/>
                <w:szCs w:val="11"/>
                <w:color w:val="auto"/>
              </w:rPr>
              <w:t>45</w:t>
            </w: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60" w:type="dxa"/>
            <w:vAlign w:val="bottom"/>
            <w:gridSpan w:val="2"/>
          </w:tcPr>
          <w:p>
            <w:pPr>
              <w:jc w:val="right"/>
              <w:ind w:right="220"/>
              <w:spacing w:after="0"/>
              <w:rPr>
                <w:sz w:val="20"/>
                <w:szCs w:val="20"/>
                <w:color w:val="auto"/>
              </w:rPr>
            </w:pPr>
            <w:r>
              <w:rPr>
                <w:rFonts w:ascii="Arial" w:cs="Arial" w:eastAsia="Arial" w:hAnsi="Arial"/>
                <w:sz w:val="11"/>
                <w:szCs w:val="11"/>
                <w:color w:val="auto"/>
              </w:rPr>
              <w:t>—</w:t>
            </w:r>
          </w:p>
        </w:tc>
        <w:tc>
          <w:tcPr>
            <w:tcW w:w="140" w:type="dxa"/>
            <w:vAlign w:val="bottom"/>
          </w:tcPr>
          <w:p>
            <w:pPr>
              <w:spacing w:after="0"/>
              <w:rPr>
                <w:sz w:val="13"/>
                <w:szCs w:val="13"/>
                <w:color w:val="auto"/>
              </w:rPr>
            </w:pPr>
          </w:p>
        </w:tc>
        <w:tc>
          <w:tcPr>
            <w:tcW w:w="1120" w:type="dxa"/>
            <w:vAlign w:val="bottom"/>
          </w:tcPr>
          <w:p>
            <w:pPr>
              <w:jc w:val="right"/>
              <w:ind w:right="47"/>
              <w:spacing w:after="0"/>
              <w:rPr>
                <w:sz w:val="20"/>
                <w:szCs w:val="20"/>
                <w:color w:val="auto"/>
              </w:rPr>
            </w:pPr>
            <w:r>
              <w:rPr>
                <w:rFonts w:ascii="Arial" w:cs="Arial" w:eastAsia="Arial" w:hAnsi="Arial"/>
                <w:sz w:val="11"/>
                <w:szCs w:val="11"/>
                <w:color w:val="auto"/>
              </w:rPr>
              <w:t>25</w:t>
            </w: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40" w:type="dxa"/>
            <w:vAlign w:val="bottom"/>
          </w:tcPr>
          <w:p>
            <w:pPr>
              <w:jc w:val="right"/>
              <w:ind w:right="67"/>
              <w:spacing w:after="0"/>
              <w:rPr>
                <w:sz w:val="20"/>
                <w:szCs w:val="20"/>
                <w:color w:val="auto"/>
              </w:rPr>
            </w:pPr>
            <w:r>
              <w:rPr>
                <w:rFonts w:ascii="Arial" w:cs="Arial" w:eastAsia="Arial" w:hAnsi="Arial"/>
                <w:sz w:val="11"/>
                <w:szCs w:val="11"/>
                <w:color w:val="auto"/>
              </w:rPr>
              <w:t>25</w:t>
            </w: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tcPr>
          <w:p>
            <w:pPr>
              <w:jc w:val="right"/>
              <w:ind w:right="68"/>
              <w:spacing w:after="0"/>
              <w:rPr>
                <w:sz w:val="20"/>
                <w:szCs w:val="20"/>
                <w:color w:val="auto"/>
              </w:rPr>
            </w:pPr>
            <w:r>
              <w:rPr>
                <w:rFonts w:ascii="Arial" w:cs="Arial" w:eastAsia="Arial" w:hAnsi="Arial"/>
                <w:sz w:val="11"/>
                <w:szCs w:val="11"/>
                <w:color w:val="auto"/>
              </w:rPr>
              <w:t>—</w:t>
            </w:r>
          </w:p>
        </w:tc>
      </w:tr>
      <w:tr>
        <w:trPr>
          <w:trHeight w:val="22"/>
        </w:trPr>
        <w:tc>
          <w:tcPr>
            <w:tcW w:w="39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r>
      <w:tr>
        <w:trPr>
          <w:trHeight w:val="174"/>
        </w:trPr>
        <w:tc>
          <w:tcPr>
            <w:tcW w:w="4020" w:type="dxa"/>
            <w:vAlign w:val="bottom"/>
            <w:tcBorders>
              <w:bottom w:val="single" w:sz="8" w:color="CCEEFF"/>
            </w:tcBorders>
            <w:gridSpan w:val="2"/>
            <w:shd w:val="clear" w:color="auto" w:fill="CCEEFF"/>
          </w:tcPr>
          <w:p>
            <w:pPr>
              <w:ind w:left="460"/>
              <w:spacing w:after="0"/>
              <w:rPr>
                <w:sz w:val="20"/>
                <w:szCs w:val="20"/>
                <w:color w:val="auto"/>
              </w:rPr>
            </w:pPr>
            <w:r>
              <w:rPr>
                <w:rFonts w:ascii="Arial" w:cs="Arial" w:eastAsia="Arial" w:hAnsi="Arial"/>
                <w:sz w:val="11"/>
                <w:szCs w:val="11"/>
                <w:color w:val="auto"/>
              </w:rPr>
              <w:t>Total</w:t>
            </w:r>
          </w:p>
        </w:tc>
        <w:tc>
          <w:tcPr>
            <w:tcW w:w="140" w:type="dxa"/>
            <w:vAlign w:val="bottom"/>
            <w:tcBorders>
              <w:bottom w:val="single" w:sz="8" w:color="auto"/>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120" w:type="dxa"/>
            <w:vAlign w:val="bottom"/>
            <w:tcBorders>
              <w:bottom w:val="single" w:sz="8" w:color="auto"/>
            </w:tcBorders>
            <w:shd w:val="clear" w:color="auto" w:fill="CCEEFF"/>
          </w:tcPr>
          <w:p>
            <w:pPr>
              <w:jc w:val="right"/>
              <w:ind w:right="47"/>
              <w:spacing w:after="0"/>
              <w:rPr>
                <w:sz w:val="20"/>
                <w:szCs w:val="20"/>
                <w:color w:val="auto"/>
              </w:rPr>
            </w:pPr>
            <w:r>
              <w:rPr>
                <w:rFonts w:ascii="Arial" w:cs="Arial" w:eastAsia="Arial" w:hAnsi="Arial"/>
                <w:sz w:val="11"/>
                <w:szCs w:val="11"/>
                <w:color w:val="auto"/>
              </w:rPr>
              <w:t>43,145</w:t>
            </w:r>
          </w:p>
        </w:tc>
        <w:tc>
          <w:tcPr>
            <w:tcW w:w="120" w:type="dxa"/>
            <w:vAlign w:val="bottom"/>
            <w:tcBorders>
              <w:bottom w:val="single" w:sz="8" w:color="CCEEFF"/>
            </w:tcBorders>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w w:val="97"/>
              </w:rPr>
              <w:t>$</w:t>
            </w:r>
          </w:p>
        </w:tc>
        <w:tc>
          <w:tcPr>
            <w:tcW w:w="1080" w:type="dxa"/>
            <w:vAlign w:val="bottom"/>
            <w:tcBorders>
              <w:bottom w:val="single" w:sz="8" w:color="auto"/>
            </w:tcBorders>
            <w:shd w:val="clear" w:color="auto" w:fill="CCEEFF"/>
          </w:tcPr>
          <w:p>
            <w:pPr>
              <w:jc w:val="right"/>
              <w:ind w:right="47"/>
              <w:spacing w:after="0"/>
              <w:rPr>
                <w:sz w:val="20"/>
                <w:szCs w:val="20"/>
                <w:color w:val="auto"/>
              </w:rPr>
            </w:pPr>
            <w:r>
              <w:rPr>
                <w:rFonts w:ascii="Arial" w:cs="Arial" w:eastAsia="Arial" w:hAnsi="Arial"/>
                <w:sz w:val="11"/>
                <w:szCs w:val="11"/>
                <w:color w:val="auto"/>
              </w:rPr>
              <w:t>42,201</w:t>
            </w:r>
          </w:p>
        </w:tc>
        <w:tc>
          <w:tcPr>
            <w:tcW w:w="12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w:t>
            </w:r>
          </w:p>
        </w:tc>
        <w:tc>
          <w:tcPr>
            <w:tcW w:w="840" w:type="dxa"/>
            <w:vAlign w:val="bottom"/>
            <w:tcBorders>
              <w:bottom w:val="single" w:sz="8" w:color="auto"/>
            </w:tcBorders>
            <w:shd w:val="clear" w:color="auto" w:fill="CCEEFF"/>
          </w:tcPr>
          <w:p>
            <w:pPr>
              <w:jc w:val="right"/>
              <w:ind w:right="48"/>
              <w:spacing w:after="0"/>
              <w:rPr>
                <w:sz w:val="20"/>
                <w:szCs w:val="20"/>
                <w:color w:val="auto"/>
              </w:rPr>
            </w:pPr>
            <w:r>
              <w:rPr>
                <w:rFonts w:ascii="Arial" w:cs="Arial" w:eastAsia="Arial" w:hAnsi="Arial"/>
                <w:sz w:val="11"/>
                <w:szCs w:val="11"/>
                <w:color w:val="auto"/>
              </w:rPr>
              <w:t>118</w:t>
            </w:r>
          </w:p>
        </w:tc>
        <w:tc>
          <w:tcPr>
            <w:tcW w:w="120" w:type="dxa"/>
            <w:vAlign w:val="bottom"/>
            <w:tcBorders>
              <w:bottom w:val="single" w:sz="8" w:color="CCEEFF"/>
            </w:tcBorders>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1120" w:type="dxa"/>
            <w:vAlign w:val="bottom"/>
            <w:tcBorders>
              <w:bottom w:val="single" w:sz="8" w:color="auto"/>
            </w:tcBorders>
            <w:shd w:val="clear" w:color="auto" w:fill="CCEEFF"/>
          </w:tcPr>
          <w:p>
            <w:pPr>
              <w:jc w:val="right"/>
              <w:ind w:right="47"/>
              <w:spacing w:after="0"/>
              <w:rPr>
                <w:sz w:val="20"/>
                <w:szCs w:val="20"/>
                <w:color w:val="auto"/>
              </w:rPr>
            </w:pPr>
            <w:r>
              <w:rPr>
                <w:rFonts w:ascii="Arial" w:cs="Arial" w:eastAsia="Arial" w:hAnsi="Arial"/>
                <w:sz w:val="11"/>
                <w:szCs w:val="11"/>
                <w:color w:val="auto"/>
              </w:rPr>
              <w:t>48,130</w:t>
            </w:r>
          </w:p>
        </w:tc>
        <w:tc>
          <w:tcPr>
            <w:tcW w:w="12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48,152</w:t>
            </w:r>
          </w:p>
        </w:tc>
        <w:tc>
          <w:tcPr>
            <w:tcW w:w="100" w:type="dxa"/>
            <w:vAlign w:val="bottom"/>
            <w:tcBorders>
              <w:bottom w:val="single" w:sz="8" w:color="CCEEFF"/>
            </w:tcBorders>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jc w:val="right"/>
              <w:ind w:right="46"/>
              <w:spacing w:after="0"/>
              <w:rPr>
                <w:sz w:val="20"/>
                <w:szCs w:val="20"/>
                <w:color w:val="auto"/>
              </w:rPr>
            </w:pPr>
            <w:r>
              <w:rPr>
                <w:rFonts w:ascii="Arial" w:cs="Arial" w:eastAsia="Arial" w:hAnsi="Arial"/>
                <w:sz w:val="11"/>
                <w:szCs w:val="11"/>
                <w:color w:val="auto"/>
                <w:w w:val="97"/>
              </w:rPr>
              <w:t>$</w:t>
            </w:r>
          </w:p>
        </w:tc>
        <w:tc>
          <w:tcPr>
            <w:tcW w:w="840" w:type="dxa"/>
            <w:vAlign w:val="bottom"/>
            <w:tcBorders>
              <w:bottom w:val="single" w:sz="8" w:color="auto"/>
            </w:tcBorders>
            <w:shd w:val="clear" w:color="auto" w:fill="CCEEFF"/>
          </w:tcPr>
          <w:p>
            <w:pPr>
              <w:jc w:val="right"/>
              <w:ind w:right="68"/>
              <w:spacing w:after="0"/>
              <w:rPr>
                <w:sz w:val="20"/>
                <w:szCs w:val="20"/>
                <w:color w:val="auto"/>
              </w:rPr>
            </w:pPr>
            <w:r>
              <w:rPr>
                <w:rFonts w:ascii="Arial" w:cs="Arial" w:eastAsia="Arial" w:hAnsi="Arial"/>
                <w:sz w:val="11"/>
                <w:szCs w:val="11"/>
                <w:color w:val="auto"/>
              </w:rPr>
              <w:t>135</w:t>
            </w:r>
          </w:p>
        </w:tc>
      </w:tr>
      <w:tr>
        <w:trPr>
          <w:trHeight w:val="121"/>
        </w:trPr>
        <w:tc>
          <w:tcPr>
            <w:tcW w:w="3900" w:type="dxa"/>
            <w:vAlign w:val="bottom"/>
          </w:tcPr>
          <w:p>
            <w:pPr>
              <w:spacing w:after="0"/>
              <w:rPr>
                <w:sz w:val="20"/>
                <w:szCs w:val="20"/>
                <w:color w:val="auto"/>
              </w:rPr>
            </w:pPr>
            <w:r>
              <w:rPr>
                <w:rFonts w:ascii="Arial" w:cs="Arial" w:eastAsia="Arial" w:hAnsi="Arial"/>
                <w:sz w:val="10"/>
                <w:szCs w:val="10"/>
                <w:color w:val="auto"/>
              </w:rPr>
              <w:t>______________________</w:t>
            </w:r>
          </w:p>
        </w:tc>
        <w:tc>
          <w:tcPr>
            <w:tcW w:w="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40" w:type="dxa"/>
            <w:vAlign w:val="bottom"/>
          </w:tcPr>
          <w:p>
            <w:pPr>
              <w:spacing w:after="0"/>
              <w:rPr>
                <w:sz w:val="10"/>
                <w:szCs w:val="10"/>
                <w:color w:val="auto"/>
              </w:rPr>
            </w:pPr>
          </w:p>
        </w:tc>
      </w:tr>
    </w:tbl>
    <w:p>
      <w:pPr>
        <w:spacing w:after="0" w:line="5" w:lineRule="exact"/>
        <w:rPr>
          <w:sz w:val="20"/>
          <w:szCs w:val="20"/>
          <w:color w:val="auto"/>
        </w:rPr>
      </w:pPr>
    </w:p>
    <w:p>
      <w:pPr>
        <w:ind w:left="420" w:hanging="212"/>
        <w:spacing w:after="0"/>
        <w:tabs>
          <w:tab w:leader="none" w:pos="420" w:val="left"/>
        </w:tabs>
        <w:numPr>
          <w:ilvl w:val="0"/>
          <w:numId w:val="14"/>
        </w:numPr>
        <w:rPr>
          <w:rFonts w:ascii="Arial" w:cs="Arial" w:eastAsia="Arial" w:hAnsi="Arial"/>
          <w:sz w:val="10"/>
          <w:szCs w:val="10"/>
          <w:color w:val="auto"/>
        </w:rPr>
      </w:pPr>
      <w:r>
        <w:rPr>
          <w:rFonts w:ascii="Arial" w:cs="Arial" w:eastAsia="Arial" w:hAnsi="Arial"/>
          <w:sz w:val="10"/>
          <w:szCs w:val="10"/>
          <w:color w:val="auto"/>
        </w:rPr>
        <w:t>Includes $194 million and $245 million of retained interests in our consolidated VIEs pledged as collateral under repurchase agreements, as of September 30, 2016 and December 31, 2015, respectively.</w:t>
      </w:r>
    </w:p>
    <w:p>
      <w:pPr>
        <w:spacing w:after="0" w:line="159" w:lineRule="exact"/>
        <w:rPr>
          <w:sz w:val="20"/>
          <w:szCs w:val="20"/>
          <w:color w:val="auto"/>
        </w:rPr>
      </w:pPr>
    </w:p>
    <w:p>
      <w:pPr>
        <w:ind w:left="260"/>
        <w:spacing w:after="0"/>
        <w:rPr>
          <w:sz w:val="20"/>
          <w:szCs w:val="20"/>
          <w:color w:val="auto"/>
        </w:rPr>
      </w:pPr>
      <w:r>
        <w:rPr>
          <w:rFonts w:ascii="Arial" w:cs="Arial" w:eastAsia="Arial" w:hAnsi="Arial"/>
          <w:sz w:val="12"/>
          <w:szCs w:val="12"/>
          <w:color w:val="auto"/>
        </w:rPr>
        <w:t>As of September 30, 2016 and December 31, 2015, none of our borrowings backed by MBS were due on demand or mature overnight.</w:t>
      </w:r>
    </w:p>
    <w:p>
      <w:pPr>
        <w:spacing w:after="0" w:line="114" w:lineRule="exact"/>
        <w:rPr>
          <w:sz w:val="20"/>
          <w:szCs w:val="20"/>
          <w:color w:val="auto"/>
        </w:rPr>
      </w:pPr>
    </w:p>
    <w:p>
      <w:pPr>
        <w:jc w:val="both"/>
        <w:ind w:right="20" w:firstLine="288"/>
        <w:spacing w:after="0" w:line="323" w:lineRule="auto"/>
        <w:rPr>
          <w:sz w:val="20"/>
          <w:szCs w:val="20"/>
          <w:color w:val="auto"/>
        </w:rPr>
      </w:pPr>
      <w:r>
        <w:rPr>
          <w:rFonts w:ascii="Arial" w:cs="Arial" w:eastAsia="Arial" w:hAnsi="Arial"/>
          <w:sz w:val="11"/>
          <w:szCs w:val="11"/>
          <w:color w:val="auto"/>
        </w:rPr>
        <w:t>The table above excludes agency securities transferred to our consolidated VIEs. Securities transferred to our consolidated VIEs can only be used to settle the obligations of each respective VIE. However, we may pledge our retained interests in our consolidated VIEs as collateral under our repurchase agreements and derivative contracts. Please refer to Notes 4 and 5 for additional information regarding our consolidated VIEs.</w:t>
      </w:r>
    </w:p>
    <w:p>
      <w:pPr>
        <w:spacing w:after="0" w:line="56"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Assets Pledged from Counterparties</w:t>
      </w:r>
    </w:p>
    <w:p>
      <w:pPr>
        <w:spacing w:after="0" w:line="114" w:lineRule="exact"/>
        <w:rPr>
          <w:sz w:val="20"/>
          <w:szCs w:val="20"/>
          <w:color w:val="auto"/>
        </w:rPr>
      </w:pPr>
    </w:p>
    <w:p>
      <w:pPr>
        <w:jc w:val="both"/>
        <w:ind w:firstLine="270"/>
        <w:spacing w:after="0" w:line="298" w:lineRule="auto"/>
        <w:rPr>
          <w:sz w:val="20"/>
          <w:szCs w:val="20"/>
          <w:color w:val="auto"/>
        </w:rPr>
      </w:pPr>
      <w:r>
        <w:rPr>
          <w:rFonts w:ascii="Arial" w:cs="Arial" w:eastAsia="Arial" w:hAnsi="Arial"/>
          <w:sz w:val="11"/>
          <w:szCs w:val="11"/>
          <w:color w:val="auto"/>
        </w:rPr>
        <w:t>As of September 30, 2016 and December 31, 2015, we had U.S. Treasury securities pledged to us from counterparties as collateral under our reverse repurchase agreements of $5.4 billion and $1.7 billion, respectively. U.S Treasury securities received as collateral under our reverse repurchase agreements that we use to cover short sales of U.S. Treasury securities are accounted for as securities borrowing transactions. We recognize a corresponding obligation to return the borrowed securities at fair value on the accompanying consolidated balance sheets based on the value of the underlying borrowed securities as of the reporting date.</w:t>
      </w:r>
    </w:p>
    <w:p>
      <w:pPr>
        <w:spacing w:after="0" w:line="6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Offsetting Assets and Liabilities</w:t>
      </w:r>
    </w:p>
    <w:p>
      <w:pPr>
        <w:spacing w:after="0" w:line="114" w:lineRule="exact"/>
        <w:rPr>
          <w:sz w:val="20"/>
          <w:szCs w:val="20"/>
          <w:color w:val="auto"/>
        </w:rPr>
      </w:pPr>
    </w:p>
    <w:p>
      <w:pPr>
        <w:jc w:val="both"/>
        <w:ind w:firstLine="288"/>
        <w:spacing w:after="0" w:line="327" w:lineRule="auto"/>
        <w:rPr>
          <w:sz w:val="20"/>
          <w:szCs w:val="20"/>
          <w:color w:val="auto"/>
        </w:rPr>
      </w:pPr>
      <w:r>
        <w:rPr>
          <w:rFonts w:ascii="Arial" w:cs="Arial" w:eastAsia="Arial" w:hAnsi="Arial"/>
          <w:sz w:val="10"/>
          <w:szCs w:val="10"/>
          <w:color w:val="auto"/>
        </w:rPr>
        <w:t>Certain of our repurchase agreements and derivative transactions are governed by underlying agreements that generally provide for a right of setoff under master netting arrangements (or similar agreements), including in the event of default or in the event of bankruptcy of either party to the transactions. Repurchase agreements and reverse repurchase agreements with the same counterparty and the same maturity date are presented net in our consolidated balance sheets when the terms of the agreements permit netting. All other assets and liabilities subject to master netting arrangements are presented on a gross basis in our consolidated balance sheets. The following tables present information about our assets and liabilities that are subject to master netting arrangements and have either been offset or can potentially be offset on our consolidated balance sheets as of September 30, 2016 and December 31, 2015 (in millions):</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22</w:t>
      </w:r>
    </w:p>
    <w:p>
      <w:pPr>
        <w:sectPr>
          <w:pgSz w:w="11900" w:h="16838" w:orient="portrait"/>
          <w:cols w:equalWidth="0" w:num="1">
            <w:col w:w="11480"/>
          </w:cols>
          <w:pgMar w:left="220" w:top="692" w:right="199" w:bottom="1440" w:gutter="0" w:footer="0" w:header="0"/>
        </w:sectPr>
      </w:pPr>
    </w:p>
    <w:bookmarkStart w:id="23" w:name="page24"/>
    <w:bookmarkEnd w:id="23"/>
    <w:tbl>
      <w:tblPr>
        <w:tblLayout w:type="fixed"/>
        <w:tblInd w:w="0" w:type="dxa"/>
        <w:tblCellMar>
          <w:top w:w="0" w:type="dxa"/>
          <w:left w:w="0" w:type="dxa"/>
          <w:bottom w:w="0" w:type="dxa"/>
          <w:right w:w="0" w:type="dxa"/>
        </w:tblCellMar>
      </w:tblPr>
      <w:tr>
        <w:trPr>
          <w:trHeight w:val="128"/>
        </w:trPr>
        <w:tc>
          <w:tcPr>
            <w:tcW w:w="39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260" w:type="dxa"/>
            <w:vAlign w:val="bottom"/>
            <w:tcBorders>
              <w:bottom w:val="single" w:sz="8" w:color="auto"/>
            </w:tcBorders>
            <w:gridSpan w:val="6"/>
          </w:tcPr>
          <w:p>
            <w:pPr>
              <w:jc w:val="right"/>
              <w:ind w:right="132"/>
              <w:spacing w:after="0"/>
              <w:rPr>
                <w:sz w:val="20"/>
                <w:szCs w:val="20"/>
                <w:color w:val="auto"/>
              </w:rPr>
            </w:pPr>
            <w:r>
              <w:rPr>
                <w:rFonts w:ascii="Arial" w:cs="Arial" w:eastAsia="Arial" w:hAnsi="Arial"/>
                <w:sz w:val="10"/>
                <w:szCs w:val="10"/>
                <w:b w:val="1"/>
                <w:bCs w:val="1"/>
                <w:color w:val="auto"/>
                <w:w w:val="97"/>
              </w:rPr>
              <w:t>Offsetting of Financial and Derivative Assets</w:t>
            </w:r>
          </w:p>
        </w:tc>
        <w:tc>
          <w:tcPr>
            <w:tcW w:w="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6"/>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1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0" w:type="dxa"/>
            <w:vAlign w:val="bottom"/>
            <w:gridSpan w:val="4"/>
            <w:vMerge w:val="restart"/>
          </w:tcPr>
          <w:p>
            <w:pPr>
              <w:jc w:val="center"/>
              <w:ind w:right="200"/>
              <w:spacing w:after="0"/>
              <w:rPr>
                <w:sz w:val="20"/>
                <w:szCs w:val="20"/>
                <w:color w:val="auto"/>
              </w:rPr>
            </w:pPr>
            <w:r>
              <w:rPr>
                <w:rFonts w:ascii="Arial" w:cs="Arial" w:eastAsia="Arial" w:hAnsi="Arial"/>
                <w:sz w:val="10"/>
                <w:szCs w:val="10"/>
                <w:b w:val="1"/>
                <w:bCs w:val="1"/>
                <w:color w:val="auto"/>
                <w:w w:val="83"/>
              </w:rPr>
              <w:t>Net Amounts of Assets</w:t>
            </w:r>
          </w:p>
        </w:tc>
        <w:tc>
          <w:tcPr>
            <w:tcW w:w="80" w:type="dxa"/>
            <w:vAlign w:val="bottom"/>
          </w:tcPr>
          <w:p>
            <w:pPr>
              <w:spacing w:after="0"/>
              <w:rPr>
                <w:sz w:val="8"/>
                <w:szCs w:val="8"/>
                <w:color w:val="auto"/>
              </w:rPr>
            </w:pPr>
          </w:p>
        </w:tc>
        <w:tc>
          <w:tcPr>
            <w:tcW w:w="2400" w:type="dxa"/>
            <w:vAlign w:val="bottom"/>
            <w:gridSpan w:val="6"/>
          </w:tcPr>
          <w:p>
            <w:pPr>
              <w:jc w:val="center"/>
              <w:ind w:right="160"/>
              <w:spacing w:after="0" w:line="96" w:lineRule="exact"/>
              <w:rPr>
                <w:sz w:val="20"/>
                <w:szCs w:val="20"/>
                <w:color w:val="auto"/>
              </w:rPr>
            </w:pPr>
            <w:r>
              <w:rPr>
                <w:rFonts w:ascii="Arial" w:cs="Arial" w:eastAsia="Arial" w:hAnsi="Arial"/>
                <w:sz w:val="10"/>
                <w:szCs w:val="10"/>
                <w:b w:val="1"/>
                <w:bCs w:val="1"/>
                <w:color w:val="auto"/>
                <w:w w:val="85"/>
              </w:rPr>
              <w:t>Gross Amounts Not Offset</w:t>
            </w:r>
          </w:p>
        </w:tc>
        <w:tc>
          <w:tcPr>
            <w:tcW w:w="200" w:type="dxa"/>
            <w:vAlign w:val="bottom"/>
          </w:tcPr>
          <w:p>
            <w:pPr>
              <w:spacing w:after="0"/>
              <w:rPr>
                <w:sz w:val="8"/>
                <w:szCs w:val="8"/>
                <w:color w:val="auto"/>
              </w:rPr>
            </w:pPr>
          </w:p>
        </w:tc>
        <w:tc>
          <w:tcPr>
            <w:tcW w:w="9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6"/>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1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0" w:type="dxa"/>
            <w:vAlign w:val="bottom"/>
            <w:gridSpan w:val="4"/>
            <w:vMerge w:val="continue"/>
          </w:tcPr>
          <w:p>
            <w:pPr>
              <w:spacing w:after="0"/>
              <w:rPr>
                <w:sz w:val="8"/>
                <w:szCs w:val="8"/>
                <w:color w:val="auto"/>
              </w:rPr>
            </w:pPr>
          </w:p>
        </w:tc>
        <w:tc>
          <w:tcPr>
            <w:tcW w:w="80" w:type="dxa"/>
            <w:vAlign w:val="bottom"/>
          </w:tcPr>
          <w:p>
            <w:pPr>
              <w:spacing w:after="0"/>
              <w:rPr>
                <w:sz w:val="8"/>
                <w:szCs w:val="8"/>
                <w:color w:val="auto"/>
              </w:rPr>
            </w:pPr>
          </w:p>
        </w:tc>
        <w:tc>
          <w:tcPr>
            <w:tcW w:w="980" w:type="dxa"/>
            <w:vAlign w:val="bottom"/>
          </w:tcPr>
          <w:p>
            <w:pPr>
              <w:spacing w:after="0"/>
              <w:rPr>
                <w:sz w:val="8"/>
                <w:szCs w:val="8"/>
                <w:color w:val="auto"/>
              </w:rPr>
            </w:pPr>
          </w:p>
        </w:tc>
        <w:tc>
          <w:tcPr>
            <w:tcW w:w="280" w:type="dxa"/>
            <w:vAlign w:val="bottom"/>
            <w:gridSpan w:val="3"/>
          </w:tcPr>
          <w:p>
            <w:pPr>
              <w:jc w:val="center"/>
              <w:spacing w:after="0" w:line="96" w:lineRule="exact"/>
              <w:rPr>
                <w:sz w:val="20"/>
                <w:szCs w:val="20"/>
                <w:color w:val="auto"/>
              </w:rPr>
            </w:pPr>
            <w:r>
              <w:rPr>
                <w:rFonts w:ascii="Arial" w:cs="Arial" w:eastAsia="Arial" w:hAnsi="Arial"/>
                <w:sz w:val="10"/>
                <w:szCs w:val="10"/>
                <w:b w:val="1"/>
                <w:bCs w:val="1"/>
                <w:color w:val="auto"/>
                <w:w w:val="89"/>
              </w:rPr>
              <w:t>in the</w:t>
            </w:r>
          </w:p>
        </w:tc>
        <w:tc>
          <w:tcPr>
            <w:tcW w:w="104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9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220" w:type="dxa"/>
            <w:vAlign w:val="bottom"/>
            <w:gridSpan w:val="4"/>
          </w:tcPr>
          <w:p>
            <w:pPr>
              <w:jc w:val="right"/>
              <w:ind w:right="200"/>
              <w:spacing w:after="0" w:line="99" w:lineRule="exact"/>
              <w:rPr>
                <w:sz w:val="20"/>
                <w:szCs w:val="20"/>
                <w:color w:val="auto"/>
              </w:rPr>
            </w:pPr>
            <w:r>
              <w:rPr>
                <w:rFonts w:ascii="Arial" w:cs="Arial" w:eastAsia="Arial" w:hAnsi="Arial"/>
                <w:sz w:val="10"/>
                <w:szCs w:val="10"/>
                <w:b w:val="1"/>
                <w:bCs w:val="1"/>
                <w:color w:val="auto"/>
                <w:w w:val="84"/>
              </w:rPr>
              <w:t>Gross Amounts Offset in</w:t>
            </w:r>
          </w:p>
        </w:tc>
        <w:tc>
          <w:tcPr>
            <w:tcW w:w="80" w:type="dxa"/>
            <w:vAlign w:val="bottom"/>
          </w:tcPr>
          <w:p>
            <w:pPr>
              <w:spacing w:after="0"/>
              <w:rPr>
                <w:sz w:val="8"/>
                <w:szCs w:val="8"/>
                <w:color w:val="auto"/>
              </w:rPr>
            </w:pPr>
          </w:p>
        </w:tc>
        <w:tc>
          <w:tcPr>
            <w:tcW w:w="1200" w:type="dxa"/>
            <w:vAlign w:val="bottom"/>
            <w:gridSpan w:val="4"/>
          </w:tcPr>
          <w:p>
            <w:pPr>
              <w:jc w:val="center"/>
              <w:ind w:right="220"/>
              <w:spacing w:after="0" w:line="99" w:lineRule="exact"/>
              <w:rPr>
                <w:sz w:val="20"/>
                <w:szCs w:val="20"/>
                <w:color w:val="auto"/>
              </w:rPr>
            </w:pPr>
            <w:r>
              <w:rPr>
                <w:rFonts w:ascii="Arial" w:cs="Arial" w:eastAsia="Arial" w:hAnsi="Arial"/>
                <w:sz w:val="10"/>
                <w:szCs w:val="10"/>
                <w:b w:val="1"/>
                <w:bCs w:val="1"/>
                <w:color w:val="auto"/>
                <w:w w:val="84"/>
              </w:rPr>
              <w:t>Presented in the</w:t>
            </w:r>
          </w:p>
        </w:tc>
        <w:tc>
          <w:tcPr>
            <w:tcW w:w="80" w:type="dxa"/>
            <w:vAlign w:val="bottom"/>
          </w:tcPr>
          <w:p>
            <w:pPr>
              <w:spacing w:after="0"/>
              <w:rPr>
                <w:sz w:val="8"/>
                <w:szCs w:val="8"/>
                <w:color w:val="auto"/>
              </w:rPr>
            </w:pPr>
          </w:p>
        </w:tc>
        <w:tc>
          <w:tcPr>
            <w:tcW w:w="2400" w:type="dxa"/>
            <w:vAlign w:val="bottom"/>
            <w:gridSpan w:val="6"/>
          </w:tcPr>
          <w:p>
            <w:pPr>
              <w:jc w:val="center"/>
              <w:ind w:right="180"/>
              <w:spacing w:after="0" w:line="99" w:lineRule="exact"/>
              <w:rPr>
                <w:sz w:val="20"/>
                <w:szCs w:val="20"/>
                <w:color w:val="auto"/>
              </w:rPr>
            </w:pPr>
            <w:r>
              <w:rPr>
                <w:rFonts w:ascii="Arial" w:cs="Arial" w:eastAsia="Arial" w:hAnsi="Arial"/>
                <w:sz w:val="10"/>
                <w:szCs w:val="10"/>
                <w:b w:val="1"/>
                <w:bCs w:val="1"/>
                <w:color w:val="auto"/>
                <w:w w:val="84"/>
              </w:rPr>
              <w:t>Consolidated Balance Sheets</w:t>
            </w:r>
          </w:p>
        </w:tc>
        <w:tc>
          <w:tcPr>
            <w:tcW w:w="200" w:type="dxa"/>
            <w:vAlign w:val="bottom"/>
          </w:tcPr>
          <w:p>
            <w:pPr>
              <w:spacing w:after="0"/>
              <w:rPr>
                <w:sz w:val="8"/>
                <w:szCs w:val="8"/>
                <w:color w:val="auto"/>
              </w:rPr>
            </w:pPr>
          </w:p>
        </w:tc>
        <w:tc>
          <w:tcPr>
            <w:tcW w:w="9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6"/>
        </w:trPr>
        <w:tc>
          <w:tcPr>
            <w:tcW w:w="3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gridSpan w:val="2"/>
            <w:vMerge w:val="restart"/>
          </w:tcPr>
          <w:p>
            <w:pPr>
              <w:jc w:val="right"/>
              <w:ind w:right="160"/>
              <w:spacing w:after="0" w:line="94" w:lineRule="exact"/>
              <w:rPr>
                <w:sz w:val="20"/>
                <w:szCs w:val="20"/>
                <w:color w:val="auto"/>
              </w:rPr>
            </w:pPr>
            <w:r>
              <w:rPr>
                <w:rFonts w:ascii="Arial" w:cs="Arial" w:eastAsia="Arial" w:hAnsi="Arial"/>
                <w:sz w:val="10"/>
                <w:szCs w:val="10"/>
                <w:b w:val="1"/>
                <w:bCs w:val="1"/>
                <w:color w:val="auto"/>
                <w:w w:val="87"/>
              </w:rPr>
              <w:t>Gross Amounts of</w:t>
            </w:r>
          </w:p>
        </w:tc>
        <w:tc>
          <w:tcPr>
            <w:tcW w:w="120" w:type="dxa"/>
            <w:vAlign w:val="bottom"/>
          </w:tcPr>
          <w:p>
            <w:pPr>
              <w:spacing w:after="0"/>
              <w:rPr>
                <w:sz w:val="3"/>
                <w:szCs w:val="3"/>
                <w:color w:val="auto"/>
              </w:rPr>
            </w:pPr>
          </w:p>
        </w:tc>
        <w:tc>
          <w:tcPr>
            <w:tcW w:w="1280" w:type="dxa"/>
            <w:vAlign w:val="bottom"/>
            <w:gridSpan w:val="5"/>
            <w:vMerge w:val="restart"/>
          </w:tcPr>
          <w:p>
            <w:pPr>
              <w:jc w:val="right"/>
              <w:ind w:right="180"/>
              <w:spacing w:after="0" w:line="94" w:lineRule="exact"/>
              <w:rPr>
                <w:sz w:val="20"/>
                <w:szCs w:val="20"/>
                <w:color w:val="auto"/>
              </w:rPr>
            </w:pPr>
            <w:r>
              <w:rPr>
                <w:rFonts w:ascii="Arial" w:cs="Arial" w:eastAsia="Arial" w:hAnsi="Arial"/>
                <w:sz w:val="10"/>
                <w:szCs w:val="10"/>
                <w:b w:val="1"/>
                <w:bCs w:val="1"/>
                <w:color w:val="auto"/>
                <w:w w:val="88"/>
              </w:rPr>
              <w:t>the Consolidated Balance</w:t>
            </w:r>
          </w:p>
        </w:tc>
        <w:tc>
          <w:tcPr>
            <w:tcW w:w="80" w:type="dxa"/>
            <w:vAlign w:val="bottom"/>
          </w:tcPr>
          <w:p>
            <w:pPr>
              <w:spacing w:after="0"/>
              <w:rPr>
                <w:sz w:val="3"/>
                <w:szCs w:val="3"/>
                <w:color w:val="auto"/>
              </w:rPr>
            </w:pPr>
          </w:p>
        </w:tc>
        <w:tc>
          <w:tcPr>
            <w:tcW w:w="1200" w:type="dxa"/>
            <w:vAlign w:val="bottom"/>
            <w:gridSpan w:val="4"/>
            <w:vMerge w:val="restart"/>
          </w:tcPr>
          <w:p>
            <w:pPr>
              <w:jc w:val="center"/>
              <w:ind w:right="200"/>
              <w:spacing w:after="0" w:line="94" w:lineRule="exact"/>
              <w:rPr>
                <w:sz w:val="20"/>
                <w:szCs w:val="20"/>
                <w:color w:val="auto"/>
              </w:rPr>
            </w:pPr>
            <w:r>
              <w:rPr>
                <w:rFonts w:ascii="Arial" w:cs="Arial" w:eastAsia="Arial" w:hAnsi="Arial"/>
                <w:sz w:val="10"/>
                <w:szCs w:val="10"/>
                <w:b w:val="1"/>
                <w:bCs w:val="1"/>
                <w:color w:val="auto"/>
                <w:w w:val="84"/>
              </w:rPr>
              <w:t>Consolidated Balance</w:t>
            </w:r>
          </w:p>
        </w:tc>
        <w:tc>
          <w:tcPr>
            <w:tcW w:w="8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9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38"/>
        </w:trPr>
        <w:tc>
          <w:tcPr>
            <w:tcW w:w="3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gridSpan w:val="2"/>
            <w:vMerge w:val="continue"/>
          </w:tcPr>
          <w:p>
            <w:pPr>
              <w:spacing w:after="0"/>
              <w:rPr>
                <w:sz w:val="3"/>
                <w:szCs w:val="3"/>
                <w:color w:val="auto"/>
              </w:rPr>
            </w:pPr>
          </w:p>
        </w:tc>
        <w:tc>
          <w:tcPr>
            <w:tcW w:w="120" w:type="dxa"/>
            <w:vAlign w:val="bottom"/>
          </w:tcPr>
          <w:p>
            <w:pPr>
              <w:spacing w:after="0"/>
              <w:rPr>
                <w:sz w:val="3"/>
                <w:szCs w:val="3"/>
                <w:color w:val="auto"/>
              </w:rPr>
            </w:pPr>
          </w:p>
        </w:tc>
        <w:tc>
          <w:tcPr>
            <w:tcW w:w="1280" w:type="dxa"/>
            <w:vAlign w:val="bottom"/>
            <w:gridSpan w:val="5"/>
            <w:vMerge w:val="continue"/>
          </w:tcPr>
          <w:p>
            <w:pPr>
              <w:spacing w:after="0"/>
              <w:rPr>
                <w:sz w:val="3"/>
                <w:szCs w:val="3"/>
                <w:color w:val="auto"/>
              </w:rPr>
            </w:pPr>
          </w:p>
        </w:tc>
        <w:tc>
          <w:tcPr>
            <w:tcW w:w="80" w:type="dxa"/>
            <w:vAlign w:val="bottom"/>
          </w:tcPr>
          <w:p>
            <w:pPr>
              <w:spacing w:after="0"/>
              <w:rPr>
                <w:sz w:val="3"/>
                <w:szCs w:val="3"/>
                <w:color w:val="auto"/>
              </w:rPr>
            </w:pPr>
          </w:p>
        </w:tc>
        <w:tc>
          <w:tcPr>
            <w:tcW w:w="1200" w:type="dxa"/>
            <w:vAlign w:val="bottom"/>
            <w:gridSpan w:val="4"/>
            <w:vMerge w:val="continue"/>
          </w:tcPr>
          <w:p>
            <w:pPr>
              <w:spacing w:after="0"/>
              <w:rPr>
                <w:sz w:val="3"/>
                <w:szCs w:val="3"/>
                <w:color w:val="auto"/>
              </w:rPr>
            </w:pPr>
          </w:p>
        </w:tc>
        <w:tc>
          <w:tcPr>
            <w:tcW w:w="80" w:type="dxa"/>
            <w:vAlign w:val="bottom"/>
          </w:tcPr>
          <w:p>
            <w:pPr>
              <w:spacing w:after="0"/>
              <w:rPr>
                <w:sz w:val="3"/>
                <w:szCs w:val="3"/>
                <w:color w:val="auto"/>
              </w:rPr>
            </w:pPr>
          </w:p>
        </w:tc>
        <w:tc>
          <w:tcPr>
            <w:tcW w:w="9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9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28"/>
        </w:trPr>
        <w:tc>
          <w:tcPr>
            <w:tcW w:w="39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40" w:type="dxa"/>
            <w:vAlign w:val="bottom"/>
            <w:gridSpan w:val="2"/>
          </w:tcPr>
          <w:p>
            <w:pPr>
              <w:jc w:val="right"/>
              <w:ind w:right="140"/>
              <w:spacing w:after="0"/>
              <w:rPr>
                <w:sz w:val="20"/>
                <w:szCs w:val="20"/>
                <w:color w:val="auto"/>
              </w:rPr>
            </w:pPr>
            <w:r>
              <w:rPr>
                <w:rFonts w:ascii="Arial" w:cs="Arial" w:eastAsia="Arial" w:hAnsi="Arial"/>
                <w:sz w:val="10"/>
                <w:szCs w:val="10"/>
                <w:b w:val="1"/>
                <w:bCs w:val="1"/>
                <w:color w:val="auto"/>
                <w:w w:val="85"/>
              </w:rPr>
              <w:t>Recognized Assets</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20" w:type="dxa"/>
            <w:vAlign w:val="bottom"/>
            <w:gridSpan w:val="4"/>
          </w:tcPr>
          <w:p>
            <w:pPr>
              <w:ind w:left="380"/>
              <w:spacing w:after="0"/>
              <w:rPr>
                <w:sz w:val="20"/>
                <w:szCs w:val="20"/>
                <w:color w:val="auto"/>
              </w:rPr>
            </w:pPr>
            <w:r>
              <w:rPr>
                <w:rFonts w:ascii="Arial" w:cs="Arial" w:eastAsia="Arial" w:hAnsi="Arial"/>
                <w:sz w:val="10"/>
                <w:szCs w:val="10"/>
                <w:b w:val="1"/>
                <w:bCs w:val="1"/>
                <w:color w:val="auto"/>
              </w:rPr>
              <w:t>Sheets</w:t>
            </w:r>
          </w:p>
        </w:tc>
        <w:tc>
          <w:tcPr>
            <w:tcW w:w="80" w:type="dxa"/>
            <w:vAlign w:val="bottom"/>
          </w:tcPr>
          <w:p>
            <w:pPr>
              <w:spacing w:after="0"/>
              <w:rPr>
                <w:sz w:val="11"/>
                <w:szCs w:val="11"/>
                <w:color w:val="auto"/>
              </w:rPr>
            </w:pPr>
          </w:p>
        </w:tc>
        <w:tc>
          <w:tcPr>
            <w:tcW w:w="1200" w:type="dxa"/>
            <w:vAlign w:val="bottom"/>
            <w:gridSpan w:val="4"/>
          </w:tcPr>
          <w:p>
            <w:pPr>
              <w:jc w:val="center"/>
              <w:ind w:right="220"/>
              <w:spacing w:after="0"/>
              <w:rPr>
                <w:sz w:val="20"/>
                <w:szCs w:val="20"/>
                <w:color w:val="auto"/>
              </w:rPr>
            </w:pPr>
            <w:r>
              <w:rPr>
                <w:rFonts w:ascii="Arial" w:cs="Arial" w:eastAsia="Arial" w:hAnsi="Arial"/>
                <w:sz w:val="10"/>
                <w:szCs w:val="10"/>
                <w:b w:val="1"/>
                <w:bCs w:val="1"/>
                <w:color w:val="auto"/>
                <w:w w:val="79"/>
              </w:rPr>
              <w:t>Sheets</w:t>
            </w:r>
          </w:p>
        </w:tc>
        <w:tc>
          <w:tcPr>
            <w:tcW w:w="80" w:type="dxa"/>
            <w:vAlign w:val="bottom"/>
          </w:tcPr>
          <w:p>
            <w:pPr>
              <w:spacing w:after="0"/>
              <w:rPr>
                <w:sz w:val="11"/>
                <w:szCs w:val="11"/>
                <w:color w:val="auto"/>
              </w:rPr>
            </w:pPr>
          </w:p>
        </w:tc>
        <w:tc>
          <w:tcPr>
            <w:tcW w:w="980" w:type="dxa"/>
            <w:vAlign w:val="bottom"/>
          </w:tcPr>
          <w:p>
            <w:pPr>
              <w:jc w:val="right"/>
              <w:spacing w:after="0"/>
              <w:rPr>
                <w:sz w:val="20"/>
                <w:szCs w:val="20"/>
                <w:color w:val="auto"/>
              </w:rPr>
            </w:pPr>
            <w:r>
              <w:rPr>
                <w:rFonts w:ascii="Arial" w:cs="Arial" w:eastAsia="Arial" w:hAnsi="Arial"/>
                <w:sz w:val="10"/>
                <w:szCs w:val="10"/>
                <w:b w:val="1"/>
                <w:bCs w:val="1"/>
                <w:color w:val="auto"/>
                <w:w w:val="88"/>
              </w:rPr>
              <w:t>Financial Instruments</w:t>
            </w: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40" w:type="dxa"/>
            <w:vAlign w:val="bottom"/>
            <w:gridSpan w:val="2"/>
          </w:tcPr>
          <w:p>
            <w:pPr>
              <w:ind w:left="40"/>
              <w:spacing w:after="0"/>
              <w:rPr>
                <w:sz w:val="20"/>
                <w:szCs w:val="20"/>
                <w:color w:val="auto"/>
              </w:rPr>
            </w:pPr>
            <w:r>
              <w:rPr>
                <w:rFonts w:ascii="Arial" w:cs="Arial" w:eastAsia="Arial" w:hAnsi="Arial"/>
                <w:sz w:val="10"/>
                <w:szCs w:val="10"/>
                <w:b w:val="1"/>
                <w:bCs w:val="1"/>
                <w:color w:val="auto"/>
              </w:rPr>
              <w:t xml:space="preserve">Collateral Received </w:t>
            </w:r>
            <w:r>
              <w:rPr>
                <w:rFonts w:ascii="Arial" w:cs="Arial" w:eastAsia="Arial" w:hAnsi="Arial"/>
                <w:sz w:val="5"/>
                <w:szCs w:val="5"/>
                <w:b w:val="1"/>
                <w:bCs w:val="1"/>
                <w:color w:val="auto"/>
              </w:rPr>
              <w:t>2</w:t>
            </w:r>
          </w:p>
        </w:tc>
        <w:tc>
          <w:tcPr>
            <w:tcW w:w="200" w:type="dxa"/>
            <w:vAlign w:val="bottom"/>
          </w:tcPr>
          <w:p>
            <w:pPr>
              <w:spacing w:after="0"/>
              <w:rPr>
                <w:sz w:val="11"/>
                <w:szCs w:val="11"/>
                <w:color w:val="auto"/>
              </w:rPr>
            </w:pPr>
          </w:p>
        </w:tc>
        <w:tc>
          <w:tcPr>
            <w:tcW w:w="940" w:type="dxa"/>
            <w:vAlign w:val="bottom"/>
          </w:tcPr>
          <w:p>
            <w:pPr>
              <w:ind w:left="120"/>
              <w:spacing w:after="0"/>
              <w:rPr>
                <w:sz w:val="20"/>
                <w:szCs w:val="20"/>
                <w:color w:val="auto"/>
              </w:rPr>
            </w:pPr>
            <w:r>
              <w:rPr>
                <w:rFonts w:ascii="Arial" w:cs="Arial" w:eastAsia="Arial" w:hAnsi="Arial"/>
                <w:sz w:val="10"/>
                <w:szCs w:val="10"/>
                <w:b w:val="1"/>
                <w:bCs w:val="1"/>
                <w:color w:val="auto"/>
              </w:rPr>
              <w:t>Net Amount</w:t>
            </w:r>
          </w:p>
        </w:tc>
        <w:tc>
          <w:tcPr>
            <w:tcW w:w="0" w:type="dxa"/>
            <w:vAlign w:val="bottom"/>
          </w:tcPr>
          <w:p>
            <w:pPr>
              <w:spacing w:after="0"/>
              <w:rPr>
                <w:sz w:val="1"/>
                <w:szCs w:val="1"/>
                <w:color w:val="auto"/>
              </w:rPr>
            </w:pPr>
          </w:p>
        </w:tc>
      </w:tr>
      <w:tr>
        <w:trPr>
          <w:trHeight w:val="173"/>
        </w:trPr>
        <w:tc>
          <w:tcPr>
            <w:tcW w:w="4020" w:type="dxa"/>
            <w:vAlign w:val="bottom"/>
            <w:tcBorders>
              <w:top w:val="single" w:sz="8" w:color="auto"/>
            </w:tcBorders>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September 30, 2016</w:t>
            </w: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auto"/>
            </w:tcBorders>
            <w:shd w:val="clear" w:color="auto" w:fill="CCEEFF"/>
          </w:tcPr>
          <w:p>
            <w:pPr>
              <w:spacing w:after="0"/>
              <w:rPr>
                <w:sz w:val="15"/>
                <w:szCs w:val="15"/>
                <w:color w:val="auto"/>
              </w:rPr>
            </w:pPr>
          </w:p>
        </w:tc>
        <w:tc>
          <w:tcPr>
            <w:tcW w:w="110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spacing w:after="0"/>
              <w:rPr>
                <w:sz w:val="15"/>
                <w:szCs w:val="15"/>
                <w:color w:val="auto"/>
              </w:rPr>
            </w:pPr>
          </w:p>
        </w:tc>
        <w:tc>
          <w:tcPr>
            <w:tcW w:w="2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106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2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980" w:type="dxa"/>
            <w:vAlign w:val="bottom"/>
            <w:tcBorders>
              <w:top w:val="single" w:sz="8" w:color="auto"/>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10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spacing w:after="0"/>
              <w:rPr>
                <w:sz w:val="15"/>
                <w:szCs w:val="15"/>
                <w:color w:val="auto"/>
              </w:rPr>
            </w:pPr>
          </w:p>
        </w:tc>
        <w:tc>
          <w:tcPr>
            <w:tcW w:w="940" w:type="dxa"/>
            <w:vAlign w:val="bottom"/>
            <w:tcBorders>
              <w:top w:val="single" w:sz="8" w:color="auto"/>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4020" w:type="dxa"/>
            <w:vAlign w:val="bottom"/>
            <w:gridSpan w:val="2"/>
          </w:tcPr>
          <w:p>
            <w:pPr>
              <w:ind w:left="100"/>
              <w:spacing w:after="0"/>
              <w:rPr>
                <w:sz w:val="20"/>
                <w:szCs w:val="20"/>
                <w:color w:val="auto"/>
              </w:rPr>
            </w:pPr>
            <w:r>
              <w:rPr>
                <w:rFonts w:ascii="Arial" w:cs="Arial" w:eastAsia="Arial" w:hAnsi="Arial"/>
                <w:sz w:val="10"/>
                <w:szCs w:val="10"/>
                <w:color w:val="auto"/>
              </w:rPr>
              <w:t xml:space="preserve">Interest rate swap and swaption agreements, at fair value </w:t>
            </w:r>
            <w:r>
              <w:rPr>
                <w:rFonts w:ascii="Arial" w:cs="Arial" w:eastAsia="Arial" w:hAnsi="Arial"/>
                <w:sz w:val="5"/>
                <w:szCs w:val="5"/>
                <w:color w:val="auto"/>
              </w:rPr>
              <w:t>1</w:t>
            </w:r>
          </w:p>
        </w:tc>
        <w:tc>
          <w:tcPr>
            <w:tcW w:w="220" w:type="dxa"/>
            <w:vAlign w:val="bottom"/>
            <w:gridSpan w:val="2"/>
          </w:tcPr>
          <w:p>
            <w:pPr>
              <w:jc w:val="right"/>
              <w:spacing w:after="0"/>
              <w:rPr>
                <w:sz w:val="20"/>
                <w:szCs w:val="20"/>
                <w:color w:val="auto"/>
              </w:rPr>
            </w:pPr>
            <w:r>
              <w:rPr>
                <w:rFonts w:ascii="Arial" w:cs="Arial" w:eastAsia="Arial" w:hAnsi="Arial"/>
                <w:sz w:val="10"/>
                <w:szCs w:val="10"/>
                <w:color w:val="auto"/>
              </w:rPr>
              <w:t>$</w:t>
            </w:r>
          </w:p>
        </w:tc>
        <w:tc>
          <w:tcPr>
            <w:tcW w:w="940" w:type="dxa"/>
            <w:vAlign w:val="bottom"/>
            <w:gridSpan w:val="2"/>
          </w:tcPr>
          <w:p>
            <w:pPr>
              <w:jc w:val="right"/>
              <w:ind w:right="120"/>
              <w:spacing w:after="0"/>
              <w:rPr>
                <w:sz w:val="20"/>
                <w:szCs w:val="20"/>
                <w:color w:val="auto"/>
              </w:rPr>
            </w:pPr>
            <w:r>
              <w:rPr>
                <w:rFonts w:ascii="Arial" w:cs="Arial" w:eastAsia="Arial" w:hAnsi="Arial"/>
                <w:sz w:val="10"/>
                <w:szCs w:val="10"/>
                <w:color w:val="auto"/>
              </w:rPr>
              <w:t>11</w:t>
            </w:r>
          </w:p>
        </w:tc>
        <w:tc>
          <w:tcPr>
            <w:tcW w:w="180" w:type="dxa"/>
            <w:vAlign w:val="bottom"/>
            <w:gridSpan w:val="2"/>
          </w:tcPr>
          <w:p>
            <w:pPr>
              <w:jc w:val="right"/>
              <w:spacing w:after="0"/>
              <w:rPr>
                <w:sz w:val="20"/>
                <w:szCs w:val="20"/>
                <w:color w:val="auto"/>
              </w:rPr>
            </w:pPr>
            <w:r>
              <w:rPr>
                <w:rFonts w:ascii="Arial" w:cs="Arial" w:eastAsia="Arial" w:hAnsi="Arial"/>
                <w:sz w:val="10"/>
                <w:szCs w:val="10"/>
                <w:color w:val="auto"/>
              </w:rPr>
              <w:t>$</w:t>
            </w:r>
          </w:p>
        </w:tc>
        <w:tc>
          <w:tcPr>
            <w:tcW w:w="1220" w:type="dxa"/>
            <w:vAlign w:val="bottom"/>
            <w:gridSpan w:val="4"/>
          </w:tcPr>
          <w:p>
            <w:pPr>
              <w:jc w:val="right"/>
              <w:ind w:right="240"/>
              <w:spacing w:after="0"/>
              <w:rPr>
                <w:sz w:val="20"/>
                <w:szCs w:val="20"/>
                <w:color w:val="auto"/>
              </w:rPr>
            </w:pP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Pr>
          <w:p>
            <w:pPr>
              <w:jc w:val="right"/>
              <w:ind w:right="52"/>
              <w:spacing w:after="0"/>
              <w:rPr>
                <w:sz w:val="20"/>
                <w:szCs w:val="20"/>
                <w:color w:val="auto"/>
              </w:rPr>
            </w:pPr>
            <w:r>
              <w:rPr>
                <w:rFonts w:ascii="Arial" w:cs="Arial" w:eastAsia="Arial" w:hAnsi="Arial"/>
                <w:sz w:val="10"/>
                <w:szCs w:val="10"/>
                <w:color w:val="auto"/>
              </w:rPr>
              <w:t>11</w:t>
            </w: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tcPr>
          <w:p>
            <w:pPr>
              <w:jc w:val="right"/>
              <w:spacing w:after="0"/>
              <w:rPr>
                <w:sz w:val="20"/>
                <w:szCs w:val="20"/>
                <w:color w:val="auto"/>
              </w:rPr>
            </w:pPr>
            <w:r>
              <w:rPr>
                <w:rFonts w:ascii="Arial" w:cs="Arial" w:eastAsia="Arial" w:hAnsi="Arial"/>
                <w:sz w:val="10"/>
                <w:szCs w:val="10"/>
                <w:color w:val="auto"/>
              </w:rPr>
              <w:t>(11)</w:t>
            </w:r>
          </w:p>
        </w:tc>
        <w:tc>
          <w:tcPr>
            <w:tcW w:w="280" w:type="dxa"/>
            <w:vAlign w:val="bottom"/>
            <w:gridSpan w:val="3"/>
          </w:tcPr>
          <w:p>
            <w:pPr>
              <w:jc w:val="right"/>
              <w:spacing w:after="0"/>
              <w:rPr>
                <w:sz w:val="20"/>
                <w:szCs w:val="20"/>
                <w:color w:val="auto"/>
              </w:rPr>
            </w:pPr>
            <w:r>
              <w:rPr>
                <w:rFonts w:ascii="Arial" w:cs="Arial" w:eastAsia="Arial" w:hAnsi="Arial"/>
                <w:sz w:val="10"/>
                <w:szCs w:val="10"/>
                <w:color w:val="auto"/>
              </w:rPr>
              <w:t>$</w:t>
            </w:r>
          </w:p>
        </w:tc>
        <w:tc>
          <w:tcPr>
            <w:tcW w:w="114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80"/>
        </w:trPr>
        <w:tc>
          <w:tcPr>
            <w:tcW w:w="402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Receivable under reverse repurchase agreements</w:t>
            </w:r>
          </w:p>
        </w:tc>
        <w:tc>
          <w:tcPr>
            <w:tcW w:w="120" w:type="dxa"/>
            <w:vAlign w:val="bottom"/>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940" w:type="dxa"/>
            <w:vAlign w:val="bottom"/>
            <w:tcBorders>
              <w:bottom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5,616</w:t>
            </w:r>
          </w:p>
        </w:tc>
        <w:tc>
          <w:tcPr>
            <w:tcW w:w="120" w:type="dxa"/>
            <w:vAlign w:val="bottom"/>
            <w:shd w:val="clear" w:color="auto" w:fill="CCEEFF"/>
          </w:tcPr>
          <w:p>
            <w:pPr>
              <w:spacing w:after="0"/>
              <w:rPr>
                <w:sz w:val="15"/>
                <w:szCs w:val="15"/>
                <w:color w:val="auto"/>
              </w:rPr>
            </w:pPr>
          </w:p>
        </w:tc>
        <w:tc>
          <w:tcPr>
            <w:tcW w:w="60" w:type="dxa"/>
            <w:vAlign w:val="bottom"/>
            <w:tcBorders>
              <w:bottom w:val="single" w:sz="8" w:color="auto"/>
            </w:tcBorders>
            <w:shd w:val="clear" w:color="auto" w:fill="CCEEFF"/>
          </w:tcPr>
          <w:p>
            <w:pPr>
              <w:spacing w:after="0"/>
              <w:rPr>
                <w:sz w:val="15"/>
                <w:szCs w:val="15"/>
                <w:color w:val="auto"/>
              </w:rPr>
            </w:pPr>
          </w:p>
        </w:tc>
        <w:tc>
          <w:tcPr>
            <w:tcW w:w="11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(175)</w:t>
            </w:r>
          </w:p>
        </w:tc>
        <w:tc>
          <w:tcPr>
            <w:tcW w:w="20" w:type="dxa"/>
            <w:vAlign w:val="bottom"/>
            <w:tcBorders>
              <w:bottom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spacing w:after="0"/>
              <w:rPr>
                <w:sz w:val="15"/>
                <w:szCs w:val="15"/>
                <w:color w:val="auto"/>
              </w:rPr>
            </w:pPr>
          </w:p>
        </w:tc>
        <w:tc>
          <w:tcPr>
            <w:tcW w:w="10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5,441</w:t>
            </w:r>
          </w:p>
        </w:tc>
        <w:tc>
          <w:tcPr>
            <w:tcW w:w="20" w:type="dxa"/>
            <w:vAlign w:val="bottom"/>
            <w:tcBorders>
              <w:bottom w:val="single" w:sz="8" w:color="auto"/>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(4,797)</w:t>
            </w:r>
          </w:p>
        </w:tc>
        <w:tc>
          <w:tcPr>
            <w:tcW w:w="80" w:type="dxa"/>
            <w:vAlign w:val="bottom"/>
            <w:tcBorders>
              <w:bottom w:val="single" w:sz="8" w:color="auto"/>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10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(644)</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940" w:type="dxa"/>
            <w:vAlign w:val="bottom"/>
            <w:tcBorders>
              <w:bottom w:val="single" w:sz="8" w:color="auto"/>
            </w:tcBorders>
            <w:shd w:val="clear" w:color="auto" w:fill="CCEEFF"/>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62"/>
        </w:trPr>
        <w:tc>
          <w:tcPr>
            <w:tcW w:w="4020" w:type="dxa"/>
            <w:vAlign w:val="bottom"/>
            <w:gridSpan w:val="2"/>
          </w:tcPr>
          <w:p>
            <w:pPr>
              <w:ind w:left="180"/>
              <w:spacing w:after="0"/>
              <w:rPr>
                <w:sz w:val="20"/>
                <w:szCs w:val="20"/>
                <w:color w:val="auto"/>
              </w:rPr>
            </w:pPr>
            <w:r>
              <w:rPr>
                <w:rFonts w:ascii="Arial" w:cs="Arial" w:eastAsia="Arial" w:hAnsi="Arial"/>
                <w:sz w:val="10"/>
                <w:szCs w:val="10"/>
                <w:color w:val="auto"/>
              </w:rPr>
              <w:t>Total</w:t>
            </w:r>
          </w:p>
        </w:tc>
        <w:tc>
          <w:tcPr>
            <w:tcW w:w="220" w:type="dxa"/>
            <w:vAlign w:val="bottom"/>
            <w:gridSpan w:val="2"/>
          </w:tcPr>
          <w:p>
            <w:pPr>
              <w:jc w:val="right"/>
              <w:spacing w:after="0"/>
              <w:rPr>
                <w:sz w:val="20"/>
                <w:szCs w:val="20"/>
                <w:color w:val="auto"/>
              </w:rPr>
            </w:pPr>
            <w:r>
              <w:rPr>
                <w:rFonts w:ascii="Arial" w:cs="Arial" w:eastAsia="Arial" w:hAnsi="Arial"/>
                <w:sz w:val="10"/>
                <w:szCs w:val="10"/>
                <w:color w:val="auto"/>
              </w:rPr>
              <w:t>$</w:t>
            </w:r>
          </w:p>
        </w:tc>
        <w:tc>
          <w:tcPr>
            <w:tcW w:w="940" w:type="dxa"/>
            <w:vAlign w:val="bottom"/>
            <w:gridSpan w:val="2"/>
          </w:tcPr>
          <w:p>
            <w:pPr>
              <w:jc w:val="right"/>
              <w:ind w:right="120"/>
              <w:spacing w:after="0"/>
              <w:rPr>
                <w:sz w:val="20"/>
                <w:szCs w:val="20"/>
                <w:color w:val="auto"/>
              </w:rPr>
            </w:pPr>
            <w:r>
              <w:rPr>
                <w:rFonts w:ascii="Arial" w:cs="Arial" w:eastAsia="Arial" w:hAnsi="Arial"/>
                <w:sz w:val="10"/>
                <w:szCs w:val="10"/>
                <w:color w:val="auto"/>
              </w:rPr>
              <w:t>5,627</w:t>
            </w:r>
          </w:p>
        </w:tc>
        <w:tc>
          <w:tcPr>
            <w:tcW w:w="180" w:type="dxa"/>
            <w:vAlign w:val="bottom"/>
            <w:gridSpan w:val="2"/>
          </w:tcPr>
          <w:p>
            <w:pPr>
              <w:jc w:val="right"/>
              <w:spacing w:after="0"/>
              <w:rPr>
                <w:sz w:val="20"/>
                <w:szCs w:val="20"/>
                <w:color w:val="auto"/>
              </w:rPr>
            </w:pPr>
            <w:r>
              <w:rPr>
                <w:rFonts w:ascii="Arial" w:cs="Arial" w:eastAsia="Arial" w:hAnsi="Arial"/>
                <w:sz w:val="10"/>
                <w:szCs w:val="10"/>
                <w:color w:val="auto"/>
              </w:rPr>
              <w:t>$</w:t>
            </w:r>
          </w:p>
        </w:tc>
        <w:tc>
          <w:tcPr>
            <w:tcW w:w="1100" w:type="dxa"/>
            <w:vAlign w:val="bottom"/>
          </w:tcPr>
          <w:p>
            <w:pPr>
              <w:jc w:val="right"/>
              <w:ind w:right="32"/>
              <w:spacing w:after="0"/>
              <w:rPr>
                <w:sz w:val="20"/>
                <w:szCs w:val="20"/>
                <w:color w:val="auto"/>
              </w:rPr>
            </w:pPr>
            <w:r>
              <w:rPr>
                <w:rFonts w:ascii="Arial" w:cs="Arial" w:eastAsia="Arial" w:hAnsi="Arial"/>
                <w:sz w:val="10"/>
                <w:szCs w:val="10"/>
                <w:color w:val="auto"/>
              </w:rPr>
              <w:t>(175)</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Pr>
          <w:p>
            <w:pPr>
              <w:jc w:val="right"/>
              <w:ind w:right="52"/>
              <w:spacing w:after="0"/>
              <w:rPr>
                <w:sz w:val="20"/>
                <w:szCs w:val="20"/>
                <w:color w:val="auto"/>
              </w:rPr>
            </w:pPr>
            <w:r>
              <w:rPr>
                <w:rFonts w:ascii="Arial" w:cs="Arial" w:eastAsia="Arial" w:hAnsi="Arial"/>
                <w:sz w:val="10"/>
                <w:szCs w:val="10"/>
                <w:color w:val="auto"/>
              </w:rPr>
              <w:t>5,452</w:t>
            </w: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tcPr>
          <w:p>
            <w:pPr>
              <w:jc w:val="right"/>
              <w:spacing w:after="0"/>
              <w:rPr>
                <w:sz w:val="20"/>
                <w:szCs w:val="20"/>
                <w:color w:val="auto"/>
              </w:rPr>
            </w:pPr>
            <w:r>
              <w:rPr>
                <w:rFonts w:ascii="Arial" w:cs="Arial" w:eastAsia="Arial" w:hAnsi="Arial"/>
                <w:sz w:val="10"/>
                <w:szCs w:val="10"/>
                <w:color w:val="auto"/>
              </w:rPr>
              <w:t>(4,808)</w:t>
            </w:r>
          </w:p>
        </w:tc>
        <w:tc>
          <w:tcPr>
            <w:tcW w:w="280" w:type="dxa"/>
            <w:vAlign w:val="bottom"/>
            <w:gridSpan w:val="3"/>
          </w:tcPr>
          <w:p>
            <w:pPr>
              <w:jc w:val="right"/>
              <w:spacing w:after="0"/>
              <w:rPr>
                <w:sz w:val="20"/>
                <w:szCs w:val="20"/>
                <w:color w:val="auto"/>
              </w:rPr>
            </w:pPr>
            <w:r>
              <w:rPr>
                <w:rFonts w:ascii="Arial" w:cs="Arial" w:eastAsia="Arial" w:hAnsi="Arial"/>
                <w:sz w:val="10"/>
                <w:szCs w:val="10"/>
                <w:color w:val="auto"/>
              </w:rPr>
              <w:t>$</w:t>
            </w:r>
          </w:p>
        </w:tc>
        <w:tc>
          <w:tcPr>
            <w:tcW w:w="1040" w:type="dxa"/>
            <w:vAlign w:val="bottom"/>
          </w:tcPr>
          <w:p>
            <w:pPr>
              <w:jc w:val="right"/>
              <w:ind w:right="32"/>
              <w:spacing w:after="0"/>
              <w:rPr>
                <w:sz w:val="20"/>
                <w:szCs w:val="20"/>
                <w:color w:val="auto"/>
              </w:rPr>
            </w:pPr>
            <w:r>
              <w:rPr>
                <w:rFonts w:ascii="Arial" w:cs="Arial" w:eastAsia="Arial" w:hAnsi="Arial"/>
                <w:sz w:val="10"/>
                <w:szCs w:val="10"/>
                <w:color w:val="auto"/>
              </w:rPr>
              <w:t>(644)</w:t>
            </w:r>
          </w:p>
        </w:tc>
        <w:tc>
          <w:tcPr>
            <w:tcW w:w="100" w:type="dxa"/>
            <w:vAlign w:val="bottom"/>
          </w:tcPr>
          <w:p>
            <w:pPr>
              <w:spacing w:after="0"/>
              <w:rPr>
                <w:sz w:val="14"/>
                <w:szCs w:val="14"/>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89"/>
        </w:trPr>
        <w:tc>
          <w:tcPr>
            <w:tcW w:w="390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820" w:type="dxa"/>
            <w:vAlign w:val="bottom"/>
            <w:tcBorders>
              <w:top w:val="single" w:sz="8" w:color="auto"/>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60" w:type="dxa"/>
            <w:vAlign w:val="bottom"/>
            <w:tcBorders>
              <w:top w:val="single" w:sz="8" w:color="auto"/>
            </w:tcBorders>
            <w:shd w:val="clear" w:color="auto" w:fill="CCEEFF"/>
          </w:tcPr>
          <w:p>
            <w:pPr>
              <w:spacing w:after="0"/>
              <w:rPr>
                <w:sz w:val="16"/>
                <w:szCs w:val="16"/>
                <w:color w:val="auto"/>
              </w:rPr>
            </w:pPr>
          </w:p>
        </w:tc>
        <w:tc>
          <w:tcPr>
            <w:tcW w:w="1100" w:type="dxa"/>
            <w:vAlign w:val="bottom"/>
            <w:tcBorders>
              <w:top w:val="single" w:sz="8" w:color="auto"/>
            </w:tcBorders>
            <w:shd w:val="clear" w:color="auto" w:fill="CCEEFF"/>
          </w:tcPr>
          <w:p>
            <w:pPr>
              <w:spacing w:after="0"/>
              <w:rPr>
                <w:sz w:val="16"/>
                <w:szCs w:val="16"/>
                <w:color w:val="auto"/>
              </w:rPr>
            </w:pPr>
          </w:p>
        </w:tc>
        <w:tc>
          <w:tcPr>
            <w:tcW w:w="20" w:type="dxa"/>
            <w:vAlign w:val="bottom"/>
            <w:tcBorders>
              <w:top w:val="single" w:sz="8" w:color="auto"/>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2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1060" w:type="dxa"/>
            <w:vAlign w:val="bottom"/>
            <w:tcBorders>
              <w:top w:val="single" w:sz="8" w:color="auto"/>
            </w:tcBorders>
            <w:shd w:val="clear" w:color="auto" w:fill="CCEEFF"/>
          </w:tcPr>
          <w:p>
            <w:pPr>
              <w:spacing w:after="0"/>
              <w:rPr>
                <w:sz w:val="16"/>
                <w:szCs w:val="16"/>
                <w:color w:val="auto"/>
              </w:rPr>
            </w:pPr>
          </w:p>
        </w:tc>
        <w:tc>
          <w:tcPr>
            <w:tcW w:w="2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2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980" w:type="dxa"/>
            <w:vAlign w:val="bottom"/>
            <w:tcBorders>
              <w:top w:val="single" w:sz="8" w:color="auto"/>
            </w:tcBorders>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104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200" w:type="dxa"/>
            <w:vAlign w:val="bottom"/>
            <w:tcBorders>
              <w:top w:val="single" w:sz="8" w:color="auto"/>
            </w:tcBorders>
            <w:shd w:val="clear" w:color="auto" w:fill="CCEEFF"/>
          </w:tcPr>
          <w:p>
            <w:pPr>
              <w:spacing w:after="0"/>
              <w:rPr>
                <w:sz w:val="16"/>
                <w:szCs w:val="16"/>
                <w:color w:val="auto"/>
              </w:rPr>
            </w:pPr>
          </w:p>
        </w:tc>
        <w:tc>
          <w:tcPr>
            <w:tcW w:w="940" w:type="dxa"/>
            <w:vAlign w:val="bottom"/>
            <w:tcBorders>
              <w:top w:val="single" w:sz="8" w:color="auto"/>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6"/>
        </w:trPr>
        <w:tc>
          <w:tcPr>
            <w:tcW w:w="4020" w:type="dxa"/>
            <w:vAlign w:val="bottom"/>
            <w:gridSpan w:val="2"/>
          </w:tcPr>
          <w:p>
            <w:pPr>
              <w:ind w:left="20"/>
              <w:spacing w:after="0"/>
              <w:rPr>
                <w:sz w:val="20"/>
                <w:szCs w:val="20"/>
                <w:color w:val="auto"/>
              </w:rPr>
            </w:pPr>
            <w:r>
              <w:rPr>
                <w:rFonts w:ascii="Arial" w:cs="Arial" w:eastAsia="Arial" w:hAnsi="Arial"/>
                <w:sz w:val="10"/>
                <w:szCs w:val="10"/>
                <w:b w:val="1"/>
                <w:bCs w:val="1"/>
                <w:color w:val="auto"/>
              </w:rPr>
              <w:t>December 31, 2015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4"/>
        </w:trPr>
        <w:tc>
          <w:tcPr>
            <w:tcW w:w="402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 xml:space="preserve">Interest rate swap and swaption agreements, at fair value </w:t>
            </w:r>
            <w:r>
              <w:rPr>
                <w:rFonts w:ascii="Arial" w:cs="Arial" w:eastAsia="Arial" w:hAnsi="Arial"/>
                <w:sz w:val="5"/>
                <w:szCs w:val="5"/>
                <w:color w:val="auto"/>
              </w:rPr>
              <w:t>1</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48</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220" w:type="dxa"/>
            <w:vAlign w:val="bottom"/>
            <w:gridSpan w:val="4"/>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48</w:t>
            </w: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w:t>
            </w:r>
          </w:p>
        </w:tc>
        <w:tc>
          <w:tcPr>
            <w:tcW w:w="280" w:type="dxa"/>
            <w:vAlign w:val="bottom"/>
            <w:gridSpan w:val="3"/>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14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17</w:t>
            </w:r>
          </w:p>
        </w:tc>
        <w:tc>
          <w:tcPr>
            <w:tcW w:w="0" w:type="dxa"/>
            <w:vAlign w:val="bottom"/>
          </w:tcPr>
          <w:p>
            <w:pPr>
              <w:spacing w:after="0"/>
              <w:rPr>
                <w:sz w:val="1"/>
                <w:szCs w:val="1"/>
                <w:color w:val="auto"/>
              </w:rPr>
            </w:pPr>
          </w:p>
        </w:tc>
      </w:tr>
      <w:tr>
        <w:trPr>
          <w:trHeight w:val="176"/>
        </w:trPr>
        <w:tc>
          <w:tcPr>
            <w:tcW w:w="4020" w:type="dxa"/>
            <w:vAlign w:val="bottom"/>
            <w:tcBorders>
              <w:bottom w:val="single" w:sz="8" w:color="CCEEFF"/>
            </w:tcBorders>
            <w:gridSpan w:val="2"/>
          </w:tcPr>
          <w:p>
            <w:pPr>
              <w:ind w:left="100"/>
              <w:spacing w:after="0"/>
              <w:rPr>
                <w:sz w:val="20"/>
                <w:szCs w:val="20"/>
                <w:color w:val="auto"/>
              </w:rPr>
            </w:pPr>
            <w:r>
              <w:rPr>
                <w:rFonts w:ascii="Arial" w:cs="Arial" w:eastAsia="Arial" w:hAnsi="Arial"/>
                <w:sz w:val="10"/>
                <w:szCs w:val="10"/>
                <w:color w:val="auto"/>
              </w:rPr>
              <w:t>Receivable under reverse repurchase agreements</w:t>
            </w:r>
          </w:p>
        </w:tc>
        <w:tc>
          <w:tcPr>
            <w:tcW w:w="12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94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0"/>
                <w:szCs w:val="10"/>
                <w:color w:val="auto"/>
              </w:rPr>
              <w:t>1,713</w:t>
            </w:r>
          </w:p>
        </w:tc>
        <w:tc>
          <w:tcPr>
            <w:tcW w:w="120" w:type="dxa"/>
            <w:vAlign w:val="bottom"/>
            <w:tcBorders>
              <w:bottom w:val="single" w:sz="8" w:color="CCEEFF"/>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112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0"/>
                <w:szCs w:val="10"/>
                <w:color w:val="auto"/>
              </w:rPr>
              <w:t>—</w:t>
            </w:r>
          </w:p>
        </w:tc>
        <w:tc>
          <w:tcPr>
            <w:tcW w:w="100" w:type="dxa"/>
            <w:vAlign w:val="bottom"/>
            <w:tcBorders>
              <w:bottom w:val="single" w:sz="8" w:color="CCEEFF"/>
            </w:tcBorders>
            <w:gridSpan w:val="2"/>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10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1,713</w:t>
            </w:r>
          </w:p>
        </w:tc>
        <w:tc>
          <w:tcPr>
            <w:tcW w:w="20" w:type="dxa"/>
            <w:vAlign w:val="bottom"/>
            <w:tcBorders>
              <w:bottom w:val="single" w:sz="8" w:color="auto"/>
            </w:tcBorders>
          </w:tcPr>
          <w:p>
            <w:pPr>
              <w:spacing w:after="0"/>
              <w:rPr>
                <w:sz w:val="15"/>
                <w:szCs w:val="15"/>
                <w:color w:val="auto"/>
              </w:rPr>
            </w:pPr>
          </w:p>
        </w:tc>
        <w:tc>
          <w:tcPr>
            <w:tcW w:w="100" w:type="dxa"/>
            <w:vAlign w:val="bottom"/>
            <w:tcBorders>
              <w:bottom w:val="single" w:sz="8" w:color="CCEEFF"/>
            </w:tcBorders>
          </w:tcPr>
          <w:p>
            <w:pPr>
              <w:spacing w:after="0"/>
              <w:rPr>
                <w:sz w:val="15"/>
                <w:szCs w:val="15"/>
                <w:color w:val="auto"/>
              </w:rPr>
            </w:pPr>
          </w:p>
        </w:tc>
        <w:tc>
          <w:tcPr>
            <w:tcW w:w="20" w:type="dxa"/>
            <w:vAlign w:val="bottom"/>
            <w:tcBorders>
              <w:bottom w:val="single" w:sz="8" w:color="CCEEFF"/>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(1,356)</w:t>
            </w:r>
          </w:p>
        </w:tc>
        <w:tc>
          <w:tcPr>
            <w:tcW w:w="80" w:type="dxa"/>
            <w:vAlign w:val="bottom"/>
            <w:tcBorders>
              <w:bottom w:val="single" w:sz="8" w:color="auto"/>
            </w:tcBorders>
          </w:tcPr>
          <w:p>
            <w:pPr>
              <w:spacing w:after="0"/>
              <w:rPr>
                <w:sz w:val="15"/>
                <w:szCs w:val="15"/>
                <w:color w:val="auto"/>
              </w:rPr>
            </w:pPr>
          </w:p>
        </w:tc>
        <w:tc>
          <w:tcPr>
            <w:tcW w:w="10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10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(357)</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940" w:type="dxa"/>
            <w:vAlign w:val="bottom"/>
            <w:tcBorders>
              <w:bottom w:val="single" w:sz="8" w:color="auto"/>
            </w:tcBorders>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62"/>
        </w:trPr>
        <w:tc>
          <w:tcPr>
            <w:tcW w:w="4020" w:type="dxa"/>
            <w:vAlign w:val="bottom"/>
            <w:tcBorders>
              <w:bottom w:val="single" w:sz="8" w:color="CCEEFF"/>
            </w:tcBorders>
            <w:gridSpan w:val="2"/>
            <w:shd w:val="clear" w:color="auto" w:fill="CCEEFF"/>
          </w:tcPr>
          <w:p>
            <w:pPr>
              <w:ind w:left="180"/>
              <w:spacing w:after="0"/>
              <w:rPr>
                <w:sz w:val="20"/>
                <w:szCs w:val="20"/>
                <w:color w:val="auto"/>
              </w:rPr>
            </w:pPr>
            <w:r>
              <w:rPr>
                <w:rFonts w:ascii="Arial" w:cs="Arial" w:eastAsia="Arial" w:hAnsi="Arial"/>
                <w:sz w:val="10"/>
                <w:szCs w:val="10"/>
                <w:color w:val="auto"/>
              </w:rPr>
              <w:t>Total</w:t>
            </w:r>
          </w:p>
        </w:tc>
        <w:tc>
          <w:tcPr>
            <w:tcW w:w="120" w:type="dxa"/>
            <w:vAlign w:val="bottom"/>
            <w:tcBorders>
              <w:bottom w:val="single" w:sz="8" w:color="CCEEFF"/>
            </w:tcBorders>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Borders>
              <w:bottom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1,761</w:t>
            </w:r>
          </w:p>
        </w:tc>
        <w:tc>
          <w:tcPr>
            <w:tcW w:w="120" w:type="dxa"/>
            <w:vAlign w:val="bottom"/>
            <w:tcBorders>
              <w:bottom w:val="single" w:sz="8" w:color="CCEEFF"/>
            </w:tcBorders>
            <w:shd w:val="clear" w:color="auto" w:fill="CCEEFF"/>
          </w:tcPr>
          <w:p>
            <w:pPr>
              <w:spacing w:after="0"/>
              <w:rPr>
                <w:sz w:val="14"/>
                <w:szCs w:val="14"/>
                <w:color w:val="auto"/>
              </w:rPr>
            </w:pPr>
          </w:p>
        </w:tc>
        <w:tc>
          <w:tcPr>
            <w:tcW w:w="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20" w:type="dxa"/>
            <w:vAlign w:val="bottom"/>
            <w:tcBorders>
              <w:bottom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00" w:type="dxa"/>
            <w:vAlign w:val="bottom"/>
            <w:tcBorders>
              <w:bottom w:val="single" w:sz="8" w:color="CCEEFF"/>
            </w:tcBorders>
            <w:gridSpan w:val="2"/>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1,761</w:t>
            </w:r>
          </w:p>
        </w:tc>
        <w:tc>
          <w:tcPr>
            <w:tcW w:w="20" w:type="dxa"/>
            <w:vAlign w:val="bottom"/>
            <w:tcBorders>
              <w:bottom w:val="single" w:sz="8" w:color="auto"/>
            </w:tcBorders>
            <w:shd w:val="clear" w:color="auto" w:fill="CCEEFF"/>
          </w:tcPr>
          <w:p>
            <w:pPr>
              <w:spacing w:after="0"/>
              <w:rPr>
                <w:sz w:val="14"/>
                <w:szCs w:val="14"/>
                <w:color w:val="auto"/>
              </w:rPr>
            </w:pPr>
          </w:p>
        </w:tc>
        <w:tc>
          <w:tcPr>
            <w:tcW w:w="100" w:type="dxa"/>
            <w:vAlign w:val="bottom"/>
            <w:tcBorders>
              <w:bottom w:val="single" w:sz="8" w:color="CCEEFF"/>
            </w:tcBorders>
            <w:shd w:val="clear" w:color="auto" w:fill="CCEEFF"/>
          </w:tcPr>
          <w:p>
            <w:pPr>
              <w:spacing w:after="0"/>
              <w:rPr>
                <w:sz w:val="14"/>
                <w:szCs w:val="14"/>
                <w:color w:val="auto"/>
              </w:rPr>
            </w:pPr>
          </w:p>
        </w:tc>
        <w:tc>
          <w:tcPr>
            <w:tcW w:w="20" w:type="dxa"/>
            <w:vAlign w:val="bottom"/>
            <w:tcBorders>
              <w:bottom w:val="single" w:sz="8" w:color="CCEEFF"/>
            </w:tcBorders>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(1,387)</w:t>
            </w:r>
          </w:p>
        </w:tc>
        <w:tc>
          <w:tcPr>
            <w:tcW w:w="80" w:type="dxa"/>
            <w:vAlign w:val="bottom"/>
            <w:tcBorders>
              <w:bottom w:val="single" w:sz="8" w:color="auto"/>
            </w:tcBorders>
            <w:shd w:val="clear" w:color="auto" w:fill="CCEEFF"/>
          </w:tcPr>
          <w:p>
            <w:pPr>
              <w:spacing w:after="0"/>
              <w:rPr>
                <w:sz w:val="14"/>
                <w:szCs w:val="14"/>
                <w:color w:val="auto"/>
              </w:rPr>
            </w:pPr>
          </w:p>
        </w:tc>
        <w:tc>
          <w:tcPr>
            <w:tcW w:w="100" w:type="dxa"/>
            <w:vAlign w:val="bottom"/>
            <w:tcBorders>
              <w:bottom w:val="single" w:sz="8" w:color="CCEEFF"/>
            </w:tcBorders>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(357)</w:t>
            </w:r>
          </w:p>
        </w:tc>
        <w:tc>
          <w:tcPr>
            <w:tcW w:w="10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tcBorders>
              <w:bottom w:val="single" w:sz="8" w:color="auto"/>
            </w:tcBorders>
            <w:shd w:val="clear" w:color="auto" w:fill="CCEEFF"/>
          </w:tcPr>
          <w:p>
            <w:pPr>
              <w:ind w:left="740"/>
              <w:spacing w:after="0"/>
              <w:rPr>
                <w:sz w:val="20"/>
                <w:szCs w:val="20"/>
                <w:color w:val="auto"/>
              </w:rPr>
            </w:pPr>
            <w:r>
              <w:rPr>
                <w:rFonts w:ascii="Arial" w:cs="Arial" w:eastAsia="Arial" w:hAnsi="Arial"/>
                <w:sz w:val="10"/>
                <w:szCs w:val="10"/>
                <w:color w:val="auto"/>
              </w:rPr>
              <w:t>17</w:t>
            </w:r>
          </w:p>
        </w:tc>
        <w:tc>
          <w:tcPr>
            <w:tcW w:w="0" w:type="dxa"/>
            <w:vAlign w:val="bottom"/>
          </w:tcPr>
          <w:p>
            <w:pPr>
              <w:spacing w:after="0"/>
              <w:rPr>
                <w:sz w:val="1"/>
                <w:szCs w:val="1"/>
                <w:color w:val="auto"/>
              </w:rPr>
            </w:pPr>
          </w:p>
        </w:tc>
      </w:tr>
      <w:tr>
        <w:trPr>
          <w:trHeight w:val="518"/>
        </w:trPr>
        <w:tc>
          <w:tcPr>
            <w:tcW w:w="39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260" w:type="dxa"/>
            <w:vAlign w:val="bottom"/>
            <w:tcBorders>
              <w:bottom w:val="single" w:sz="8" w:color="auto"/>
            </w:tcBorders>
            <w:gridSpan w:val="6"/>
          </w:tcPr>
          <w:p>
            <w:pPr>
              <w:jc w:val="right"/>
              <w:ind w:right="132"/>
              <w:spacing w:after="0"/>
              <w:rPr>
                <w:sz w:val="20"/>
                <w:szCs w:val="20"/>
                <w:color w:val="auto"/>
              </w:rPr>
            </w:pPr>
            <w:r>
              <w:rPr>
                <w:rFonts w:ascii="Arial" w:cs="Arial" w:eastAsia="Arial" w:hAnsi="Arial"/>
                <w:sz w:val="10"/>
                <w:szCs w:val="10"/>
                <w:b w:val="1"/>
                <w:bCs w:val="1"/>
                <w:color w:val="auto"/>
                <w:w w:val="91"/>
              </w:rPr>
              <w:t>Offsetting of Financial and Derivative Liabilities</w:t>
            </w:r>
          </w:p>
        </w:tc>
        <w:tc>
          <w:tcPr>
            <w:tcW w:w="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1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gridSpan w:val="5"/>
            <w:vMerge w:val="restart"/>
          </w:tcPr>
          <w:p>
            <w:pPr>
              <w:jc w:val="center"/>
              <w:ind w:right="160"/>
              <w:spacing w:after="0"/>
              <w:rPr>
                <w:sz w:val="20"/>
                <w:szCs w:val="20"/>
                <w:color w:val="auto"/>
              </w:rPr>
            </w:pPr>
            <w:r>
              <w:rPr>
                <w:rFonts w:ascii="Arial" w:cs="Arial" w:eastAsia="Arial" w:hAnsi="Arial"/>
                <w:sz w:val="10"/>
                <w:szCs w:val="10"/>
                <w:b w:val="1"/>
                <w:bCs w:val="1"/>
                <w:color w:val="auto"/>
                <w:w w:val="87"/>
              </w:rPr>
              <w:t>Net Amounts of Liabilities</w:t>
            </w:r>
          </w:p>
        </w:tc>
        <w:tc>
          <w:tcPr>
            <w:tcW w:w="80" w:type="dxa"/>
            <w:vAlign w:val="bottom"/>
          </w:tcPr>
          <w:p>
            <w:pPr>
              <w:spacing w:after="0"/>
              <w:rPr>
                <w:sz w:val="8"/>
                <w:szCs w:val="8"/>
                <w:color w:val="auto"/>
              </w:rPr>
            </w:pPr>
          </w:p>
        </w:tc>
        <w:tc>
          <w:tcPr>
            <w:tcW w:w="2400" w:type="dxa"/>
            <w:vAlign w:val="bottom"/>
            <w:gridSpan w:val="6"/>
          </w:tcPr>
          <w:p>
            <w:pPr>
              <w:jc w:val="center"/>
              <w:ind w:right="180"/>
              <w:spacing w:after="0" w:line="96" w:lineRule="exact"/>
              <w:rPr>
                <w:sz w:val="20"/>
                <w:szCs w:val="20"/>
                <w:color w:val="auto"/>
              </w:rPr>
            </w:pPr>
            <w:r>
              <w:rPr>
                <w:rFonts w:ascii="Arial" w:cs="Arial" w:eastAsia="Arial" w:hAnsi="Arial"/>
                <w:sz w:val="10"/>
                <w:szCs w:val="10"/>
                <w:b w:val="1"/>
                <w:bCs w:val="1"/>
                <w:color w:val="auto"/>
                <w:w w:val="87"/>
              </w:rPr>
              <w:t>Gross Amounts Not Offset</w:t>
            </w:r>
          </w:p>
        </w:tc>
        <w:tc>
          <w:tcPr>
            <w:tcW w:w="200" w:type="dxa"/>
            <w:vAlign w:val="bottom"/>
          </w:tcPr>
          <w:p>
            <w:pPr>
              <w:spacing w:after="0"/>
              <w:rPr>
                <w:sz w:val="8"/>
                <w:szCs w:val="8"/>
                <w:color w:val="auto"/>
              </w:rPr>
            </w:pPr>
          </w:p>
        </w:tc>
        <w:tc>
          <w:tcPr>
            <w:tcW w:w="9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6"/>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1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gridSpan w:val="5"/>
            <w:vMerge w:val="continue"/>
          </w:tcPr>
          <w:p>
            <w:pPr>
              <w:spacing w:after="0"/>
              <w:rPr>
                <w:sz w:val="8"/>
                <w:szCs w:val="8"/>
                <w:color w:val="auto"/>
              </w:rPr>
            </w:pPr>
          </w:p>
        </w:tc>
        <w:tc>
          <w:tcPr>
            <w:tcW w:w="80" w:type="dxa"/>
            <w:vAlign w:val="bottom"/>
          </w:tcPr>
          <w:p>
            <w:pPr>
              <w:spacing w:after="0"/>
              <w:rPr>
                <w:sz w:val="8"/>
                <w:szCs w:val="8"/>
                <w:color w:val="auto"/>
              </w:rPr>
            </w:pPr>
          </w:p>
        </w:tc>
        <w:tc>
          <w:tcPr>
            <w:tcW w:w="980" w:type="dxa"/>
            <w:vAlign w:val="bottom"/>
          </w:tcPr>
          <w:p>
            <w:pPr>
              <w:spacing w:after="0"/>
              <w:rPr>
                <w:sz w:val="8"/>
                <w:szCs w:val="8"/>
                <w:color w:val="auto"/>
              </w:rPr>
            </w:pPr>
          </w:p>
        </w:tc>
        <w:tc>
          <w:tcPr>
            <w:tcW w:w="280" w:type="dxa"/>
            <w:vAlign w:val="bottom"/>
            <w:gridSpan w:val="3"/>
          </w:tcPr>
          <w:p>
            <w:pPr>
              <w:jc w:val="center"/>
              <w:spacing w:after="0" w:line="96" w:lineRule="exact"/>
              <w:rPr>
                <w:sz w:val="20"/>
                <w:szCs w:val="20"/>
                <w:color w:val="auto"/>
              </w:rPr>
            </w:pPr>
            <w:r>
              <w:rPr>
                <w:rFonts w:ascii="Arial" w:cs="Arial" w:eastAsia="Arial" w:hAnsi="Arial"/>
                <w:sz w:val="10"/>
                <w:szCs w:val="10"/>
                <w:b w:val="1"/>
                <w:bCs w:val="1"/>
                <w:color w:val="auto"/>
                <w:w w:val="89"/>
              </w:rPr>
              <w:t>in the</w:t>
            </w:r>
          </w:p>
        </w:tc>
        <w:tc>
          <w:tcPr>
            <w:tcW w:w="104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9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39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1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0" w:type="dxa"/>
            <w:vAlign w:val="bottom"/>
            <w:gridSpan w:val="4"/>
          </w:tcPr>
          <w:p>
            <w:pPr>
              <w:jc w:val="center"/>
              <w:ind w:right="220"/>
              <w:spacing w:after="0" w:line="99" w:lineRule="exact"/>
              <w:rPr>
                <w:sz w:val="20"/>
                <w:szCs w:val="20"/>
                <w:color w:val="auto"/>
              </w:rPr>
            </w:pPr>
            <w:r>
              <w:rPr>
                <w:rFonts w:ascii="Arial" w:cs="Arial" w:eastAsia="Arial" w:hAnsi="Arial"/>
                <w:sz w:val="10"/>
                <w:szCs w:val="10"/>
                <w:b w:val="1"/>
                <w:bCs w:val="1"/>
                <w:color w:val="auto"/>
                <w:w w:val="84"/>
              </w:rPr>
              <w:t>Presented in the</w:t>
            </w:r>
          </w:p>
        </w:tc>
        <w:tc>
          <w:tcPr>
            <w:tcW w:w="80" w:type="dxa"/>
            <w:vAlign w:val="bottom"/>
          </w:tcPr>
          <w:p>
            <w:pPr>
              <w:spacing w:after="0"/>
              <w:rPr>
                <w:sz w:val="8"/>
                <w:szCs w:val="8"/>
                <w:color w:val="auto"/>
              </w:rPr>
            </w:pPr>
          </w:p>
        </w:tc>
        <w:tc>
          <w:tcPr>
            <w:tcW w:w="2400" w:type="dxa"/>
            <w:vAlign w:val="bottom"/>
            <w:gridSpan w:val="6"/>
          </w:tcPr>
          <w:p>
            <w:pPr>
              <w:jc w:val="center"/>
              <w:ind w:right="180"/>
              <w:spacing w:after="0" w:line="99" w:lineRule="exact"/>
              <w:rPr>
                <w:sz w:val="20"/>
                <w:szCs w:val="20"/>
                <w:color w:val="auto"/>
              </w:rPr>
            </w:pPr>
            <w:r>
              <w:rPr>
                <w:rFonts w:ascii="Arial" w:cs="Arial" w:eastAsia="Arial" w:hAnsi="Arial"/>
                <w:sz w:val="10"/>
                <w:szCs w:val="10"/>
                <w:b w:val="1"/>
                <w:bCs w:val="1"/>
                <w:color w:val="auto"/>
                <w:w w:val="84"/>
              </w:rPr>
              <w:t>Consolidated Balance Sheets</w:t>
            </w:r>
          </w:p>
        </w:tc>
        <w:tc>
          <w:tcPr>
            <w:tcW w:w="200" w:type="dxa"/>
            <w:vAlign w:val="bottom"/>
          </w:tcPr>
          <w:p>
            <w:pPr>
              <w:spacing w:after="0"/>
              <w:rPr>
                <w:sz w:val="8"/>
                <w:szCs w:val="8"/>
                <w:color w:val="auto"/>
              </w:rPr>
            </w:pPr>
          </w:p>
        </w:tc>
        <w:tc>
          <w:tcPr>
            <w:tcW w:w="9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6"/>
        </w:trPr>
        <w:tc>
          <w:tcPr>
            <w:tcW w:w="3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40" w:type="dxa"/>
            <w:vAlign w:val="bottom"/>
            <w:gridSpan w:val="3"/>
            <w:vMerge w:val="restart"/>
          </w:tcPr>
          <w:p>
            <w:pPr>
              <w:jc w:val="right"/>
              <w:ind w:right="260"/>
              <w:spacing w:after="0" w:line="94" w:lineRule="exact"/>
              <w:rPr>
                <w:sz w:val="20"/>
                <w:szCs w:val="20"/>
                <w:color w:val="auto"/>
              </w:rPr>
            </w:pPr>
            <w:r>
              <w:rPr>
                <w:rFonts w:ascii="Arial" w:cs="Arial" w:eastAsia="Arial" w:hAnsi="Arial"/>
                <w:sz w:val="10"/>
                <w:szCs w:val="10"/>
                <w:b w:val="1"/>
                <w:bCs w:val="1"/>
                <w:color w:val="auto"/>
                <w:w w:val="87"/>
              </w:rPr>
              <w:t>Gross Amounts of</w:t>
            </w:r>
          </w:p>
        </w:tc>
        <w:tc>
          <w:tcPr>
            <w:tcW w:w="1400" w:type="dxa"/>
            <w:vAlign w:val="bottom"/>
            <w:gridSpan w:val="6"/>
            <w:vMerge w:val="restart"/>
          </w:tcPr>
          <w:p>
            <w:pPr>
              <w:jc w:val="right"/>
              <w:ind w:right="180"/>
              <w:spacing w:after="0" w:line="94" w:lineRule="exact"/>
              <w:rPr>
                <w:sz w:val="20"/>
                <w:szCs w:val="20"/>
                <w:color w:val="auto"/>
              </w:rPr>
            </w:pPr>
            <w:r>
              <w:rPr>
                <w:rFonts w:ascii="Arial" w:cs="Arial" w:eastAsia="Arial" w:hAnsi="Arial"/>
                <w:sz w:val="10"/>
                <w:szCs w:val="10"/>
                <w:b w:val="1"/>
                <w:bCs w:val="1"/>
                <w:color w:val="auto"/>
                <w:w w:val="88"/>
              </w:rPr>
              <w:t>Gross Amounts Offset in the</w:t>
            </w:r>
          </w:p>
        </w:tc>
        <w:tc>
          <w:tcPr>
            <w:tcW w:w="80" w:type="dxa"/>
            <w:vAlign w:val="bottom"/>
          </w:tcPr>
          <w:p>
            <w:pPr>
              <w:spacing w:after="0"/>
              <w:rPr>
                <w:sz w:val="3"/>
                <w:szCs w:val="3"/>
                <w:color w:val="auto"/>
              </w:rPr>
            </w:pPr>
          </w:p>
        </w:tc>
        <w:tc>
          <w:tcPr>
            <w:tcW w:w="1180" w:type="dxa"/>
            <w:vAlign w:val="bottom"/>
            <w:gridSpan w:val="3"/>
            <w:vMerge w:val="restart"/>
          </w:tcPr>
          <w:p>
            <w:pPr>
              <w:jc w:val="center"/>
              <w:ind w:right="200"/>
              <w:spacing w:after="0" w:line="94" w:lineRule="exact"/>
              <w:rPr>
                <w:sz w:val="20"/>
                <w:szCs w:val="20"/>
                <w:color w:val="auto"/>
              </w:rPr>
            </w:pPr>
            <w:r>
              <w:rPr>
                <w:rFonts w:ascii="Arial" w:cs="Arial" w:eastAsia="Arial" w:hAnsi="Arial"/>
                <w:sz w:val="10"/>
                <w:szCs w:val="10"/>
                <w:b w:val="1"/>
                <w:bCs w:val="1"/>
                <w:color w:val="auto"/>
                <w:w w:val="86"/>
              </w:rPr>
              <w:t>Consolidated Balance</w:t>
            </w: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9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38"/>
        </w:trPr>
        <w:tc>
          <w:tcPr>
            <w:tcW w:w="3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40" w:type="dxa"/>
            <w:vAlign w:val="bottom"/>
            <w:gridSpan w:val="3"/>
            <w:vMerge w:val="continue"/>
          </w:tcPr>
          <w:p>
            <w:pPr>
              <w:spacing w:after="0"/>
              <w:rPr>
                <w:sz w:val="3"/>
                <w:szCs w:val="3"/>
                <w:color w:val="auto"/>
              </w:rPr>
            </w:pPr>
          </w:p>
        </w:tc>
        <w:tc>
          <w:tcPr>
            <w:tcW w:w="1400" w:type="dxa"/>
            <w:vAlign w:val="bottom"/>
            <w:gridSpan w:val="6"/>
            <w:vMerge w:val="continue"/>
          </w:tcPr>
          <w:p>
            <w:pPr>
              <w:spacing w:after="0"/>
              <w:rPr>
                <w:sz w:val="3"/>
                <w:szCs w:val="3"/>
                <w:color w:val="auto"/>
              </w:rPr>
            </w:pPr>
          </w:p>
        </w:tc>
        <w:tc>
          <w:tcPr>
            <w:tcW w:w="80" w:type="dxa"/>
            <w:vAlign w:val="bottom"/>
          </w:tcPr>
          <w:p>
            <w:pPr>
              <w:spacing w:after="0"/>
              <w:rPr>
                <w:sz w:val="3"/>
                <w:szCs w:val="3"/>
                <w:color w:val="auto"/>
              </w:rPr>
            </w:pPr>
          </w:p>
        </w:tc>
        <w:tc>
          <w:tcPr>
            <w:tcW w:w="1180" w:type="dxa"/>
            <w:vAlign w:val="bottom"/>
            <w:gridSpan w:val="3"/>
            <w:vMerge w:val="continue"/>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9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9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28"/>
        </w:trPr>
        <w:tc>
          <w:tcPr>
            <w:tcW w:w="390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1040" w:type="dxa"/>
            <w:vAlign w:val="bottom"/>
            <w:tcBorders>
              <w:bottom w:val="single" w:sz="8" w:color="auto"/>
            </w:tcBorders>
            <w:gridSpan w:val="3"/>
          </w:tcPr>
          <w:p>
            <w:pPr>
              <w:jc w:val="right"/>
              <w:ind w:right="12"/>
              <w:spacing w:after="0"/>
              <w:rPr>
                <w:sz w:val="20"/>
                <w:szCs w:val="20"/>
                <w:color w:val="auto"/>
              </w:rPr>
            </w:pPr>
            <w:r>
              <w:rPr>
                <w:rFonts w:ascii="Arial" w:cs="Arial" w:eastAsia="Arial" w:hAnsi="Arial"/>
                <w:sz w:val="10"/>
                <w:szCs w:val="10"/>
                <w:b w:val="1"/>
                <w:bCs w:val="1"/>
                <w:color w:val="auto"/>
                <w:w w:val="91"/>
              </w:rPr>
              <w:t>Recognized Liabilities</w:t>
            </w:r>
          </w:p>
        </w:tc>
        <w:tc>
          <w:tcPr>
            <w:tcW w:w="120" w:type="dxa"/>
            <w:vAlign w:val="bottom"/>
            <w:tcBorders>
              <w:bottom w:val="single" w:sz="8" w:color="CCEEFF"/>
            </w:tcBorders>
          </w:tcPr>
          <w:p>
            <w:pPr>
              <w:spacing w:after="0"/>
              <w:rPr>
                <w:sz w:val="11"/>
                <w:szCs w:val="11"/>
                <w:color w:val="auto"/>
              </w:rPr>
            </w:pPr>
          </w:p>
        </w:tc>
        <w:tc>
          <w:tcPr>
            <w:tcW w:w="1280" w:type="dxa"/>
            <w:vAlign w:val="bottom"/>
            <w:tcBorders>
              <w:bottom w:val="single" w:sz="8" w:color="auto"/>
            </w:tcBorders>
            <w:gridSpan w:val="3"/>
          </w:tcPr>
          <w:p>
            <w:pPr>
              <w:jc w:val="right"/>
              <w:ind w:right="12"/>
              <w:spacing w:after="0"/>
              <w:rPr>
                <w:sz w:val="20"/>
                <w:szCs w:val="20"/>
                <w:color w:val="auto"/>
              </w:rPr>
            </w:pPr>
            <w:r>
              <w:rPr>
                <w:rFonts w:ascii="Arial" w:cs="Arial" w:eastAsia="Arial" w:hAnsi="Arial"/>
                <w:sz w:val="10"/>
                <w:szCs w:val="10"/>
                <w:b w:val="1"/>
                <w:bCs w:val="1"/>
                <w:color w:val="auto"/>
                <w:w w:val="85"/>
              </w:rPr>
              <w:t>Consolidated Balance Sheets</w:t>
            </w:r>
          </w:p>
        </w:tc>
        <w:tc>
          <w:tcPr>
            <w:tcW w:w="100" w:type="dxa"/>
            <w:vAlign w:val="bottom"/>
            <w:tcBorders>
              <w:bottom w:val="single" w:sz="8" w:color="CCEEFF"/>
            </w:tcBorders>
            <w:gridSpan w:val="2"/>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060" w:type="dxa"/>
            <w:vAlign w:val="bottom"/>
            <w:tcBorders>
              <w:bottom w:val="single" w:sz="8" w:color="auto"/>
            </w:tcBorders>
          </w:tcPr>
          <w:p>
            <w:pPr>
              <w:jc w:val="center"/>
              <w:ind w:right="32"/>
              <w:spacing w:after="0"/>
              <w:rPr>
                <w:sz w:val="20"/>
                <w:szCs w:val="20"/>
                <w:color w:val="auto"/>
              </w:rPr>
            </w:pPr>
            <w:r>
              <w:rPr>
                <w:rFonts w:ascii="Arial" w:cs="Arial" w:eastAsia="Arial" w:hAnsi="Arial"/>
                <w:sz w:val="10"/>
                <w:szCs w:val="10"/>
                <w:b w:val="1"/>
                <w:bCs w:val="1"/>
                <w:color w:val="auto"/>
                <w:w w:val="79"/>
              </w:rPr>
              <w:t>Sheets</w:t>
            </w:r>
          </w:p>
        </w:tc>
        <w:tc>
          <w:tcPr>
            <w:tcW w:w="120" w:type="dxa"/>
            <w:vAlign w:val="bottom"/>
            <w:tcBorders>
              <w:bottom w:val="single" w:sz="8" w:color="CCEEFF"/>
            </w:tcBorders>
            <w:gridSpan w:val="2"/>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98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w w:val="88"/>
              </w:rPr>
              <w:t>Financial Instruments</w:t>
            </w:r>
          </w:p>
        </w:tc>
        <w:tc>
          <w:tcPr>
            <w:tcW w:w="80" w:type="dxa"/>
            <w:vAlign w:val="bottom"/>
            <w:tcBorders>
              <w:bottom w:val="single" w:sz="8" w:color="auto"/>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b w:val="1"/>
                <w:bCs w:val="1"/>
                <w:color w:val="auto"/>
                <w:w w:val="92"/>
              </w:rPr>
              <w:t xml:space="preserve">Collateral Pledged </w:t>
            </w:r>
            <w:r>
              <w:rPr>
                <w:rFonts w:ascii="Arial" w:cs="Arial" w:eastAsia="Arial" w:hAnsi="Arial"/>
                <w:sz w:val="5"/>
                <w:szCs w:val="5"/>
                <w:b w:val="1"/>
                <w:bCs w:val="1"/>
                <w:color w:val="auto"/>
                <w:w w:val="92"/>
              </w:rPr>
              <w:t>2</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tcPr>
          <w:p>
            <w:pPr>
              <w:ind w:left="120"/>
              <w:spacing w:after="0"/>
              <w:rPr>
                <w:sz w:val="20"/>
                <w:szCs w:val="20"/>
                <w:color w:val="auto"/>
              </w:rPr>
            </w:pPr>
            <w:r>
              <w:rPr>
                <w:rFonts w:ascii="Arial" w:cs="Arial" w:eastAsia="Arial" w:hAnsi="Arial"/>
                <w:sz w:val="10"/>
                <w:szCs w:val="10"/>
                <w:b w:val="1"/>
                <w:bCs w:val="1"/>
                <w:color w:val="auto"/>
              </w:rPr>
              <w:t>Net Amount</w:t>
            </w:r>
          </w:p>
        </w:tc>
        <w:tc>
          <w:tcPr>
            <w:tcW w:w="0" w:type="dxa"/>
            <w:vAlign w:val="bottom"/>
          </w:tcPr>
          <w:p>
            <w:pPr>
              <w:spacing w:after="0"/>
              <w:rPr>
                <w:sz w:val="1"/>
                <w:szCs w:val="1"/>
                <w:color w:val="auto"/>
              </w:rPr>
            </w:pPr>
          </w:p>
        </w:tc>
      </w:tr>
      <w:tr>
        <w:trPr>
          <w:trHeight w:val="173"/>
        </w:trPr>
        <w:tc>
          <w:tcPr>
            <w:tcW w:w="402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September 30, 2016</w:t>
            </w: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10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9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4020" w:type="dxa"/>
            <w:vAlign w:val="bottom"/>
            <w:gridSpan w:val="2"/>
          </w:tcPr>
          <w:p>
            <w:pPr>
              <w:ind w:left="100"/>
              <w:spacing w:after="0"/>
              <w:rPr>
                <w:sz w:val="20"/>
                <w:szCs w:val="20"/>
                <w:color w:val="auto"/>
              </w:rPr>
            </w:pPr>
            <w:r>
              <w:rPr>
                <w:rFonts w:ascii="Arial" w:cs="Arial" w:eastAsia="Arial" w:hAnsi="Arial"/>
                <w:sz w:val="10"/>
                <w:szCs w:val="10"/>
                <w:color w:val="auto"/>
              </w:rPr>
              <w:t xml:space="preserve">Interest rate swap agreements, at fair value </w:t>
            </w:r>
            <w:r>
              <w:rPr>
                <w:rFonts w:ascii="Arial" w:cs="Arial" w:eastAsia="Arial" w:hAnsi="Arial"/>
                <w:sz w:val="5"/>
                <w:szCs w:val="5"/>
                <w:color w:val="auto"/>
              </w:rPr>
              <w:t>1</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100" w:type="dxa"/>
            <w:vAlign w:val="bottom"/>
          </w:tcPr>
          <w:p>
            <w:pPr>
              <w:spacing w:after="0"/>
              <w:rPr>
                <w:sz w:val="15"/>
                <w:szCs w:val="15"/>
                <w:color w:val="auto"/>
              </w:rPr>
            </w:pPr>
          </w:p>
        </w:tc>
        <w:tc>
          <w:tcPr>
            <w:tcW w:w="820" w:type="dxa"/>
            <w:vAlign w:val="bottom"/>
          </w:tcPr>
          <w:p>
            <w:pPr>
              <w:jc w:val="right"/>
              <w:ind w:right="72"/>
              <w:spacing w:after="0"/>
              <w:rPr>
                <w:sz w:val="20"/>
                <w:szCs w:val="20"/>
                <w:color w:val="auto"/>
              </w:rPr>
            </w:pPr>
            <w:r>
              <w:rPr>
                <w:rFonts w:ascii="Arial" w:cs="Arial" w:eastAsia="Arial" w:hAnsi="Arial"/>
                <w:sz w:val="10"/>
                <w:szCs w:val="10"/>
                <w:color w:val="auto"/>
              </w:rPr>
              <w:t>942</w:t>
            </w:r>
          </w:p>
        </w:tc>
        <w:tc>
          <w:tcPr>
            <w:tcW w:w="120" w:type="dxa"/>
            <w:vAlign w:val="bottom"/>
          </w:tcPr>
          <w:p>
            <w:pPr>
              <w:spacing w:after="0"/>
              <w:rPr>
                <w:sz w:val="15"/>
                <w:szCs w:val="15"/>
                <w:color w:val="auto"/>
              </w:rPr>
            </w:pP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60" w:type="dxa"/>
            <w:vAlign w:val="bottom"/>
          </w:tcPr>
          <w:p>
            <w:pPr>
              <w:spacing w:after="0"/>
              <w:rPr>
                <w:sz w:val="15"/>
                <w:szCs w:val="15"/>
                <w:color w:val="auto"/>
              </w:rPr>
            </w:pPr>
          </w:p>
        </w:tc>
        <w:tc>
          <w:tcPr>
            <w:tcW w:w="1220" w:type="dxa"/>
            <w:vAlign w:val="bottom"/>
            <w:gridSpan w:val="4"/>
          </w:tcPr>
          <w:p>
            <w:pPr>
              <w:jc w:val="right"/>
              <w:ind w:right="240"/>
              <w:spacing w:after="0"/>
              <w:rPr>
                <w:sz w:val="20"/>
                <w:szCs w:val="20"/>
                <w:color w:val="auto"/>
              </w:rPr>
            </w:pP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Pr>
          <w:p>
            <w:pPr>
              <w:jc w:val="right"/>
              <w:ind w:right="52"/>
              <w:spacing w:after="0"/>
              <w:rPr>
                <w:sz w:val="20"/>
                <w:szCs w:val="20"/>
                <w:color w:val="auto"/>
              </w:rPr>
            </w:pPr>
            <w:r>
              <w:rPr>
                <w:rFonts w:ascii="Arial" w:cs="Arial" w:eastAsia="Arial" w:hAnsi="Arial"/>
                <w:sz w:val="10"/>
                <w:szCs w:val="10"/>
                <w:color w:val="auto"/>
              </w:rPr>
              <w:t>942</w:t>
            </w: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tcPr>
          <w:p>
            <w:pPr>
              <w:jc w:val="right"/>
              <w:spacing w:after="0"/>
              <w:rPr>
                <w:sz w:val="20"/>
                <w:szCs w:val="20"/>
                <w:color w:val="auto"/>
              </w:rPr>
            </w:pPr>
            <w:r>
              <w:rPr>
                <w:rFonts w:ascii="Arial" w:cs="Arial" w:eastAsia="Arial" w:hAnsi="Arial"/>
                <w:sz w:val="10"/>
                <w:szCs w:val="10"/>
                <w:color w:val="auto"/>
              </w:rPr>
              <w:t>(11)</w:t>
            </w:r>
          </w:p>
        </w:tc>
        <w:tc>
          <w:tcPr>
            <w:tcW w:w="280" w:type="dxa"/>
            <w:vAlign w:val="bottom"/>
            <w:gridSpan w:val="3"/>
          </w:tcPr>
          <w:p>
            <w:pPr>
              <w:jc w:val="right"/>
              <w:spacing w:after="0"/>
              <w:rPr>
                <w:sz w:val="20"/>
                <w:szCs w:val="20"/>
                <w:color w:val="auto"/>
              </w:rPr>
            </w:pPr>
            <w:r>
              <w:rPr>
                <w:rFonts w:ascii="Arial" w:cs="Arial" w:eastAsia="Arial" w:hAnsi="Arial"/>
                <w:sz w:val="10"/>
                <w:szCs w:val="10"/>
                <w:color w:val="auto"/>
              </w:rPr>
              <w:t>$</w:t>
            </w:r>
          </w:p>
        </w:tc>
        <w:tc>
          <w:tcPr>
            <w:tcW w:w="1040" w:type="dxa"/>
            <w:vAlign w:val="bottom"/>
          </w:tcPr>
          <w:p>
            <w:pPr>
              <w:jc w:val="right"/>
              <w:ind w:right="32"/>
              <w:spacing w:after="0"/>
              <w:rPr>
                <w:sz w:val="20"/>
                <w:szCs w:val="20"/>
                <w:color w:val="auto"/>
              </w:rPr>
            </w:pPr>
            <w:r>
              <w:rPr>
                <w:rFonts w:ascii="Arial" w:cs="Arial" w:eastAsia="Arial" w:hAnsi="Arial"/>
                <w:sz w:val="10"/>
                <w:szCs w:val="10"/>
                <w:color w:val="auto"/>
              </w:rPr>
              <w:t>(931)</w:t>
            </w:r>
          </w:p>
        </w:tc>
        <w:tc>
          <w:tcPr>
            <w:tcW w:w="100" w:type="dxa"/>
            <w:vAlign w:val="bottom"/>
          </w:tcPr>
          <w:p>
            <w:pPr>
              <w:spacing w:after="0"/>
              <w:rPr>
                <w:sz w:val="15"/>
                <w:szCs w:val="15"/>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80"/>
        </w:trPr>
        <w:tc>
          <w:tcPr>
            <w:tcW w:w="402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Repurchase agreements and FHLB advances</w:t>
            </w:r>
          </w:p>
        </w:tc>
        <w:tc>
          <w:tcPr>
            <w:tcW w:w="120" w:type="dxa"/>
            <w:vAlign w:val="bottom"/>
            <w:tcBorders>
              <w:bottom w:val="single" w:sz="8" w:color="auto"/>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82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40,880</w:t>
            </w:r>
          </w:p>
        </w:tc>
        <w:tc>
          <w:tcPr>
            <w:tcW w:w="12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60" w:type="dxa"/>
            <w:vAlign w:val="bottom"/>
            <w:tcBorders>
              <w:bottom w:val="single" w:sz="8" w:color="auto"/>
            </w:tcBorders>
            <w:shd w:val="clear" w:color="auto" w:fill="CCEEFF"/>
          </w:tcPr>
          <w:p>
            <w:pPr>
              <w:spacing w:after="0"/>
              <w:rPr>
                <w:sz w:val="15"/>
                <w:szCs w:val="15"/>
                <w:color w:val="auto"/>
              </w:rPr>
            </w:pPr>
          </w:p>
        </w:tc>
        <w:tc>
          <w:tcPr>
            <w:tcW w:w="11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(175)</w:t>
            </w:r>
          </w:p>
        </w:tc>
        <w:tc>
          <w:tcPr>
            <w:tcW w:w="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 w:type="dxa"/>
            <w:vAlign w:val="bottom"/>
            <w:tcBorders>
              <w:bottom w:val="single" w:sz="8" w:color="auto"/>
            </w:tcBorders>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spacing w:after="0"/>
              <w:rPr>
                <w:sz w:val="15"/>
                <w:szCs w:val="15"/>
                <w:color w:val="auto"/>
              </w:rPr>
            </w:pPr>
          </w:p>
        </w:tc>
        <w:tc>
          <w:tcPr>
            <w:tcW w:w="10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40,705</w:t>
            </w:r>
          </w:p>
        </w:tc>
        <w:tc>
          <w:tcPr>
            <w:tcW w:w="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 w:type="dxa"/>
            <w:vAlign w:val="bottom"/>
            <w:tcBorders>
              <w:bottom w:val="single" w:sz="8" w:color="auto"/>
            </w:tcBorders>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spacing w:after="0"/>
              <w:rPr>
                <w:sz w:val="15"/>
                <w:szCs w:val="15"/>
                <w:color w:val="auto"/>
              </w:rPr>
            </w:pP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(4,797)</w:t>
            </w:r>
          </w:p>
        </w:tc>
        <w:tc>
          <w:tcPr>
            <w:tcW w:w="80" w:type="dxa"/>
            <w:vAlign w:val="bottom"/>
            <w:tcBorders>
              <w:bottom w:val="single" w:sz="8" w:color="auto"/>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10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(35,908)</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940" w:type="dxa"/>
            <w:vAlign w:val="bottom"/>
            <w:tcBorders>
              <w:bottom w:val="single" w:sz="8" w:color="auto"/>
            </w:tcBorders>
            <w:shd w:val="clear" w:color="auto" w:fill="CCEEFF"/>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62"/>
        </w:trPr>
        <w:tc>
          <w:tcPr>
            <w:tcW w:w="4020" w:type="dxa"/>
            <w:vAlign w:val="bottom"/>
            <w:gridSpan w:val="2"/>
          </w:tcPr>
          <w:p>
            <w:pPr>
              <w:ind w:left="180"/>
              <w:spacing w:after="0"/>
              <w:rPr>
                <w:sz w:val="20"/>
                <w:szCs w:val="20"/>
                <w:color w:val="auto"/>
              </w:rPr>
            </w:pPr>
            <w:r>
              <w:rPr>
                <w:rFonts w:ascii="Arial" w:cs="Arial" w:eastAsia="Arial" w:hAnsi="Arial"/>
                <w:sz w:val="10"/>
                <w:szCs w:val="10"/>
                <w:color w:val="auto"/>
              </w:rPr>
              <w:t>Total</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100" w:type="dxa"/>
            <w:vAlign w:val="bottom"/>
          </w:tcPr>
          <w:p>
            <w:pPr>
              <w:spacing w:after="0"/>
              <w:rPr>
                <w:sz w:val="14"/>
                <w:szCs w:val="14"/>
                <w:color w:val="auto"/>
              </w:rPr>
            </w:pPr>
          </w:p>
        </w:tc>
        <w:tc>
          <w:tcPr>
            <w:tcW w:w="820" w:type="dxa"/>
            <w:vAlign w:val="bottom"/>
          </w:tcPr>
          <w:p>
            <w:pPr>
              <w:jc w:val="right"/>
              <w:ind w:right="72"/>
              <w:spacing w:after="0"/>
              <w:rPr>
                <w:sz w:val="20"/>
                <w:szCs w:val="20"/>
                <w:color w:val="auto"/>
              </w:rPr>
            </w:pPr>
            <w:r>
              <w:rPr>
                <w:rFonts w:ascii="Arial" w:cs="Arial" w:eastAsia="Arial" w:hAnsi="Arial"/>
                <w:sz w:val="10"/>
                <w:szCs w:val="10"/>
                <w:color w:val="auto"/>
              </w:rPr>
              <w:t>41,822</w:t>
            </w:r>
          </w:p>
        </w:tc>
        <w:tc>
          <w:tcPr>
            <w:tcW w:w="120" w:type="dxa"/>
            <w:vAlign w:val="bottom"/>
          </w:tcPr>
          <w:p>
            <w:pPr>
              <w:spacing w:after="0"/>
              <w:rPr>
                <w:sz w:val="14"/>
                <w:szCs w:val="14"/>
                <w:color w:val="auto"/>
              </w:rPr>
            </w:pP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60" w:type="dxa"/>
            <w:vAlign w:val="bottom"/>
          </w:tcPr>
          <w:p>
            <w:pPr>
              <w:spacing w:after="0"/>
              <w:rPr>
                <w:sz w:val="14"/>
                <w:szCs w:val="14"/>
                <w:color w:val="auto"/>
              </w:rPr>
            </w:pPr>
          </w:p>
        </w:tc>
        <w:tc>
          <w:tcPr>
            <w:tcW w:w="1100" w:type="dxa"/>
            <w:vAlign w:val="bottom"/>
          </w:tcPr>
          <w:p>
            <w:pPr>
              <w:jc w:val="right"/>
              <w:ind w:right="52"/>
              <w:spacing w:after="0"/>
              <w:rPr>
                <w:sz w:val="20"/>
                <w:szCs w:val="20"/>
                <w:color w:val="auto"/>
              </w:rPr>
            </w:pPr>
            <w:r>
              <w:rPr>
                <w:rFonts w:ascii="Arial" w:cs="Arial" w:eastAsia="Arial" w:hAnsi="Arial"/>
                <w:sz w:val="10"/>
                <w:szCs w:val="10"/>
                <w:color w:val="auto"/>
              </w:rPr>
              <w:t>(175)</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Pr>
          <w:p>
            <w:pPr>
              <w:jc w:val="right"/>
              <w:ind w:right="52"/>
              <w:spacing w:after="0"/>
              <w:rPr>
                <w:sz w:val="20"/>
                <w:szCs w:val="20"/>
                <w:color w:val="auto"/>
              </w:rPr>
            </w:pPr>
            <w:r>
              <w:rPr>
                <w:rFonts w:ascii="Arial" w:cs="Arial" w:eastAsia="Arial" w:hAnsi="Arial"/>
                <w:sz w:val="10"/>
                <w:szCs w:val="10"/>
                <w:color w:val="auto"/>
              </w:rPr>
              <w:t>41,647</w:t>
            </w: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tcPr>
          <w:p>
            <w:pPr>
              <w:jc w:val="right"/>
              <w:spacing w:after="0"/>
              <w:rPr>
                <w:sz w:val="20"/>
                <w:szCs w:val="20"/>
                <w:color w:val="auto"/>
              </w:rPr>
            </w:pPr>
            <w:r>
              <w:rPr>
                <w:rFonts w:ascii="Arial" w:cs="Arial" w:eastAsia="Arial" w:hAnsi="Arial"/>
                <w:sz w:val="10"/>
                <w:szCs w:val="10"/>
                <w:color w:val="auto"/>
              </w:rPr>
              <w:t>(4,808)</w:t>
            </w:r>
          </w:p>
        </w:tc>
        <w:tc>
          <w:tcPr>
            <w:tcW w:w="280" w:type="dxa"/>
            <w:vAlign w:val="bottom"/>
            <w:gridSpan w:val="3"/>
          </w:tcPr>
          <w:p>
            <w:pPr>
              <w:jc w:val="right"/>
              <w:spacing w:after="0"/>
              <w:rPr>
                <w:sz w:val="20"/>
                <w:szCs w:val="20"/>
                <w:color w:val="auto"/>
              </w:rPr>
            </w:pPr>
            <w:r>
              <w:rPr>
                <w:rFonts w:ascii="Arial" w:cs="Arial" w:eastAsia="Arial" w:hAnsi="Arial"/>
                <w:sz w:val="10"/>
                <w:szCs w:val="10"/>
                <w:color w:val="auto"/>
              </w:rPr>
              <w:t>$</w:t>
            </w:r>
          </w:p>
        </w:tc>
        <w:tc>
          <w:tcPr>
            <w:tcW w:w="1040" w:type="dxa"/>
            <w:vAlign w:val="bottom"/>
          </w:tcPr>
          <w:p>
            <w:pPr>
              <w:jc w:val="right"/>
              <w:ind w:right="32"/>
              <w:spacing w:after="0"/>
              <w:rPr>
                <w:sz w:val="20"/>
                <w:szCs w:val="20"/>
                <w:color w:val="auto"/>
              </w:rPr>
            </w:pPr>
            <w:r>
              <w:rPr>
                <w:rFonts w:ascii="Arial" w:cs="Arial" w:eastAsia="Arial" w:hAnsi="Arial"/>
                <w:sz w:val="10"/>
                <w:szCs w:val="10"/>
                <w:color w:val="auto"/>
              </w:rPr>
              <w:t>(36,839)</w:t>
            </w:r>
          </w:p>
        </w:tc>
        <w:tc>
          <w:tcPr>
            <w:tcW w:w="100" w:type="dxa"/>
            <w:vAlign w:val="bottom"/>
          </w:tcPr>
          <w:p>
            <w:pPr>
              <w:spacing w:after="0"/>
              <w:rPr>
                <w:sz w:val="14"/>
                <w:szCs w:val="14"/>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89"/>
        </w:trPr>
        <w:tc>
          <w:tcPr>
            <w:tcW w:w="390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820" w:type="dxa"/>
            <w:vAlign w:val="bottom"/>
            <w:tcBorders>
              <w:top w:val="single" w:sz="8" w:color="auto"/>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60" w:type="dxa"/>
            <w:vAlign w:val="bottom"/>
            <w:tcBorders>
              <w:top w:val="single" w:sz="8" w:color="auto"/>
            </w:tcBorders>
            <w:shd w:val="clear" w:color="auto" w:fill="CCEEFF"/>
          </w:tcPr>
          <w:p>
            <w:pPr>
              <w:spacing w:after="0"/>
              <w:rPr>
                <w:sz w:val="16"/>
                <w:szCs w:val="16"/>
                <w:color w:val="auto"/>
              </w:rPr>
            </w:pPr>
          </w:p>
        </w:tc>
        <w:tc>
          <w:tcPr>
            <w:tcW w:w="1100" w:type="dxa"/>
            <w:vAlign w:val="bottom"/>
            <w:tcBorders>
              <w:top w:val="single" w:sz="8" w:color="auto"/>
            </w:tcBorders>
            <w:shd w:val="clear" w:color="auto" w:fill="CCEEFF"/>
          </w:tcPr>
          <w:p>
            <w:pPr>
              <w:spacing w:after="0"/>
              <w:rPr>
                <w:sz w:val="16"/>
                <w:szCs w:val="16"/>
                <w:color w:val="auto"/>
              </w:rPr>
            </w:pPr>
          </w:p>
        </w:tc>
        <w:tc>
          <w:tcPr>
            <w:tcW w:w="2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20" w:type="dxa"/>
            <w:vAlign w:val="bottom"/>
            <w:tcBorders>
              <w:top w:val="single" w:sz="8" w:color="auto"/>
            </w:tcBorders>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1060" w:type="dxa"/>
            <w:vAlign w:val="bottom"/>
            <w:tcBorders>
              <w:top w:val="single" w:sz="8" w:color="auto"/>
            </w:tcBorders>
            <w:shd w:val="clear" w:color="auto" w:fill="CCEEFF"/>
          </w:tcPr>
          <w:p>
            <w:pPr>
              <w:spacing w:after="0"/>
              <w:rPr>
                <w:sz w:val="16"/>
                <w:szCs w:val="16"/>
                <w:color w:val="auto"/>
              </w:rPr>
            </w:pPr>
          </w:p>
        </w:tc>
        <w:tc>
          <w:tcPr>
            <w:tcW w:w="2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20" w:type="dxa"/>
            <w:vAlign w:val="bottom"/>
            <w:tcBorders>
              <w:top w:val="single" w:sz="8" w:color="auto"/>
            </w:tcBorders>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980" w:type="dxa"/>
            <w:vAlign w:val="bottom"/>
            <w:tcBorders>
              <w:top w:val="single" w:sz="8" w:color="auto"/>
            </w:tcBorders>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104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200" w:type="dxa"/>
            <w:vAlign w:val="bottom"/>
            <w:tcBorders>
              <w:top w:val="single" w:sz="8" w:color="auto"/>
            </w:tcBorders>
            <w:shd w:val="clear" w:color="auto" w:fill="CCEEFF"/>
          </w:tcPr>
          <w:p>
            <w:pPr>
              <w:spacing w:after="0"/>
              <w:rPr>
                <w:sz w:val="16"/>
                <w:szCs w:val="16"/>
                <w:color w:val="auto"/>
              </w:rPr>
            </w:pPr>
          </w:p>
        </w:tc>
        <w:tc>
          <w:tcPr>
            <w:tcW w:w="940" w:type="dxa"/>
            <w:vAlign w:val="bottom"/>
            <w:tcBorders>
              <w:top w:val="single" w:sz="8" w:color="auto"/>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6"/>
        </w:trPr>
        <w:tc>
          <w:tcPr>
            <w:tcW w:w="4020" w:type="dxa"/>
            <w:vAlign w:val="bottom"/>
            <w:gridSpan w:val="2"/>
          </w:tcPr>
          <w:p>
            <w:pPr>
              <w:ind w:left="20"/>
              <w:spacing w:after="0"/>
              <w:rPr>
                <w:sz w:val="20"/>
                <w:szCs w:val="20"/>
                <w:color w:val="auto"/>
              </w:rPr>
            </w:pPr>
            <w:r>
              <w:rPr>
                <w:rFonts w:ascii="Arial" w:cs="Arial" w:eastAsia="Arial" w:hAnsi="Arial"/>
                <w:sz w:val="10"/>
                <w:szCs w:val="10"/>
                <w:b w:val="1"/>
                <w:bCs w:val="1"/>
                <w:color w:val="auto"/>
              </w:rPr>
              <w:t>December 31, 2015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4"/>
        </w:trPr>
        <w:tc>
          <w:tcPr>
            <w:tcW w:w="402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 xml:space="preserve">Interest rate swap agreements, at fair value </w:t>
            </w:r>
            <w:r>
              <w:rPr>
                <w:rFonts w:ascii="Arial" w:cs="Arial" w:eastAsia="Arial" w:hAnsi="Arial"/>
                <w:sz w:val="5"/>
                <w:szCs w:val="5"/>
                <w:color w:val="auto"/>
              </w:rPr>
              <w:t>1</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00" w:type="dxa"/>
            <w:vAlign w:val="bottom"/>
            <w:shd w:val="clear" w:color="auto" w:fill="CCEEFF"/>
          </w:tcPr>
          <w:p>
            <w:pPr>
              <w:spacing w:after="0"/>
              <w:rPr>
                <w:sz w:val="16"/>
                <w:szCs w:val="16"/>
                <w:color w:val="auto"/>
              </w:rPr>
            </w:pPr>
          </w:p>
        </w:tc>
        <w:tc>
          <w:tcPr>
            <w:tcW w:w="8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920</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0" w:type="dxa"/>
            <w:vAlign w:val="bottom"/>
            <w:shd w:val="clear" w:color="auto" w:fill="CCEEFF"/>
          </w:tcPr>
          <w:p>
            <w:pPr>
              <w:spacing w:after="0"/>
              <w:rPr>
                <w:sz w:val="16"/>
                <w:szCs w:val="16"/>
                <w:color w:val="auto"/>
              </w:rPr>
            </w:pPr>
          </w:p>
        </w:tc>
        <w:tc>
          <w:tcPr>
            <w:tcW w:w="1220" w:type="dxa"/>
            <w:vAlign w:val="bottom"/>
            <w:gridSpan w:val="4"/>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920</w:t>
            </w: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w:t>
            </w:r>
          </w:p>
        </w:tc>
        <w:tc>
          <w:tcPr>
            <w:tcW w:w="280" w:type="dxa"/>
            <w:vAlign w:val="bottom"/>
            <w:gridSpan w:val="3"/>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(889)</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76"/>
        </w:trPr>
        <w:tc>
          <w:tcPr>
            <w:tcW w:w="4020" w:type="dxa"/>
            <w:vAlign w:val="bottom"/>
            <w:tcBorders>
              <w:bottom w:val="single" w:sz="8" w:color="CCEEFF"/>
            </w:tcBorders>
            <w:gridSpan w:val="2"/>
          </w:tcPr>
          <w:p>
            <w:pPr>
              <w:ind w:left="100"/>
              <w:spacing w:after="0"/>
              <w:rPr>
                <w:sz w:val="20"/>
                <w:szCs w:val="20"/>
                <w:color w:val="auto"/>
              </w:rPr>
            </w:pPr>
            <w:r>
              <w:rPr>
                <w:rFonts w:ascii="Arial" w:cs="Arial" w:eastAsia="Arial" w:hAnsi="Arial"/>
                <w:sz w:val="10"/>
                <w:szCs w:val="10"/>
                <w:color w:val="auto"/>
              </w:rPr>
              <w:t>Repurchase agreements</w:t>
            </w:r>
          </w:p>
        </w:tc>
        <w:tc>
          <w:tcPr>
            <w:tcW w:w="12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82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45,507</w:t>
            </w:r>
          </w:p>
        </w:tc>
        <w:tc>
          <w:tcPr>
            <w:tcW w:w="120" w:type="dxa"/>
            <w:vAlign w:val="bottom"/>
            <w:tcBorders>
              <w:bottom w:val="single" w:sz="8" w:color="CCEEFF"/>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110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w:t>
            </w:r>
          </w:p>
        </w:tc>
        <w:tc>
          <w:tcPr>
            <w:tcW w:w="100" w:type="dxa"/>
            <w:vAlign w:val="bottom"/>
            <w:tcBorders>
              <w:bottom w:val="single" w:sz="8" w:color="CCEEFF"/>
            </w:tcBorders>
            <w:gridSpan w:val="2"/>
          </w:tcPr>
          <w:p>
            <w:pPr>
              <w:spacing w:after="0"/>
              <w:rPr>
                <w:sz w:val="15"/>
                <w:szCs w:val="15"/>
                <w:color w:val="auto"/>
              </w:rPr>
            </w:pPr>
          </w:p>
        </w:tc>
        <w:tc>
          <w:tcPr>
            <w:tcW w:w="2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10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45,507</w:t>
            </w:r>
          </w:p>
        </w:tc>
        <w:tc>
          <w:tcPr>
            <w:tcW w:w="20" w:type="dxa"/>
            <w:vAlign w:val="bottom"/>
            <w:tcBorders>
              <w:bottom w:val="single" w:sz="8" w:color="CCEEFF"/>
            </w:tcBorders>
          </w:tcPr>
          <w:p>
            <w:pPr>
              <w:spacing w:after="0"/>
              <w:rPr>
                <w:sz w:val="15"/>
                <w:szCs w:val="15"/>
                <w:color w:val="auto"/>
              </w:rPr>
            </w:pPr>
          </w:p>
        </w:tc>
        <w:tc>
          <w:tcPr>
            <w:tcW w:w="100" w:type="dxa"/>
            <w:vAlign w:val="bottom"/>
            <w:tcBorders>
              <w:bottom w:val="single" w:sz="8" w:color="CCEEFF"/>
            </w:tcBorders>
          </w:tcPr>
          <w:p>
            <w:pPr>
              <w:spacing w:after="0"/>
              <w:rPr>
                <w:sz w:val="15"/>
                <w:szCs w:val="15"/>
                <w:color w:val="auto"/>
              </w:rPr>
            </w:pPr>
          </w:p>
        </w:tc>
        <w:tc>
          <w:tcPr>
            <w:tcW w:w="2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9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(1,356)</w:t>
            </w:r>
          </w:p>
        </w:tc>
        <w:tc>
          <w:tcPr>
            <w:tcW w:w="80" w:type="dxa"/>
            <w:vAlign w:val="bottom"/>
            <w:tcBorders>
              <w:bottom w:val="single" w:sz="8" w:color="auto"/>
            </w:tcBorders>
          </w:tcPr>
          <w:p>
            <w:pPr>
              <w:spacing w:after="0"/>
              <w:rPr>
                <w:sz w:val="15"/>
                <w:szCs w:val="15"/>
                <w:color w:val="auto"/>
              </w:rPr>
            </w:pPr>
          </w:p>
        </w:tc>
        <w:tc>
          <w:tcPr>
            <w:tcW w:w="10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10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(44,151)</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940" w:type="dxa"/>
            <w:vAlign w:val="bottom"/>
            <w:tcBorders>
              <w:bottom w:val="single" w:sz="8" w:color="auto"/>
            </w:tcBorders>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75"/>
        </w:trPr>
        <w:tc>
          <w:tcPr>
            <w:tcW w:w="4020" w:type="dxa"/>
            <w:vAlign w:val="bottom"/>
            <w:gridSpan w:val="2"/>
            <w:shd w:val="clear" w:color="auto" w:fill="CCEEFF"/>
          </w:tcPr>
          <w:p>
            <w:pPr>
              <w:ind w:left="180"/>
              <w:spacing w:after="0"/>
              <w:rPr>
                <w:sz w:val="20"/>
                <w:szCs w:val="20"/>
                <w:color w:val="auto"/>
              </w:rPr>
            </w:pPr>
            <w:r>
              <w:rPr>
                <w:rFonts w:ascii="Arial" w:cs="Arial" w:eastAsia="Arial" w:hAnsi="Arial"/>
                <w:sz w:val="10"/>
                <w:szCs w:val="10"/>
                <w:color w:val="auto"/>
              </w:rPr>
              <w:t>Total</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00" w:type="dxa"/>
            <w:vAlign w:val="bottom"/>
            <w:shd w:val="clear" w:color="auto" w:fill="CCEEFF"/>
          </w:tcPr>
          <w:p>
            <w:pPr>
              <w:spacing w:after="0"/>
              <w:rPr>
                <w:sz w:val="15"/>
                <w:szCs w:val="15"/>
                <w:color w:val="auto"/>
              </w:rPr>
            </w:pPr>
          </w:p>
        </w:tc>
        <w:tc>
          <w:tcPr>
            <w:tcW w:w="8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46,427</w:t>
            </w: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0" w:type="dxa"/>
            <w:vAlign w:val="bottom"/>
            <w:shd w:val="clear" w:color="auto" w:fill="CCEEFF"/>
          </w:tcPr>
          <w:p>
            <w:pPr>
              <w:spacing w:after="0"/>
              <w:rPr>
                <w:sz w:val="15"/>
                <w:szCs w:val="15"/>
                <w:color w:val="auto"/>
              </w:rPr>
            </w:pPr>
          </w:p>
        </w:tc>
        <w:tc>
          <w:tcPr>
            <w:tcW w:w="1220" w:type="dxa"/>
            <w:vAlign w:val="bottom"/>
            <w:gridSpan w:val="4"/>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46,427</w:t>
            </w:r>
          </w:p>
        </w:tc>
        <w:tc>
          <w:tcPr>
            <w:tcW w:w="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(1,387)</w:t>
            </w:r>
          </w:p>
        </w:tc>
        <w:tc>
          <w:tcPr>
            <w:tcW w:w="280" w:type="dxa"/>
            <w:vAlign w:val="bottom"/>
            <w:gridSpan w:val="3"/>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(45,040)</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27"/>
        </w:trPr>
        <w:tc>
          <w:tcPr>
            <w:tcW w:w="3900" w:type="dxa"/>
            <w:vAlign w:val="bottom"/>
            <w:tcBorders>
              <w:top w:val="single" w:sz="8" w:color="CCEEFF"/>
            </w:tcBorders>
          </w:tcPr>
          <w:p>
            <w:pPr>
              <w:spacing w:after="0" w:line="127" w:lineRule="exact"/>
              <w:rPr>
                <w:sz w:val="20"/>
                <w:szCs w:val="20"/>
                <w:color w:val="auto"/>
              </w:rPr>
            </w:pPr>
            <w:r>
              <w:rPr>
                <w:rFonts w:ascii="Arial" w:cs="Arial" w:eastAsia="Arial" w:hAnsi="Arial"/>
                <w:sz w:val="12"/>
                <w:szCs w:val="12"/>
                <w:color w:val="auto"/>
              </w:rPr>
              <w:t>_______________________</w:t>
            </w:r>
          </w:p>
        </w:tc>
        <w:tc>
          <w:tcPr>
            <w:tcW w:w="120" w:type="dxa"/>
            <w:vAlign w:val="bottom"/>
            <w:tcBorders>
              <w:top w:val="single" w:sz="8" w:color="CCEEFF"/>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82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100" w:type="dxa"/>
            <w:vAlign w:val="bottom"/>
            <w:tcBorders>
              <w:top w:val="single" w:sz="8" w:color="auto"/>
            </w:tcBorders>
          </w:tcPr>
          <w:p>
            <w:pPr>
              <w:spacing w:after="0"/>
              <w:rPr>
                <w:sz w:val="11"/>
                <w:szCs w:val="11"/>
                <w:color w:val="auto"/>
              </w:rPr>
            </w:pPr>
          </w:p>
        </w:tc>
        <w:tc>
          <w:tcPr>
            <w:tcW w:w="20" w:type="dxa"/>
            <w:vAlign w:val="bottom"/>
            <w:tcBorders>
              <w:top w:val="single" w:sz="8" w:color="CCEEFF"/>
            </w:tcBorders>
          </w:tcPr>
          <w:p>
            <w:pPr>
              <w:spacing w:after="0"/>
              <w:rPr>
                <w:sz w:val="11"/>
                <w:szCs w:val="11"/>
                <w:color w:val="auto"/>
              </w:rPr>
            </w:pPr>
          </w:p>
        </w:tc>
        <w:tc>
          <w:tcPr>
            <w:tcW w:w="80" w:type="dxa"/>
            <w:vAlign w:val="bottom"/>
            <w:tcBorders>
              <w:top w:val="single" w:sz="8" w:color="CCEEFF"/>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1060" w:type="dxa"/>
            <w:vAlign w:val="bottom"/>
            <w:tcBorders>
              <w:top w:val="single" w:sz="8" w:color="auto"/>
            </w:tcBorders>
          </w:tcPr>
          <w:p>
            <w:pPr>
              <w:spacing w:after="0"/>
              <w:rPr>
                <w:sz w:val="11"/>
                <w:szCs w:val="11"/>
                <w:color w:val="auto"/>
              </w:rPr>
            </w:pPr>
          </w:p>
        </w:tc>
        <w:tc>
          <w:tcPr>
            <w:tcW w:w="20" w:type="dxa"/>
            <w:vAlign w:val="bottom"/>
            <w:tcBorders>
              <w:top w:val="single" w:sz="8" w:color="CCEEFF"/>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98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1040" w:type="dxa"/>
            <w:vAlign w:val="bottom"/>
            <w:tcBorders>
              <w:top w:val="single" w:sz="8" w:color="auto"/>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94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bl>
    <w:p>
      <w:pPr>
        <w:ind w:left="420" w:hanging="212"/>
        <w:spacing w:after="0" w:line="225" w:lineRule="auto"/>
        <w:tabs>
          <w:tab w:leader="none" w:pos="420" w:val="left"/>
        </w:tabs>
        <w:numPr>
          <w:ilvl w:val="0"/>
          <w:numId w:val="15"/>
        </w:numPr>
        <w:rPr>
          <w:rFonts w:ascii="Arial" w:cs="Arial" w:eastAsia="Arial" w:hAnsi="Arial"/>
          <w:sz w:val="10"/>
          <w:szCs w:val="10"/>
          <w:color w:val="auto"/>
        </w:rPr>
      </w:pPr>
      <w:r>
        <w:rPr>
          <w:rFonts w:ascii="Arial" w:cs="Arial" w:eastAsia="Arial" w:hAnsi="Arial"/>
          <w:sz w:val="10"/>
          <w:szCs w:val="10"/>
          <w:color w:val="auto"/>
        </w:rPr>
        <w:t>Reported under derivative assets / liabilities, at fair value in the accompanying consolidated balance sheets. Refer to Note 6 for a reconciliation of derivative assets / liabilities, at fair value to their sub-components.</w:t>
      </w:r>
    </w:p>
    <w:p>
      <w:pPr>
        <w:ind w:left="420" w:hanging="212"/>
        <w:spacing w:after="0" w:line="236" w:lineRule="auto"/>
        <w:tabs>
          <w:tab w:leader="none" w:pos="420" w:val="left"/>
        </w:tabs>
        <w:numPr>
          <w:ilvl w:val="0"/>
          <w:numId w:val="15"/>
        </w:numPr>
        <w:rPr>
          <w:rFonts w:ascii="Arial" w:cs="Arial" w:eastAsia="Arial" w:hAnsi="Arial"/>
          <w:sz w:val="10"/>
          <w:szCs w:val="10"/>
          <w:color w:val="auto"/>
        </w:rPr>
      </w:pPr>
      <w:r>
        <w:rPr>
          <w:rFonts w:ascii="Arial" w:cs="Arial" w:eastAsia="Arial" w:hAnsi="Arial"/>
          <w:sz w:val="10"/>
          <w:szCs w:val="10"/>
          <w:color w:val="auto"/>
        </w:rPr>
        <w:t>Includes cash and securities pledged / received as collateral, at fair value. Amounts presented are limited to collateral pledged sufficient to reduce the net amount to zero for individual counterparties, as applicable.</w:t>
      </w:r>
    </w:p>
    <w:p>
      <w:pPr>
        <w:spacing w:after="0" w:line="95"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8. Fair Value Measurements</w:t>
      </w:r>
    </w:p>
    <w:p>
      <w:pPr>
        <w:spacing w:after="0" w:line="154" w:lineRule="exact"/>
        <w:rPr>
          <w:sz w:val="20"/>
          <w:szCs w:val="20"/>
          <w:color w:val="auto"/>
        </w:rPr>
      </w:pPr>
    </w:p>
    <w:p>
      <w:pPr>
        <w:jc w:val="both"/>
        <w:ind w:firstLine="270"/>
        <w:spacing w:after="0" w:line="316" w:lineRule="auto"/>
        <w:rPr>
          <w:sz w:val="20"/>
          <w:szCs w:val="20"/>
          <w:color w:val="auto"/>
        </w:rPr>
      </w:pPr>
      <w:r>
        <w:rPr>
          <w:rFonts w:ascii="Arial" w:cs="Arial" w:eastAsia="Arial" w:hAnsi="Arial"/>
          <w:sz w:val="10"/>
          <w:szCs w:val="10"/>
          <w:color w:val="auto"/>
        </w:rPr>
        <w:t>We determine the fair value of our investment securities and debt of consolidated VIEs based upon fair value estimates obtained from multiple third party pricing services and dealers. In determining fair value, third party pricing sources use various valuation approaches, including market and income approaches. Factors used by third party sources in estimating the fair value of an instrument may include observable inputs such as coupons, primary and secondary mortgage rates, pricing information, credit data, volatility statistics, and other market data that are current as of the measurement date. The availability of observable inputs can vary by instrument and is affected by a wide variety of factors, including the type of instrument, whether the instrument is new and not yet established in the marketplace and other characteristics particular to the instrument. Third party pricing sources may also use certain unobservable inputs, such as assumptions of future levels of prepayment, defaults and foreclosures, especially when estimating fair values for securities with lower levels of recent trading activity. We make inquiries of third party pricing sources to understand the significant inputs and assumptions they used to determine their prices. For further information regarding valuation of our derivative instruments, please refer to the discussion of derivative and other hedging instruments in Note 3.</w:t>
      </w:r>
    </w:p>
    <w:p>
      <w:pPr>
        <w:spacing w:after="0" w:line="127" w:lineRule="exact"/>
        <w:rPr>
          <w:sz w:val="20"/>
          <w:szCs w:val="20"/>
          <w:color w:val="auto"/>
        </w:rPr>
      </w:pPr>
    </w:p>
    <w:p>
      <w:pPr>
        <w:jc w:val="both"/>
        <w:ind w:firstLine="270"/>
        <w:spacing w:after="0" w:line="276" w:lineRule="auto"/>
        <w:rPr>
          <w:sz w:val="20"/>
          <w:szCs w:val="20"/>
          <w:color w:val="auto"/>
        </w:rPr>
      </w:pPr>
      <w:r>
        <w:rPr>
          <w:rFonts w:ascii="Arial" w:cs="Arial" w:eastAsia="Arial" w:hAnsi="Arial"/>
          <w:sz w:val="12"/>
          <w:szCs w:val="12"/>
          <w:color w:val="auto"/>
        </w:rPr>
        <w:t>We review the various third party fair value estimates and perform procedures to validate their reasonableness, including an analysis of the range of third party estimates for each position, comparison to recent trade activity for similar securities, and</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23</w:t>
      </w:r>
    </w:p>
    <w:p>
      <w:pPr>
        <w:sectPr>
          <w:pgSz w:w="11900" w:h="16838" w:orient="portrait"/>
          <w:cols w:equalWidth="0" w:num="1">
            <w:col w:w="11480"/>
          </w:cols>
          <w:pgMar w:left="220" w:top="692" w:right="199" w:bottom="1440" w:gutter="0" w:footer="0" w:header="0"/>
        </w:sectPr>
      </w:pPr>
    </w:p>
    <w:bookmarkStart w:id="24" w:name="page25"/>
    <w:bookmarkEnd w:id="24"/>
    <w:p>
      <w:pPr>
        <w:jc w:val="both"/>
        <w:ind w:right="20"/>
        <w:spacing w:after="0" w:line="263" w:lineRule="auto"/>
        <w:rPr>
          <w:sz w:val="20"/>
          <w:szCs w:val="20"/>
          <w:color w:val="auto"/>
        </w:rPr>
      </w:pPr>
      <w:r>
        <w:rPr>
          <w:rFonts w:ascii="Arial" w:cs="Arial" w:eastAsia="Arial" w:hAnsi="Arial"/>
          <w:sz w:val="12"/>
          <w:szCs w:val="12"/>
          <w:color w:val="auto"/>
        </w:rPr>
        <w:t>management review for consistency with market conditions observed as of the measurement date. While we do not adjust prices we obtain from third party pricing sources, we will exclude third party prices for securities from our determination of fair value if we determine (based on our validation procedures and our market knowledge and expertise) that the price is significantly different from observable market data would indicate and we cannot obtain an understanding from the third party source as to the significant inputs used to determine the price.</w:t>
      </w:r>
    </w:p>
    <w:p>
      <w:pPr>
        <w:spacing w:after="0" w:line="150" w:lineRule="exact"/>
        <w:rPr>
          <w:sz w:val="20"/>
          <w:szCs w:val="20"/>
          <w:color w:val="auto"/>
        </w:rPr>
      </w:pPr>
    </w:p>
    <w:p>
      <w:pPr>
        <w:jc w:val="both"/>
        <w:ind w:firstLine="270"/>
        <w:spacing w:after="0" w:line="298" w:lineRule="auto"/>
        <w:rPr>
          <w:sz w:val="20"/>
          <w:szCs w:val="20"/>
          <w:color w:val="auto"/>
        </w:rPr>
      </w:pPr>
      <w:r>
        <w:rPr>
          <w:rFonts w:ascii="Arial" w:cs="Arial" w:eastAsia="Arial" w:hAnsi="Arial"/>
          <w:sz w:val="11"/>
          <w:szCs w:val="11"/>
          <w:color w:val="auto"/>
        </w:rPr>
        <w:t>The validation procedures described above also influence our determination of the appropriate fair value measurement classification. We utilize a three-level valuation hierarchy for disclosure of fair value measurement. The valuation hierarchy is based upon the transparency of inputs to the valuation of an asset or liability as of the measurement date. A financial instrument's categorization within the hierarchy is based upon the lowest level of input that is significant to the fair value measurement. There were no transfers between hierarchy levels during the three and nine months ended September 30, 2016. The three levels of hierarchy are defined as follows:</w:t>
      </w:r>
    </w:p>
    <w:p>
      <w:pPr>
        <w:spacing w:after="0" w:line="69" w:lineRule="exact"/>
        <w:rPr>
          <w:sz w:val="20"/>
          <w:szCs w:val="20"/>
          <w:color w:val="auto"/>
        </w:rPr>
      </w:pPr>
    </w:p>
    <w:p>
      <w:pPr>
        <w:ind w:left="420" w:hanging="212"/>
        <w:spacing w:after="0"/>
        <w:tabs>
          <w:tab w:leader="none" w:pos="420" w:val="left"/>
        </w:tabs>
        <w:numPr>
          <w:ilvl w:val="0"/>
          <w:numId w:val="16"/>
        </w:numPr>
        <w:rPr>
          <w:rFonts w:ascii="Arial" w:cs="Arial" w:eastAsia="Arial" w:hAnsi="Arial"/>
          <w:sz w:val="12"/>
          <w:szCs w:val="12"/>
          <w:color w:val="auto"/>
        </w:rPr>
      </w:pPr>
      <w:r>
        <w:rPr>
          <w:rFonts w:ascii="Arial" w:cs="Arial" w:eastAsia="Arial" w:hAnsi="Arial"/>
          <w:sz w:val="12"/>
          <w:szCs w:val="12"/>
          <w:color w:val="auto"/>
        </w:rPr>
        <w:t>Level 1 Inputs —Quoted prices (unadjusted) for identical unrestricted assets and liabilities in active markets that are accessible at the measurement date.</w:t>
      </w:r>
    </w:p>
    <w:p>
      <w:pPr>
        <w:spacing w:after="0" w:line="114" w:lineRule="exact"/>
        <w:rPr>
          <w:rFonts w:ascii="Arial" w:cs="Arial" w:eastAsia="Arial" w:hAnsi="Arial"/>
          <w:sz w:val="12"/>
          <w:szCs w:val="12"/>
          <w:color w:val="auto"/>
        </w:rPr>
      </w:pPr>
    </w:p>
    <w:p>
      <w:pPr>
        <w:ind w:left="420" w:hanging="212"/>
        <w:spacing w:after="0" w:line="276" w:lineRule="auto"/>
        <w:tabs>
          <w:tab w:leader="none" w:pos="420" w:val="left"/>
        </w:tabs>
        <w:numPr>
          <w:ilvl w:val="0"/>
          <w:numId w:val="16"/>
        </w:numPr>
        <w:rPr>
          <w:rFonts w:ascii="Arial" w:cs="Arial" w:eastAsia="Arial" w:hAnsi="Arial"/>
          <w:sz w:val="12"/>
          <w:szCs w:val="12"/>
          <w:color w:val="auto"/>
        </w:rPr>
      </w:pPr>
      <w:r>
        <w:rPr>
          <w:rFonts w:ascii="Arial" w:cs="Arial" w:eastAsia="Arial" w:hAnsi="Arial"/>
          <w:sz w:val="12"/>
          <w:szCs w:val="12"/>
          <w:color w:val="auto"/>
        </w:rPr>
        <w:t>Level 2 Inputs —Quoted prices for similar assets and liabilities in active markets; quoted prices for identical or similar instruments in markets that are not active; and model-derived valuations whose inputs are observable or whose significant value drivers are observable.</w:t>
      </w:r>
    </w:p>
    <w:p>
      <w:pPr>
        <w:spacing w:after="0" w:line="78" w:lineRule="exact"/>
        <w:rPr>
          <w:rFonts w:ascii="Arial" w:cs="Arial" w:eastAsia="Arial" w:hAnsi="Arial"/>
          <w:sz w:val="12"/>
          <w:szCs w:val="12"/>
          <w:color w:val="auto"/>
        </w:rPr>
      </w:pPr>
    </w:p>
    <w:p>
      <w:pPr>
        <w:ind w:left="420" w:hanging="212"/>
        <w:spacing w:after="0"/>
        <w:tabs>
          <w:tab w:leader="none" w:pos="420" w:val="left"/>
        </w:tabs>
        <w:numPr>
          <w:ilvl w:val="0"/>
          <w:numId w:val="16"/>
        </w:numPr>
        <w:rPr>
          <w:rFonts w:ascii="Arial" w:cs="Arial" w:eastAsia="Arial" w:hAnsi="Arial"/>
          <w:sz w:val="12"/>
          <w:szCs w:val="12"/>
          <w:color w:val="auto"/>
        </w:rPr>
      </w:pPr>
      <w:r>
        <w:rPr>
          <w:rFonts w:ascii="Arial" w:cs="Arial" w:eastAsia="Arial" w:hAnsi="Arial"/>
          <w:sz w:val="12"/>
          <w:szCs w:val="12"/>
          <w:color w:val="auto"/>
        </w:rPr>
        <w:t>Level 3 Inputs —Instruments with primarily unobservable market data that cannot be corroborated.</w:t>
      </w:r>
    </w:p>
    <w:p>
      <w:pPr>
        <w:spacing w:after="0" w:line="114"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provides a summary of our assets and liabilities that are measured at fair value on a recurring basis as of September 30, 2016 and December 31, 2015 (in millions):</w:t>
      </w: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4600" w:type="dxa"/>
            <w:vAlign w:val="bottom"/>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60" w:type="dxa"/>
            <w:vAlign w:val="bottom"/>
            <w:tcBorders>
              <w:bottom w:val="single" w:sz="8" w:color="auto"/>
            </w:tcBorders>
            <w:gridSpan w:val="2"/>
          </w:tcPr>
          <w:p>
            <w:pPr>
              <w:jc w:val="center"/>
              <w:ind w:right="220"/>
              <w:spacing w:after="0"/>
              <w:rPr>
                <w:sz w:val="20"/>
                <w:szCs w:val="20"/>
                <w:color w:val="auto"/>
              </w:rPr>
            </w:pPr>
            <w:r>
              <w:rPr>
                <w:rFonts w:ascii="Arial" w:cs="Arial" w:eastAsia="Arial" w:hAnsi="Arial"/>
                <w:sz w:val="10"/>
                <w:szCs w:val="10"/>
                <w:b w:val="1"/>
                <w:bCs w:val="1"/>
                <w:color w:val="auto"/>
                <w:w w:val="85"/>
              </w:rPr>
              <w:t>September 30, 2016</w:t>
            </w:r>
          </w:p>
        </w:tc>
        <w:tc>
          <w:tcPr>
            <w:tcW w:w="22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gridSpan w:val="2"/>
          </w:tcPr>
          <w:p>
            <w:pPr>
              <w:jc w:val="center"/>
              <w:ind w:right="180"/>
              <w:spacing w:after="0"/>
              <w:rPr>
                <w:sz w:val="20"/>
                <w:szCs w:val="20"/>
                <w:color w:val="auto"/>
              </w:rPr>
            </w:pPr>
            <w:r>
              <w:rPr>
                <w:rFonts w:ascii="Arial" w:cs="Arial" w:eastAsia="Arial" w:hAnsi="Arial"/>
                <w:sz w:val="10"/>
                <w:szCs w:val="10"/>
                <w:b w:val="1"/>
                <w:bCs w:val="1"/>
                <w:color w:val="auto"/>
                <w:w w:val="86"/>
              </w:rPr>
              <w:t>December 31, 2015</w:t>
            </w:r>
          </w:p>
        </w:tc>
        <w:tc>
          <w:tcPr>
            <w:tcW w:w="22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r>
      <w:tr>
        <w:trPr>
          <w:trHeight w:val="169"/>
        </w:trPr>
        <w:tc>
          <w:tcPr>
            <w:tcW w:w="460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0"/>
                <w:szCs w:val="10"/>
                <w:b w:val="1"/>
                <w:bCs w:val="1"/>
                <w:color w:val="auto"/>
              </w:rPr>
              <w:t>Level 1</w:t>
            </w:r>
          </w:p>
        </w:tc>
        <w:tc>
          <w:tcPr>
            <w:tcW w:w="3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0"/>
                <w:szCs w:val="10"/>
                <w:b w:val="1"/>
                <w:bCs w:val="1"/>
                <w:color w:val="auto"/>
                <w:w w:val="82"/>
              </w:rPr>
              <w:t>Level 2</w:t>
            </w:r>
          </w:p>
        </w:tc>
        <w:tc>
          <w:tcPr>
            <w:tcW w:w="220" w:type="dxa"/>
            <w:vAlign w:val="bottom"/>
          </w:tcPr>
          <w:p>
            <w:pPr>
              <w:spacing w:after="0"/>
              <w:rPr>
                <w:sz w:val="14"/>
                <w:szCs w:val="14"/>
                <w:color w:val="auto"/>
              </w:rPr>
            </w:pPr>
          </w:p>
        </w:tc>
        <w:tc>
          <w:tcPr>
            <w:tcW w:w="1060" w:type="dxa"/>
            <w:vAlign w:val="bottom"/>
            <w:gridSpan w:val="2"/>
          </w:tcPr>
          <w:p>
            <w:pPr>
              <w:ind w:left="160"/>
              <w:spacing w:after="0"/>
              <w:rPr>
                <w:sz w:val="20"/>
                <w:szCs w:val="20"/>
                <w:color w:val="auto"/>
              </w:rPr>
            </w:pPr>
            <w:r>
              <w:rPr>
                <w:rFonts w:ascii="Arial" w:cs="Arial" w:eastAsia="Arial" w:hAnsi="Arial"/>
                <w:sz w:val="10"/>
                <w:szCs w:val="10"/>
                <w:b w:val="1"/>
                <w:bCs w:val="1"/>
                <w:color w:val="auto"/>
              </w:rPr>
              <w:t>Level 3</w:t>
            </w:r>
          </w:p>
        </w:tc>
        <w:tc>
          <w:tcPr>
            <w:tcW w:w="220" w:type="dxa"/>
            <w:vAlign w:val="bottom"/>
          </w:tcPr>
          <w:p>
            <w:pPr>
              <w:spacing w:after="0"/>
              <w:rPr>
                <w:sz w:val="14"/>
                <w:szCs w:val="14"/>
                <w:color w:val="auto"/>
              </w:rPr>
            </w:pPr>
          </w:p>
        </w:tc>
        <w:tc>
          <w:tcPr>
            <w:tcW w:w="920" w:type="dxa"/>
            <w:vAlign w:val="bottom"/>
            <w:gridSpan w:val="2"/>
          </w:tcPr>
          <w:p>
            <w:pPr>
              <w:ind w:left="140"/>
              <w:spacing w:after="0"/>
              <w:rPr>
                <w:sz w:val="20"/>
                <w:szCs w:val="20"/>
                <w:color w:val="auto"/>
              </w:rPr>
            </w:pPr>
            <w:r>
              <w:rPr>
                <w:rFonts w:ascii="Arial" w:cs="Arial" w:eastAsia="Arial" w:hAnsi="Arial"/>
                <w:sz w:val="10"/>
                <w:szCs w:val="10"/>
                <w:b w:val="1"/>
                <w:bCs w:val="1"/>
                <w:color w:val="auto"/>
              </w:rPr>
              <w:t>Level 1</w:t>
            </w:r>
          </w:p>
        </w:tc>
        <w:tc>
          <w:tcPr>
            <w:tcW w:w="80" w:type="dxa"/>
            <w:vAlign w:val="bottom"/>
          </w:tcPr>
          <w:p>
            <w:pPr>
              <w:spacing w:after="0"/>
              <w:rPr>
                <w:sz w:val="14"/>
                <w:szCs w:val="14"/>
                <w:color w:val="auto"/>
              </w:rPr>
            </w:pPr>
          </w:p>
        </w:tc>
        <w:tc>
          <w:tcPr>
            <w:tcW w:w="1040" w:type="dxa"/>
            <w:vAlign w:val="bottom"/>
            <w:gridSpan w:val="2"/>
          </w:tcPr>
          <w:p>
            <w:pPr>
              <w:jc w:val="center"/>
              <w:ind w:right="200"/>
              <w:spacing w:after="0"/>
              <w:rPr>
                <w:sz w:val="20"/>
                <w:szCs w:val="20"/>
                <w:color w:val="auto"/>
              </w:rPr>
            </w:pPr>
            <w:r>
              <w:rPr>
                <w:rFonts w:ascii="Arial" w:cs="Arial" w:eastAsia="Arial" w:hAnsi="Arial"/>
                <w:sz w:val="10"/>
                <w:szCs w:val="10"/>
                <w:b w:val="1"/>
                <w:bCs w:val="1"/>
                <w:color w:val="auto"/>
                <w:w w:val="82"/>
              </w:rPr>
              <w:t>Level 2</w:t>
            </w:r>
          </w:p>
        </w:tc>
        <w:tc>
          <w:tcPr>
            <w:tcW w:w="220" w:type="dxa"/>
            <w:vAlign w:val="bottom"/>
          </w:tcPr>
          <w:p>
            <w:pPr>
              <w:spacing w:after="0"/>
              <w:rPr>
                <w:sz w:val="14"/>
                <w:szCs w:val="14"/>
                <w:color w:val="auto"/>
              </w:rPr>
            </w:pPr>
          </w:p>
        </w:tc>
        <w:tc>
          <w:tcPr>
            <w:tcW w:w="800" w:type="dxa"/>
            <w:vAlign w:val="bottom"/>
          </w:tcPr>
          <w:p>
            <w:pPr>
              <w:ind w:left="140"/>
              <w:spacing w:after="0"/>
              <w:rPr>
                <w:sz w:val="20"/>
                <w:szCs w:val="20"/>
                <w:color w:val="auto"/>
              </w:rPr>
            </w:pPr>
            <w:r>
              <w:rPr>
                <w:rFonts w:ascii="Arial" w:cs="Arial" w:eastAsia="Arial" w:hAnsi="Arial"/>
                <w:sz w:val="10"/>
                <w:szCs w:val="10"/>
                <w:b w:val="1"/>
                <w:bCs w:val="1"/>
                <w:color w:val="auto"/>
              </w:rPr>
              <w:t>Level 3</w:t>
            </w:r>
          </w:p>
        </w:tc>
      </w:tr>
      <w:tr>
        <w:trPr>
          <w:trHeight w:val="173"/>
        </w:trPr>
        <w:tc>
          <w:tcPr>
            <w:tcW w:w="460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Assets:</w:t>
            </w:r>
          </w:p>
        </w:tc>
        <w:tc>
          <w:tcPr>
            <w:tcW w:w="680" w:type="dxa"/>
            <w:vAlign w:val="bottom"/>
            <w:tcBorders>
              <w:top w:val="single" w:sz="8" w:color="auto"/>
            </w:tcBorders>
            <w:shd w:val="clear" w:color="auto" w:fill="CCEEFF"/>
          </w:tcPr>
          <w:p>
            <w:pPr>
              <w:spacing w:after="0"/>
              <w:rPr>
                <w:sz w:val="15"/>
                <w:szCs w:val="15"/>
                <w:color w:val="auto"/>
              </w:rPr>
            </w:pPr>
          </w:p>
        </w:tc>
        <w:tc>
          <w:tcPr>
            <w:tcW w:w="36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9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24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8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9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800" w:type="dxa"/>
            <w:vAlign w:val="bottom"/>
            <w:tcBorders>
              <w:top w:val="single" w:sz="8" w:color="auto"/>
            </w:tcBorders>
            <w:shd w:val="clear" w:color="auto" w:fill="CCEEFF"/>
          </w:tcPr>
          <w:p>
            <w:pPr>
              <w:spacing w:after="0"/>
              <w:rPr>
                <w:sz w:val="15"/>
                <w:szCs w:val="15"/>
                <w:color w:val="auto"/>
              </w:rPr>
            </w:pPr>
          </w:p>
        </w:tc>
      </w:tr>
      <w:tr>
        <w:trPr>
          <w:trHeight w:val="176"/>
        </w:trPr>
        <w:tc>
          <w:tcPr>
            <w:tcW w:w="4600" w:type="dxa"/>
            <w:vAlign w:val="bottom"/>
          </w:tcPr>
          <w:p>
            <w:pPr>
              <w:ind w:left="120"/>
              <w:spacing w:after="0"/>
              <w:rPr>
                <w:sz w:val="20"/>
                <w:szCs w:val="20"/>
                <w:color w:val="auto"/>
              </w:rPr>
            </w:pPr>
            <w:r>
              <w:rPr>
                <w:rFonts w:ascii="Arial" w:cs="Arial" w:eastAsia="Arial" w:hAnsi="Arial"/>
                <w:sz w:val="10"/>
                <w:szCs w:val="10"/>
                <w:color w:val="auto"/>
              </w:rPr>
              <w:t>Agency securities</w:t>
            </w:r>
          </w:p>
        </w:tc>
        <w:tc>
          <w:tcPr>
            <w:tcW w:w="680" w:type="dxa"/>
            <w:vAlign w:val="bottom"/>
          </w:tcPr>
          <w:p>
            <w:pPr>
              <w:jc w:val="right"/>
              <w:ind w:right="572"/>
              <w:spacing w:after="0"/>
              <w:rPr>
                <w:sz w:val="20"/>
                <w:szCs w:val="20"/>
                <w:color w:val="auto"/>
              </w:rPr>
            </w:pPr>
            <w:r>
              <w:rPr>
                <w:rFonts w:ascii="Arial" w:cs="Arial" w:eastAsia="Arial" w:hAnsi="Arial"/>
                <w:sz w:val="10"/>
                <w:szCs w:val="10"/>
                <w:color w:val="auto"/>
                <w:w w:val="71"/>
              </w:rPr>
              <w:t>$</w:t>
            </w:r>
          </w:p>
        </w:tc>
        <w:tc>
          <w:tcPr>
            <w:tcW w:w="4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46,328</w:t>
            </w:r>
          </w:p>
        </w:tc>
        <w:tc>
          <w:tcPr>
            <w:tcW w:w="120" w:type="dxa"/>
            <w:vAlign w:val="bottom"/>
          </w:tcPr>
          <w:p>
            <w:pPr>
              <w:spacing w:after="0"/>
              <w:rPr>
                <w:sz w:val="15"/>
                <w:szCs w:val="15"/>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1060" w:type="dxa"/>
            <w:vAlign w:val="bottom"/>
            <w:gridSpan w:val="2"/>
          </w:tcPr>
          <w:p>
            <w:pPr>
              <w:ind w:left="620"/>
              <w:spacing w:after="0"/>
              <w:rPr>
                <w:sz w:val="20"/>
                <w:szCs w:val="20"/>
                <w:color w:val="auto"/>
              </w:rPr>
            </w:pPr>
            <w:r>
              <w:rPr>
                <w:rFonts w:ascii="Arial" w:cs="Arial" w:eastAsia="Arial" w:hAnsi="Arial"/>
                <w:sz w:val="10"/>
                <w:szCs w:val="10"/>
                <w:color w:val="auto"/>
              </w:rPr>
              <w:t>—</w:t>
            </w: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92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51,331</w:t>
            </w:r>
          </w:p>
        </w:tc>
        <w:tc>
          <w:tcPr>
            <w:tcW w:w="100" w:type="dxa"/>
            <w:vAlign w:val="bottom"/>
          </w:tcPr>
          <w:p>
            <w:pPr>
              <w:spacing w:after="0"/>
              <w:rPr>
                <w:sz w:val="15"/>
                <w:szCs w:val="15"/>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800" w:type="dxa"/>
            <w:vAlign w:val="bottom"/>
          </w:tcPr>
          <w:p>
            <w:pPr>
              <w:ind w:left="600"/>
              <w:spacing w:after="0"/>
              <w:rPr>
                <w:sz w:val="20"/>
                <w:szCs w:val="20"/>
                <w:color w:val="auto"/>
              </w:rPr>
            </w:pPr>
            <w:r>
              <w:rPr>
                <w:rFonts w:ascii="Arial" w:cs="Arial" w:eastAsia="Arial" w:hAnsi="Arial"/>
                <w:sz w:val="10"/>
                <w:szCs w:val="10"/>
                <w:color w:val="auto"/>
              </w:rPr>
              <w:t>—</w:t>
            </w:r>
          </w:p>
        </w:tc>
      </w:tr>
      <w:tr>
        <w:trPr>
          <w:trHeight w:val="184"/>
        </w:trPr>
        <w:tc>
          <w:tcPr>
            <w:tcW w:w="46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Agency securities transferred to consolidated VIEs</w:t>
            </w:r>
          </w:p>
        </w:tc>
        <w:tc>
          <w:tcPr>
            <w:tcW w:w="680" w:type="dxa"/>
            <w:vAlign w:val="bottom"/>
            <w:shd w:val="clear" w:color="auto" w:fill="CCEEFF"/>
          </w:tcPr>
          <w:p>
            <w:pPr>
              <w:spacing w:after="0"/>
              <w:rPr>
                <w:sz w:val="16"/>
                <w:szCs w:val="16"/>
                <w:color w:val="auto"/>
              </w:rPr>
            </w:pPr>
          </w:p>
        </w:tc>
        <w:tc>
          <w:tcPr>
            <w:tcW w:w="48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6"/>
                <w:szCs w:val="16"/>
                <w:color w:val="auto"/>
              </w:rPr>
            </w:pPr>
          </w:p>
        </w:tc>
        <w:tc>
          <w:tcPr>
            <w:tcW w:w="9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890</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ind w:left="6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6"/>
                <w:szCs w:val="16"/>
                <w:color w:val="auto"/>
              </w:rPr>
            </w:pPr>
          </w:p>
        </w:tc>
        <w:tc>
          <w:tcPr>
            <w:tcW w:w="9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1,029</w:t>
            </w:r>
          </w:p>
        </w:tc>
        <w:tc>
          <w:tcPr>
            <w:tcW w:w="1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ind w:left="600"/>
              <w:spacing w:after="0"/>
              <w:rPr>
                <w:sz w:val="20"/>
                <w:szCs w:val="20"/>
                <w:color w:val="auto"/>
              </w:rPr>
            </w:pPr>
            <w:r>
              <w:rPr>
                <w:rFonts w:ascii="Arial" w:cs="Arial" w:eastAsia="Arial" w:hAnsi="Arial"/>
                <w:sz w:val="10"/>
                <w:szCs w:val="10"/>
                <w:color w:val="auto"/>
              </w:rPr>
              <w:t>—</w:t>
            </w:r>
          </w:p>
        </w:tc>
      </w:tr>
      <w:tr>
        <w:trPr>
          <w:trHeight w:val="176"/>
        </w:trPr>
        <w:tc>
          <w:tcPr>
            <w:tcW w:w="4600" w:type="dxa"/>
            <w:vAlign w:val="bottom"/>
          </w:tcPr>
          <w:p>
            <w:pPr>
              <w:ind w:left="120"/>
              <w:spacing w:after="0"/>
              <w:rPr>
                <w:sz w:val="20"/>
                <w:szCs w:val="20"/>
                <w:color w:val="auto"/>
              </w:rPr>
            </w:pPr>
            <w:r>
              <w:rPr>
                <w:rFonts w:ascii="Arial" w:cs="Arial" w:eastAsia="Arial" w:hAnsi="Arial"/>
                <w:sz w:val="10"/>
                <w:szCs w:val="10"/>
                <w:color w:val="auto"/>
              </w:rPr>
              <w:t>Non-agency securities</w:t>
            </w:r>
          </w:p>
        </w:tc>
        <w:tc>
          <w:tcPr>
            <w:tcW w:w="680" w:type="dxa"/>
            <w:vAlign w:val="bottom"/>
          </w:tcPr>
          <w:p>
            <w:pPr>
              <w:spacing w:after="0"/>
              <w:rPr>
                <w:sz w:val="15"/>
                <w:szCs w:val="15"/>
                <w:color w:val="auto"/>
              </w:rPr>
            </w:pPr>
          </w:p>
        </w:tc>
        <w:tc>
          <w:tcPr>
            <w:tcW w:w="4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102</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60" w:type="dxa"/>
            <w:vAlign w:val="bottom"/>
            <w:gridSpan w:val="2"/>
          </w:tcPr>
          <w:p>
            <w:pPr>
              <w:ind w:left="62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5"/>
                <w:szCs w:val="15"/>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5"/>
                <w:szCs w:val="15"/>
                <w:color w:val="auto"/>
              </w:rPr>
            </w:pP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113</w:t>
            </w: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0" w:type="dxa"/>
            <w:vAlign w:val="bottom"/>
          </w:tcPr>
          <w:p>
            <w:pPr>
              <w:ind w:left="600"/>
              <w:spacing w:after="0"/>
              <w:rPr>
                <w:sz w:val="20"/>
                <w:szCs w:val="20"/>
                <w:color w:val="auto"/>
              </w:rPr>
            </w:pPr>
            <w:r>
              <w:rPr>
                <w:rFonts w:ascii="Arial" w:cs="Arial" w:eastAsia="Arial" w:hAnsi="Arial"/>
                <w:sz w:val="10"/>
                <w:szCs w:val="10"/>
                <w:color w:val="auto"/>
              </w:rPr>
              <w:t>—</w:t>
            </w:r>
          </w:p>
        </w:tc>
      </w:tr>
      <w:tr>
        <w:trPr>
          <w:trHeight w:val="184"/>
        </w:trPr>
        <w:tc>
          <w:tcPr>
            <w:tcW w:w="46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Credit risk transfer securities</w:t>
            </w:r>
          </w:p>
        </w:tc>
        <w:tc>
          <w:tcPr>
            <w:tcW w:w="680" w:type="dxa"/>
            <w:vAlign w:val="bottom"/>
            <w:shd w:val="clear" w:color="auto" w:fill="CCEEFF"/>
          </w:tcPr>
          <w:p>
            <w:pPr>
              <w:spacing w:after="0"/>
              <w:rPr>
                <w:sz w:val="16"/>
                <w:szCs w:val="16"/>
                <w:color w:val="auto"/>
              </w:rPr>
            </w:pPr>
          </w:p>
        </w:tc>
        <w:tc>
          <w:tcPr>
            <w:tcW w:w="48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6"/>
                <w:szCs w:val="16"/>
                <w:color w:val="auto"/>
              </w:rPr>
            </w:pPr>
          </w:p>
        </w:tc>
        <w:tc>
          <w:tcPr>
            <w:tcW w:w="9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36</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ind w:left="6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ind w:left="600"/>
              <w:spacing w:after="0"/>
              <w:rPr>
                <w:sz w:val="20"/>
                <w:szCs w:val="20"/>
                <w:color w:val="auto"/>
              </w:rPr>
            </w:pPr>
            <w:r>
              <w:rPr>
                <w:rFonts w:ascii="Arial" w:cs="Arial" w:eastAsia="Arial" w:hAnsi="Arial"/>
                <w:sz w:val="10"/>
                <w:szCs w:val="10"/>
                <w:color w:val="auto"/>
              </w:rPr>
              <w:t>—</w:t>
            </w:r>
          </w:p>
        </w:tc>
      </w:tr>
      <w:tr>
        <w:trPr>
          <w:trHeight w:val="176"/>
        </w:trPr>
        <w:tc>
          <w:tcPr>
            <w:tcW w:w="4600" w:type="dxa"/>
            <w:vAlign w:val="bottom"/>
          </w:tcPr>
          <w:p>
            <w:pPr>
              <w:ind w:left="120"/>
              <w:spacing w:after="0"/>
              <w:rPr>
                <w:sz w:val="20"/>
                <w:szCs w:val="20"/>
                <w:color w:val="auto"/>
              </w:rPr>
            </w:pPr>
            <w:r>
              <w:rPr>
                <w:rFonts w:ascii="Arial" w:cs="Arial" w:eastAsia="Arial" w:hAnsi="Arial"/>
                <w:sz w:val="10"/>
                <w:szCs w:val="10"/>
                <w:color w:val="auto"/>
              </w:rPr>
              <w:t>U.S. Treasury securities</w:t>
            </w:r>
          </w:p>
        </w:tc>
        <w:tc>
          <w:tcPr>
            <w:tcW w:w="680" w:type="dxa"/>
            <w:vAlign w:val="bottom"/>
          </w:tcPr>
          <w:p>
            <w:pPr>
              <w:spacing w:after="0"/>
              <w:rPr>
                <w:sz w:val="15"/>
                <w:szCs w:val="15"/>
                <w:color w:val="auto"/>
              </w:rPr>
            </w:pPr>
          </w:p>
        </w:tc>
        <w:tc>
          <w:tcPr>
            <w:tcW w:w="360" w:type="dxa"/>
            <w:vAlign w:val="bottom"/>
          </w:tcPr>
          <w:p>
            <w:pPr>
              <w:jc w:val="right"/>
              <w:ind w:right="72"/>
              <w:spacing w:after="0"/>
              <w:rPr>
                <w:sz w:val="20"/>
                <w:szCs w:val="20"/>
                <w:color w:val="auto"/>
              </w:rPr>
            </w:pPr>
            <w:r>
              <w:rPr>
                <w:rFonts w:ascii="Arial" w:cs="Arial" w:eastAsia="Arial" w:hAnsi="Arial"/>
                <w:sz w:val="10"/>
                <w:szCs w:val="10"/>
                <w:color w:val="auto"/>
              </w:rPr>
              <w:t>45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6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5"/>
                <w:szCs w:val="15"/>
                <w:color w:val="auto"/>
              </w:rPr>
            </w:pPr>
          </w:p>
        </w:tc>
        <w:tc>
          <w:tcPr>
            <w:tcW w:w="1060" w:type="dxa"/>
            <w:vAlign w:val="bottom"/>
            <w:gridSpan w:val="2"/>
          </w:tcPr>
          <w:p>
            <w:pPr>
              <w:ind w:left="62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5"/>
                <w:szCs w:val="15"/>
                <w:color w:val="auto"/>
              </w:rPr>
            </w:pPr>
          </w:p>
        </w:tc>
        <w:tc>
          <w:tcPr>
            <w:tcW w:w="800" w:type="dxa"/>
            <w:vAlign w:val="bottom"/>
          </w:tcPr>
          <w:p>
            <w:pPr>
              <w:jc w:val="right"/>
              <w:ind w:right="52"/>
              <w:spacing w:after="0"/>
              <w:rPr>
                <w:sz w:val="20"/>
                <w:szCs w:val="20"/>
                <w:color w:val="auto"/>
              </w:rPr>
            </w:pPr>
            <w:r>
              <w:rPr>
                <w:rFonts w:ascii="Arial" w:cs="Arial" w:eastAsia="Arial" w:hAnsi="Arial"/>
                <w:sz w:val="10"/>
                <w:szCs w:val="10"/>
                <w:color w:val="auto"/>
              </w:rPr>
              <w:t>25</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5"/>
                <w:szCs w:val="15"/>
                <w:color w:val="auto"/>
              </w:rPr>
            </w:pPr>
          </w:p>
        </w:tc>
        <w:tc>
          <w:tcPr>
            <w:tcW w:w="800" w:type="dxa"/>
            <w:vAlign w:val="bottom"/>
          </w:tcPr>
          <w:p>
            <w:pPr>
              <w:ind w:left="600"/>
              <w:spacing w:after="0"/>
              <w:rPr>
                <w:sz w:val="20"/>
                <w:szCs w:val="20"/>
                <w:color w:val="auto"/>
              </w:rPr>
            </w:pPr>
            <w:r>
              <w:rPr>
                <w:rFonts w:ascii="Arial" w:cs="Arial" w:eastAsia="Arial" w:hAnsi="Arial"/>
                <w:sz w:val="10"/>
                <w:szCs w:val="10"/>
                <w:color w:val="auto"/>
              </w:rPr>
              <w:t>—</w:t>
            </w:r>
          </w:p>
        </w:tc>
      </w:tr>
      <w:tr>
        <w:trPr>
          <w:trHeight w:val="184"/>
        </w:trPr>
        <w:tc>
          <w:tcPr>
            <w:tcW w:w="46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Interest rate swaps</w:t>
            </w:r>
          </w:p>
        </w:tc>
        <w:tc>
          <w:tcPr>
            <w:tcW w:w="680" w:type="dxa"/>
            <w:vAlign w:val="bottom"/>
            <w:shd w:val="clear" w:color="auto" w:fill="CCEEFF"/>
          </w:tcPr>
          <w:p>
            <w:pPr>
              <w:spacing w:after="0"/>
              <w:rPr>
                <w:sz w:val="16"/>
                <w:szCs w:val="16"/>
                <w:color w:val="auto"/>
              </w:rPr>
            </w:pPr>
          </w:p>
        </w:tc>
        <w:tc>
          <w:tcPr>
            <w:tcW w:w="48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6"/>
                <w:szCs w:val="16"/>
                <w:color w:val="auto"/>
              </w:rPr>
            </w:pPr>
          </w:p>
        </w:tc>
        <w:tc>
          <w:tcPr>
            <w:tcW w:w="9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ind w:left="6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6"/>
                <w:szCs w:val="16"/>
                <w:color w:val="auto"/>
              </w:rPr>
            </w:pPr>
          </w:p>
        </w:tc>
        <w:tc>
          <w:tcPr>
            <w:tcW w:w="9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31</w:t>
            </w:r>
          </w:p>
        </w:tc>
        <w:tc>
          <w:tcPr>
            <w:tcW w:w="1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ind w:left="600"/>
              <w:spacing w:after="0"/>
              <w:rPr>
                <w:sz w:val="20"/>
                <w:szCs w:val="20"/>
                <w:color w:val="auto"/>
              </w:rPr>
            </w:pPr>
            <w:r>
              <w:rPr>
                <w:rFonts w:ascii="Arial" w:cs="Arial" w:eastAsia="Arial" w:hAnsi="Arial"/>
                <w:sz w:val="10"/>
                <w:szCs w:val="10"/>
                <w:color w:val="auto"/>
              </w:rPr>
              <w:t>—</w:t>
            </w:r>
          </w:p>
        </w:tc>
      </w:tr>
      <w:tr>
        <w:trPr>
          <w:trHeight w:val="176"/>
        </w:trPr>
        <w:tc>
          <w:tcPr>
            <w:tcW w:w="4600" w:type="dxa"/>
            <w:vAlign w:val="bottom"/>
          </w:tcPr>
          <w:p>
            <w:pPr>
              <w:ind w:left="120"/>
              <w:spacing w:after="0"/>
              <w:rPr>
                <w:sz w:val="20"/>
                <w:szCs w:val="20"/>
                <w:color w:val="auto"/>
              </w:rPr>
            </w:pPr>
            <w:r>
              <w:rPr>
                <w:rFonts w:ascii="Arial" w:cs="Arial" w:eastAsia="Arial" w:hAnsi="Arial"/>
                <w:sz w:val="10"/>
                <w:szCs w:val="10"/>
                <w:color w:val="auto"/>
              </w:rPr>
              <w:t>Swaptions</w:t>
            </w:r>
          </w:p>
        </w:tc>
        <w:tc>
          <w:tcPr>
            <w:tcW w:w="680" w:type="dxa"/>
            <w:vAlign w:val="bottom"/>
          </w:tcPr>
          <w:p>
            <w:pPr>
              <w:spacing w:after="0"/>
              <w:rPr>
                <w:sz w:val="15"/>
                <w:szCs w:val="15"/>
                <w:color w:val="auto"/>
              </w:rPr>
            </w:pPr>
          </w:p>
        </w:tc>
        <w:tc>
          <w:tcPr>
            <w:tcW w:w="4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6</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60" w:type="dxa"/>
            <w:vAlign w:val="bottom"/>
            <w:gridSpan w:val="2"/>
          </w:tcPr>
          <w:p>
            <w:pPr>
              <w:ind w:left="62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5"/>
                <w:szCs w:val="15"/>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5"/>
                <w:szCs w:val="15"/>
                <w:color w:val="auto"/>
              </w:rPr>
            </w:pP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17</w:t>
            </w: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0" w:type="dxa"/>
            <w:vAlign w:val="bottom"/>
          </w:tcPr>
          <w:p>
            <w:pPr>
              <w:ind w:left="600"/>
              <w:spacing w:after="0"/>
              <w:rPr>
                <w:sz w:val="20"/>
                <w:szCs w:val="20"/>
                <w:color w:val="auto"/>
              </w:rPr>
            </w:pPr>
            <w:r>
              <w:rPr>
                <w:rFonts w:ascii="Arial" w:cs="Arial" w:eastAsia="Arial" w:hAnsi="Arial"/>
                <w:sz w:val="10"/>
                <w:szCs w:val="10"/>
                <w:color w:val="auto"/>
              </w:rPr>
              <w:t>—</w:t>
            </w:r>
          </w:p>
        </w:tc>
      </w:tr>
      <w:tr>
        <w:trPr>
          <w:trHeight w:val="184"/>
        </w:trPr>
        <w:tc>
          <w:tcPr>
            <w:tcW w:w="46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REIT equity securities</w:t>
            </w:r>
          </w:p>
        </w:tc>
        <w:tc>
          <w:tcPr>
            <w:tcW w:w="680" w:type="dxa"/>
            <w:vAlign w:val="bottom"/>
            <w:shd w:val="clear" w:color="auto" w:fill="CCEEFF"/>
          </w:tcPr>
          <w:p>
            <w:pPr>
              <w:spacing w:after="0"/>
              <w:rPr>
                <w:sz w:val="16"/>
                <w:szCs w:val="16"/>
                <w:color w:val="auto"/>
              </w:rPr>
            </w:pPr>
          </w:p>
        </w:tc>
        <w:tc>
          <w:tcPr>
            <w:tcW w:w="48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ind w:left="6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33</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ind w:left="600"/>
              <w:spacing w:after="0"/>
              <w:rPr>
                <w:sz w:val="20"/>
                <w:szCs w:val="20"/>
                <w:color w:val="auto"/>
              </w:rPr>
            </w:pPr>
            <w:r>
              <w:rPr>
                <w:rFonts w:ascii="Arial" w:cs="Arial" w:eastAsia="Arial" w:hAnsi="Arial"/>
                <w:sz w:val="10"/>
                <w:szCs w:val="10"/>
                <w:color w:val="auto"/>
              </w:rPr>
              <w:t>—</w:t>
            </w:r>
          </w:p>
        </w:tc>
      </w:tr>
      <w:tr>
        <w:trPr>
          <w:trHeight w:val="176"/>
        </w:trPr>
        <w:tc>
          <w:tcPr>
            <w:tcW w:w="4600" w:type="dxa"/>
            <w:vAlign w:val="bottom"/>
          </w:tcPr>
          <w:p>
            <w:pPr>
              <w:ind w:left="120"/>
              <w:spacing w:after="0"/>
              <w:rPr>
                <w:sz w:val="20"/>
                <w:szCs w:val="20"/>
                <w:color w:val="auto"/>
              </w:rPr>
            </w:pPr>
            <w:r>
              <w:rPr>
                <w:rFonts w:ascii="Arial" w:cs="Arial" w:eastAsia="Arial" w:hAnsi="Arial"/>
                <w:sz w:val="10"/>
                <w:szCs w:val="10"/>
                <w:color w:val="auto"/>
              </w:rPr>
              <w:t>TBA securities</w:t>
            </w:r>
          </w:p>
        </w:tc>
        <w:tc>
          <w:tcPr>
            <w:tcW w:w="680" w:type="dxa"/>
            <w:vAlign w:val="bottom"/>
          </w:tcPr>
          <w:p>
            <w:pPr>
              <w:spacing w:after="0"/>
              <w:rPr>
                <w:sz w:val="15"/>
                <w:szCs w:val="15"/>
                <w:color w:val="auto"/>
              </w:rPr>
            </w:pPr>
          </w:p>
        </w:tc>
        <w:tc>
          <w:tcPr>
            <w:tcW w:w="4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50</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60" w:type="dxa"/>
            <w:vAlign w:val="bottom"/>
            <w:gridSpan w:val="2"/>
          </w:tcPr>
          <w:p>
            <w:pPr>
              <w:ind w:left="62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5"/>
                <w:szCs w:val="15"/>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5"/>
                <w:szCs w:val="15"/>
                <w:color w:val="auto"/>
              </w:rPr>
            </w:pP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29</w:t>
            </w: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0" w:type="dxa"/>
            <w:vAlign w:val="bottom"/>
          </w:tcPr>
          <w:p>
            <w:pPr>
              <w:ind w:left="600"/>
              <w:spacing w:after="0"/>
              <w:rPr>
                <w:sz w:val="20"/>
                <w:szCs w:val="20"/>
                <w:color w:val="auto"/>
              </w:rPr>
            </w:pPr>
            <w:r>
              <w:rPr>
                <w:rFonts w:ascii="Arial" w:cs="Arial" w:eastAsia="Arial" w:hAnsi="Arial"/>
                <w:sz w:val="10"/>
                <w:szCs w:val="10"/>
                <w:color w:val="auto"/>
              </w:rPr>
              <w:t>—</w:t>
            </w:r>
          </w:p>
        </w:tc>
      </w:tr>
      <w:tr>
        <w:trPr>
          <w:trHeight w:val="180"/>
        </w:trPr>
        <w:tc>
          <w:tcPr>
            <w:tcW w:w="46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U.S. Treasury futures</w:t>
            </w:r>
          </w:p>
        </w:tc>
        <w:tc>
          <w:tcPr>
            <w:tcW w:w="680" w:type="dxa"/>
            <w:vAlign w:val="bottom"/>
            <w:tcBorders>
              <w:bottom w:val="single" w:sz="8" w:color="auto"/>
            </w:tcBorders>
            <w:shd w:val="clear" w:color="auto" w:fill="CCEEFF"/>
          </w:tcPr>
          <w:p>
            <w:pPr>
              <w:spacing w:after="0"/>
              <w:rPr>
                <w:sz w:val="15"/>
                <w:szCs w:val="15"/>
                <w:color w:val="auto"/>
              </w:rPr>
            </w:pPr>
          </w:p>
        </w:tc>
        <w:tc>
          <w:tcPr>
            <w:tcW w:w="36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9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820" w:type="dxa"/>
            <w:vAlign w:val="bottom"/>
            <w:tcBorders>
              <w:bottom w:val="single" w:sz="8" w:color="auto"/>
            </w:tcBorders>
            <w:shd w:val="clear" w:color="auto" w:fill="CCEEFF"/>
          </w:tcPr>
          <w:p>
            <w:pPr>
              <w:ind w:left="620"/>
              <w:spacing w:after="0"/>
              <w:rPr>
                <w:sz w:val="20"/>
                <w:szCs w:val="20"/>
                <w:color w:val="auto"/>
              </w:rPr>
            </w:pPr>
            <w:r>
              <w:rPr>
                <w:rFonts w:ascii="Arial" w:cs="Arial" w:eastAsia="Arial" w:hAnsi="Arial"/>
                <w:sz w:val="10"/>
                <w:szCs w:val="10"/>
                <w:color w:val="auto"/>
              </w:rPr>
              <w:t>—</w:t>
            </w:r>
          </w:p>
        </w:tc>
        <w:tc>
          <w:tcPr>
            <w:tcW w:w="24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8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4</w:t>
            </w:r>
          </w:p>
        </w:tc>
        <w:tc>
          <w:tcPr>
            <w:tcW w:w="120" w:type="dxa"/>
            <w:vAlign w:val="bottom"/>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spacing w:after="0"/>
              <w:rPr>
                <w:sz w:val="15"/>
                <w:szCs w:val="15"/>
                <w:color w:val="auto"/>
              </w:rPr>
            </w:pPr>
          </w:p>
        </w:tc>
        <w:tc>
          <w:tcPr>
            <w:tcW w:w="9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800" w:type="dxa"/>
            <w:vAlign w:val="bottom"/>
            <w:tcBorders>
              <w:bottom w:val="single" w:sz="8" w:color="auto"/>
            </w:tcBorders>
            <w:shd w:val="clear" w:color="auto" w:fill="CCEEFF"/>
          </w:tcPr>
          <w:p>
            <w:pPr>
              <w:ind w:left="600"/>
              <w:spacing w:after="0"/>
              <w:rPr>
                <w:sz w:val="20"/>
                <w:szCs w:val="20"/>
                <w:color w:val="auto"/>
              </w:rPr>
            </w:pPr>
            <w:r>
              <w:rPr>
                <w:rFonts w:ascii="Arial" w:cs="Arial" w:eastAsia="Arial" w:hAnsi="Arial"/>
                <w:sz w:val="10"/>
                <w:szCs w:val="10"/>
                <w:color w:val="auto"/>
              </w:rPr>
              <w:t>—</w:t>
            </w:r>
          </w:p>
        </w:tc>
      </w:tr>
      <w:tr>
        <w:trPr>
          <w:trHeight w:val="162"/>
        </w:trPr>
        <w:tc>
          <w:tcPr>
            <w:tcW w:w="4600" w:type="dxa"/>
            <w:vAlign w:val="bottom"/>
          </w:tcPr>
          <w:p>
            <w:pPr>
              <w:ind w:left="20"/>
              <w:spacing w:after="0"/>
              <w:rPr>
                <w:sz w:val="20"/>
                <w:szCs w:val="20"/>
                <w:color w:val="auto"/>
              </w:rPr>
            </w:pPr>
            <w:r>
              <w:rPr>
                <w:rFonts w:ascii="Arial" w:cs="Arial" w:eastAsia="Arial" w:hAnsi="Arial"/>
                <w:sz w:val="10"/>
                <w:szCs w:val="10"/>
                <w:color w:val="auto"/>
              </w:rPr>
              <w:t>Total</w:t>
            </w:r>
          </w:p>
        </w:tc>
        <w:tc>
          <w:tcPr>
            <w:tcW w:w="680" w:type="dxa"/>
            <w:vAlign w:val="bottom"/>
          </w:tcPr>
          <w:p>
            <w:pPr>
              <w:jc w:val="right"/>
              <w:ind w:right="572"/>
              <w:spacing w:after="0"/>
              <w:rPr>
                <w:sz w:val="20"/>
                <w:szCs w:val="20"/>
                <w:color w:val="auto"/>
              </w:rPr>
            </w:pPr>
            <w:r>
              <w:rPr>
                <w:rFonts w:ascii="Arial" w:cs="Arial" w:eastAsia="Arial" w:hAnsi="Arial"/>
                <w:sz w:val="10"/>
                <w:szCs w:val="10"/>
                <w:color w:val="auto"/>
                <w:w w:val="71"/>
              </w:rPr>
              <w:t>$</w:t>
            </w:r>
          </w:p>
        </w:tc>
        <w:tc>
          <w:tcPr>
            <w:tcW w:w="360" w:type="dxa"/>
            <w:vAlign w:val="bottom"/>
          </w:tcPr>
          <w:p>
            <w:pPr>
              <w:jc w:val="right"/>
              <w:ind w:right="72"/>
              <w:spacing w:after="0"/>
              <w:rPr>
                <w:sz w:val="20"/>
                <w:szCs w:val="20"/>
                <w:color w:val="auto"/>
              </w:rPr>
            </w:pPr>
            <w:r>
              <w:rPr>
                <w:rFonts w:ascii="Arial" w:cs="Arial" w:eastAsia="Arial" w:hAnsi="Arial"/>
                <w:sz w:val="10"/>
                <w:szCs w:val="10"/>
                <w:color w:val="auto"/>
              </w:rPr>
              <w:t>45</w:t>
            </w:r>
          </w:p>
        </w:tc>
        <w:tc>
          <w:tcPr>
            <w:tcW w:w="12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47,417</w:t>
            </w:r>
          </w:p>
        </w:tc>
        <w:tc>
          <w:tcPr>
            <w:tcW w:w="120" w:type="dxa"/>
            <w:vAlign w:val="bottom"/>
          </w:tcPr>
          <w:p>
            <w:pPr>
              <w:spacing w:after="0"/>
              <w:rPr>
                <w:sz w:val="14"/>
                <w:szCs w:val="14"/>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1060" w:type="dxa"/>
            <w:vAlign w:val="bottom"/>
            <w:gridSpan w:val="2"/>
          </w:tcPr>
          <w:p>
            <w:pPr>
              <w:ind w:left="620"/>
              <w:spacing w:after="0"/>
              <w:rPr>
                <w:sz w:val="20"/>
                <w:szCs w:val="20"/>
                <w:color w:val="auto"/>
              </w:rPr>
            </w:pPr>
            <w:r>
              <w:rPr>
                <w:rFonts w:ascii="Arial" w:cs="Arial" w:eastAsia="Arial" w:hAnsi="Arial"/>
                <w:sz w:val="10"/>
                <w:szCs w:val="10"/>
                <w:color w:val="auto"/>
              </w:rPr>
              <w:t>—</w:t>
            </w: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800" w:type="dxa"/>
            <w:vAlign w:val="bottom"/>
          </w:tcPr>
          <w:p>
            <w:pPr>
              <w:jc w:val="right"/>
              <w:ind w:right="52"/>
              <w:spacing w:after="0"/>
              <w:rPr>
                <w:sz w:val="20"/>
                <w:szCs w:val="20"/>
                <w:color w:val="auto"/>
              </w:rPr>
            </w:pPr>
            <w:r>
              <w:rPr>
                <w:rFonts w:ascii="Arial" w:cs="Arial" w:eastAsia="Arial" w:hAnsi="Arial"/>
                <w:sz w:val="10"/>
                <w:szCs w:val="10"/>
                <w:color w:val="auto"/>
              </w:rPr>
              <w:t>62</w:t>
            </w:r>
          </w:p>
        </w:tc>
        <w:tc>
          <w:tcPr>
            <w:tcW w:w="120" w:type="dxa"/>
            <w:vAlign w:val="bottom"/>
          </w:tcPr>
          <w:p>
            <w:pPr>
              <w:spacing w:after="0"/>
              <w:rPr>
                <w:sz w:val="14"/>
                <w:szCs w:val="14"/>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52,550</w:t>
            </w:r>
          </w:p>
        </w:tc>
        <w:tc>
          <w:tcPr>
            <w:tcW w:w="100" w:type="dxa"/>
            <w:vAlign w:val="bottom"/>
          </w:tcPr>
          <w:p>
            <w:pPr>
              <w:spacing w:after="0"/>
              <w:rPr>
                <w:sz w:val="14"/>
                <w:szCs w:val="14"/>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800" w:type="dxa"/>
            <w:vAlign w:val="bottom"/>
          </w:tcPr>
          <w:p>
            <w:pPr>
              <w:ind w:left="600"/>
              <w:spacing w:after="0"/>
              <w:rPr>
                <w:sz w:val="20"/>
                <w:szCs w:val="20"/>
                <w:color w:val="auto"/>
              </w:rPr>
            </w:pPr>
            <w:r>
              <w:rPr>
                <w:rFonts w:ascii="Arial" w:cs="Arial" w:eastAsia="Arial" w:hAnsi="Arial"/>
                <w:sz w:val="10"/>
                <w:szCs w:val="10"/>
                <w:color w:val="auto"/>
              </w:rPr>
              <w:t>—</w:t>
            </w:r>
          </w:p>
        </w:tc>
      </w:tr>
      <w:tr>
        <w:trPr>
          <w:trHeight w:val="180"/>
        </w:trPr>
        <w:tc>
          <w:tcPr>
            <w:tcW w:w="460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Liabilities:</w:t>
            </w:r>
          </w:p>
        </w:tc>
        <w:tc>
          <w:tcPr>
            <w:tcW w:w="680" w:type="dxa"/>
            <w:vAlign w:val="bottom"/>
            <w:tcBorders>
              <w:top w:val="single" w:sz="8" w:color="auto"/>
            </w:tcBorders>
            <w:shd w:val="clear" w:color="auto" w:fill="CCEEFF"/>
          </w:tcPr>
          <w:p>
            <w:pPr>
              <w:spacing w:after="0"/>
              <w:rPr>
                <w:sz w:val="15"/>
                <w:szCs w:val="15"/>
                <w:color w:val="auto"/>
              </w:rPr>
            </w:pPr>
          </w:p>
        </w:tc>
        <w:tc>
          <w:tcPr>
            <w:tcW w:w="36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9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c>
          <w:tcPr>
            <w:tcW w:w="24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8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9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800" w:type="dxa"/>
            <w:vAlign w:val="bottom"/>
            <w:tcBorders>
              <w:top w:val="single" w:sz="8" w:color="auto"/>
            </w:tcBorders>
            <w:shd w:val="clear" w:color="auto" w:fill="CCEEFF"/>
          </w:tcPr>
          <w:p>
            <w:pPr>
              <w:spacing w:after="0"/>
              <w:rPr>
                <w:sz w:val="15"/>
                <w:szCs w:val="15"/>
                <w:color w:val="auto"/>
              </w:rPr>
            </w:pPr>
          </w:p>
        </w:tc>
      </w:tr>
      <w:tr>
        <w:trPr>
          <w:trHeight w:val="176"/>
        </w:trPr>
        <w:tc>
          <w:tcPr>
            <w:tcW w:w="4600" w:type="dxa"/>
            <w:vAlign w:val="bottom"/>
          </w:tcPr>
          <w:p>
            <w:pPr>
              <w:ind w:left="120"/>
              <w:spacing w:after="0"/>
              <w:rPr>
                <w:sz w:val="20"/>
                <w:szCs w:val="20"/>
                <w:color w:val="auto"/>
              </w:rPr>
            </w:pPr>
            <w:r>
              <w:rPr>
                <w:rFonts w:ascii="Arial" w:cs="Arial" w:eastAsia="Arial" w:hAnsi="Arial"/>
                <w:sz w:val="10"/>
                <w:szCs w:val="10"/>
                <w:color w:val="auto"/>
              </w:rPr>
              <w:t>Debt of consolidated VIEs</w:t>
            </w:r>
          </w:p>
        </w:tc>
        <w:tc>
          <w:tcPr>
            <w:tcW w:w="680" w:type="dxa"/>
            <w:vAlign w:val="bottom"/>
          </w:tcPr>
          <w:p>
            <w:pPr>
              <w:jc w:val="right"/>
              <w:ind w:right="572"/>
              <w:spacing w:after="0"/>
              <w:rPr>
                <w:sz w:val="20"/>
                <w:szCs w:val="20"/>
                <w:color w:val="auto"/>
              </w:rPr>
            </w:pPr>
            <w:r>
              <w:rPr>
                <w:rFonts w:ascii="Arial" w:cs="Arial" w:eastAsia="Arial" w:hAnsi="Arial"/>
                <w:sz w:val="10"/>
                <w:szCs w:val="10"/>
                <w:color w:val="auto"/>
                <w:w w:val="71"/>
              </w:rPr>
              <w:t>$</w:t>
            </w:r>
          </w:p>
        </w:tc>
        <w:tc>
          <w:tcPr>
            <w:tcW w:w="4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494</w:t>
            </w:r>
          </w:p>
        </w:tc>
        <w:tc>
          <w:tcPr>
            <w:tcW w:w="120" w:type="dxa"/>
            <w:vAlign w:val="bottom"/>
          </w:tcPr>
          <w:p>
            <w:pPr>
              <w:spacing w:after="0"/>
              <w:rPr>
                <w:sz w:val="15"/>
                <w:szCs w:val="15"/>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1060" w:type="dxa"/>
            <w:vAlign w:val="bottom"/>
            <w:gridSpan w:val="2"/>
          </w:tcPr>
          <w:p>
            <w:pPr>
              <w:ind w:left="620"/>
              <w:spacing w:after="0"/>
              <w:rPr>
                <w:sz w:val="20"/>
                <w:szCs w:val="20"/>
                <w:color w:val="auto"/>
              </w:rPr>
            </w:pPr>
            <w:r>
              <w:rPr>
                <w:rFonts w:ascii="Arial" w:cs="Arial" w:eastAsia="Arial" w:hAnsi="Arial"/>
                <w:sz w:val="10"/>
                <w:szCs w:val="10"/>
                <w:color w:val="auto"/>
              </w:rPr>
              <w:t>—</w:t>
            </w: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92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595</w:t>
            </w:r>
          </w:p>
        </w:tc>
        <w:tc>
          <w:tcPr>
            <w:tcW w:w="100" w:type="dxa"/>
            <w:vAlign w:val="bottom"/>
          </w:tcPr>
          <w:p>
            <w:pPr>
              <w:spacing w:after="0"/>
              <w:rPr>
                <w:sz w:val="15"/>
                <w:szCs w:val="15"/>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800" w:type="dxa"/>
            <w:vAlign w:val="bottom"/>
          </w:tcPr>
          <w:p>
            <w:pPr>
              <w:ind w:left="600"/>
              <w:spacing w:after="0"/>
              <w:rPr>
                <w:sz w:val="20"/>
                <w:szCs w:val="20"/>
                <w:color w:val="auto"/>
              </w:rPr>
            </w:pPr>
            <w:r>
              <w:rPr>
                <w:rFonts w:ascii="Arial" w:cs="Arial" w:eastAsia="Arial" w:hAnsi="Arial"/>
                <w:sz w:val="10"/>
                <w:szCs w:val="10"/>
                <w:color w:val="auto"/>
              </w:rPr>
              <w:t>—</w:t>
            </w:r>
          </w:p>
        </w:tc>
      </w:tr>
      <w:tr>
        <w:trPr>
          <w:trHeight w:val="184"/>
        </w:trPr>
        <w:tc>
          <w:tcPr>
            <w:tcW w:w="46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Obligation to return U.S. Treasury securities borrowed under reverse repurchase agreements</w:t>
            </w:r>
          </w:p>
        </w:tc>
        <w:tc>
          <w:tcPr>
            <w:tcW w:w="680" w:type="dxa"/>
            <w:vAlign w:val="bottom"/>
            <w:shd w:val="clear" w:color="auto" w:fill="CCEEFF"/>
          </w:tcPr>
          <w:p>
            <w:pPr>
              <w:spacing w:after="0"/>
              <w:rPr>
                <w:sz w:val="16"/>
                <w:szCs w:val="16"/>
                <w:color w:val="auto"/>
              </w:rPr>
            </w:pPr>
          </w:p>
        </w:tc>
        <w:tc>
          <w:tcPr>
            <w:tcW w:w="3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87"/>
              </w:rPr>
              <w:t>5,424</w:t>
            </w: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ind w:left="6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1,696</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ind w:left="600"/>
              <w:spacing w:after="0"/>
              <w:rPr>
                <w:sz w:val="20"/>
                <w:szCs w:val="20"/>
                <w:color w:val="auto"/>
              </w:rPr>
            </w:pPr>
            <w:r>
              <w:rPr>
                <w:rFonts w:ascii="Arial" w:cs="Arial" w:eastAsia="Arial" w:hAnsi="Arial"/>
                <w:sz w:val="10"/>
                <w:szCs w:val="10"/>
                <w:color w:val="auto"/>
              </w:rPr>
              <w:t>—</w:t>
            </w:r>
          </w:p>
        </w:tc>
      </w:tr>
      <w:tr>
        <w:trPr>
          <w:trHeight w:val="176"/>
        </w:trPr>
        <w:tc>
          <w:tcPr>
            <w:tcW w:w="4600" w:type="dxa"/>
            <w:vAlign w:val="bottom"/>
          </w:tcPr>
          <w:p>
            <w:pPr>
              <w:ind w:left="120"/>
              <w:spacing w:after="0"/>
              <w:rPr>
                <w:sz w:val="20"/>
                <w:szCs w:val="20"/>
                <w:color w:val="auto"/>
              </w:rPr>
            </w:pPr>
            <w:r>
              <w:rPr>
                <w:rFonts w:ascii="Arial" w:cs="Arial" w:eastAsia="Arial" w:hAnsi="Arial"/>
                <w:sz w:val="10"/>
                <w:szCs w:val="10"/>
                <w:color w:val="auto"/>
              </w:rPr>
              <w:t>Interest rate swaps</w:t>
            </w:r>
          </w:p>
        </w:tc>
        <w:tc>
          <w:tcPr>
            <w:tcW w:w="680" w:type="dxa"/>
            <w:vAlign w:val="bottom"/>
          </w:tcPr>
          <w:p>
            <w:pPr>
              <w:spacing w:after="0"/>
              <w:rPr>
                <w:sz w:val="15"/>
                <w:szCs w:val="15"/>
                <w:color w:val="auto"/>
              </w:rPr>
            </w:pPr>
          </w:p>
        </w:tc>
        <w:tc>
          <w:tcPr>
            <w:tcW w:w="480" w:type="dxa"/>
            <w:vAlign w:val="bottom"/>
            <w:gridSpan w:val="2"/>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942</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60" w:type="dxa"/>
            <w:vAlign w:val="bottom"/>
            <w:gridSpan w:val="2"/>
          </w:tcPr>
          <w:p>
            <w:pPr>
              <w:ind w:left="62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5"/>
                <w:szCs w:val="15"/>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5"/>
                <w:szCs w:val="15"/>
                <w:color w:val="auto"/>
              </w:rPr>
            </w:pPr>
          </w:p>
        </w:tc>
        <w:tc>
          <w:tcPr>
            <w:tcW w:w="940" w:type="dxa"/>
            <w:vAlign w:val="bottom"/>
          </w:tcPr>
          <w:p>
            <w:pPr>
              <w:jc w:val="right"/>
              <w:ind w:right="72"/>
              <w:spacing w:after="0"/>
              <w:rPr>
                <w:sz w:val="20"/>
                <w:szCs w:val="20"/>
                <w:color w:val="auto"/>
              </w:rPr>
            </w:pPr>
            <w:r>
              <w:rPr>
                <w:rFonts w:ascii="Arial" w:cs="Arial" w:eastAsia="Arial" w:hAnsi="Arial"/>
                <w:sz w:val="10"/>
                <w:szCs w:val="10"/>
                <w:color w:val="auto"/>
              </w:rPr>
              <w:t>920</w:t>
            </w: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0" w:type="dxa"/>
            <w:vAlign w:val="bottom"/>
          </w:tcPr>
          <w:p>
            <w:pPr>
              <w:ind w:left="600"/>
              <w:spacing w:after="0"/>
              <w:rPr>
                <w:sz w:val="20"/>
                <w:szCs w:val="20"/>
                <w:color w:val="auto"/>
              </w:rPr>
            </w:pPr>
            <w:r>
              <w:rPr>
                <w:rFonts w:ascii="Arial" w:cs="Arial" w:eastAsia="Arial" w:hAnsi="Arial"/>
                <w:sz w:val="10"/>
                <w:szCs w:val="10"/>
                <w:color w:val="auto"/>
              </w:rPr>
              <w:t>—</w:t>
            </w:r>
          </w:p>
        </w:tc>
      </w:tr>
      <w:tr>
        <w:trPr>
          <w:trHeight w:val="184"/>
        </w:trPr>
        <w:tc>
          <w:tcPr>
            <w:tcW w:w="4600" w:type="dxa"/>
            <w:vAlign w:val="bottom"/>
            <w:shd w:val="clear" w:color="auto" w:fill="CCEEFF"/>
          </w:tcPr>
          <w:p>
            <w:pPr>
              <w:ind w:left="120"/>
              <w:spacing w:after="0"/>
              <w:rPr>
                <w:sz w:val="20"/>
                <w:szCs w:val="20"/>
                <w:color w:val="auto"/>
              </w:rPr>
            </w:pPr>
            <w:r>
              <w:rPr>
                <w:rFonts w:ascii="Arial" w:cs="Arial" w:eastAsia="Arial" w:hAnsi="Arial"/>
                <w:sz w:val="10"/>
                <w:szCs w:val="10"/>
                <w:color w:val="auto"/>
              </w:rPr>
              <w:t>TBA securities</w:t>
            </w:r>
          </w:p>
        </w:tc>
        <w:tc>
          <w:tcPr>
            <w:tcW w:w="680" w:type="dxa"/>
            <w:vAlign w:val="bottom"/>
            <w:shd w:val="clear" w:color="auto" w:fill="CCEEFF"/>
          </w:tcPr>
          <w:p>
            <w:pPr>
              <w:spacing w:after="0"/>
              <w:rPr>
                <w:sz w:val="16"/>
                <w:szCs w:val="16"/>
                <w:color w:val="auto"/>
              </w:rPr>
            </w:pPr>
          </w:p>
        </w:tc>
        <w:tc>
          <w:tcPr>
            <w:tcW w:w="480" w:type="dxa"/>
            <w:vAlign w:val="bottom"/>
            <w:gridSpan w:val="2"/>
            <w:shd w:val="clear" w:color="auto" w:fill="CCEEFF"/>
          </w:tcPr>
          <w:p>
            <w:pPr>
              <w:jc w:val="right"/>
              <w:ind w:right="240"/>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6"/>
                <w:szCs w:val="16"/>
                <w:color w:val="auto"/>
              </w:rPr>
            </w:pPr>
          </w:p>
        </w:tc>
        <w:tc>
          <w:tcPr>
            <w:tcW w:w="9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ind w:left="6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6"/>
                <w:szCs w:val="16"/>
                <w:color w:val="auto"/>
              </w:rPr>
            </w:pPr>
          </w:p>
        </w:tc>
        <w:tc>
          <w:tcPr>
            <w:tcW w:w="9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15</w:t>
            </w:r>
          </w:p>
        </w:tc>
        <w:tc>
          <w:tcPr>
            <w:tcW w:w="1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ind w:left="600"/>
              <w:spacing w:after="0"/>
              <w:rPr>
                <w:sz w:val="20"/>
                <w:szCs w:val="20"/>
                <w:color w:val="auto"/>
              </w:rPr>
            </w:pPr>
            <w:r>
              <w:rPr>
                <w:rFonts w:ascii="Arial" w:cs="Arial" w:eastAsia="Arial" w:hAnsi="Arial"/>
                <w:sz w:val="10"/>
                <w:szCs w:val="10"/>
                <w:color w:val="auto"/>
              </w:rPr>
              <w:t>—</w:t>
            </w:r>
          </w:p>
        </w:tc>
      </w:tr>
      <w:tr>
        <w:trPr>
          <w:trHeight w:val="176"/>
        </w:trPr>
        <w:tc>
          <w:tcPr>
            <w:tcW w:w="4600" w:type="dxa"/>
            <w:vAlign w:val="bottom"/>
            <w:tcBorders>
              <w:bottom w:val="single" w:sz="8" w:color="CCEEFF"/>
            </w:tcBorders>
          </w:tcPr>
          <w:p>
            <w:pPr>
              <w:ind w:left="120"/>
              <w:spacing w:after="0"/>
              <w:rPr>
                <w:sz w:val="20"/>
                <w:szCs w:val="20"/>
                <w:color w:val="auto"/>
              </w:rPr>
            </w:pPr>
            <w:r>
              <w:rPr>
                <w:rFonts w:ascii="Arial" w:cs="Arial" w:eastAsia="Arial" w:hAnsi="Arial"/>
                <w:sz w:val="10"/>
                <w:szCs w:val="10"/>
                <w:color w:val="auto"/>
              </w:rPr>
              <w:t>U.S. Treasury futures</w:t>
            </w:r>
          </w:p>
        </w:tc>
        <w:tc>
          <w:tcPr>
            <w:tcW w:w="680" w:type="dxa"/>
            <w:vAlign w:val="bottom"/>
            <w:tcBorders>
              <w:bottom w:val="single" w:sz="8" w:color="auto"/>
            </w:tcBorders>
          </w:tcPr>
          <w:p>
            <w:pPr>
              <w:spacing w:after="0"/>
              <w:rPr>
                <w:sz w:val="15"/>
                <w:szCs w:val="15"/>
                <w:color w:val="auto"/>
              </w:rPr>
            </w:pPr>
          </w:p>
        </w:tc>
        <w:tc>
          <w:tcPr>
            <w:tcW w:w="36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1</w:t>
            </w:r>
          </w:p>
        </w:tc>
        <w:tc>
          <w:tcPr>
            <w:tcW w:w="12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94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w:t>
            </w:r>
          </w:p>
        </w:tc>
        <w:tc>
          <w:tcPr>
            <w:tcW w:w="12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820" w:type="dxa"/>
            <w:vAlign w:val="bottom"/>
            <w:tcBorders>
              <w:bottom w:val="single" w:sz="8" w:color="auto"/>
            </w:tcBorders>
          </w:tcPr>
          <w:p>
            <w:pPr>
              <w:ind w:left="620"/>
              <w:spacing w:after="0"/>
              <w:rPr>
                <w:sz w:val="20"/>
                <w:szCs w:val="20"/>
                <w:color w:val="auto"/>
              </w:rPr>
            </w:pPr>
            <w:r>
              <w:rPr>
                <w:rFonts w:ascii="Arial" w:cs="Arial" w:eastAsia="Arial" w:hAnsi="Arial"/>
                <w:sz w:val="10"/>
                <w:szCs w:val="10"/>
                <w:color w:val="auto"/>
              </w:rPr>
              <w:t>—</w:t>
            </w:r>
          </w:p>
        </w:tc>
        <w:tc>
          <w:tcPr>
            <w:tcW w:w="24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8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w:t>
            </w:r>
          </w:p>
        </w:tc>
        <w:tc>
          <w:tcPr>
            <w:tcW w:w="120" w:type="dxa"/>
            <w:vAlign w:val="bottom"/>
            <w:tcBorders>
              <w:bottom w:val="single" w:sz="8" w:color="CCEEFF"/>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94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800" w:type="dxa"/>
            <w:vAlign w:val="bottom"/>
            <w:tcBorders>
              <w:bottom w:val="single" w:sz="8" w:color="auto"/>
            </w:tcBorders>
          </w:tcPr>
          <w:p>
            <w:pPr>
              <w:ind w:left="600"/>
              <w:spacing w:after="0"/>
              <w:rPr>
                <w:sz w:val="20"/>
                <w:szCs w:val="20"/>
                <w:color w:val="auto"/>
              </w:rPr>
            </w:pPr>
            <w:r>
              <w:rPr>
                <w:rFonts w:ascii="Arial" w:cs="Arial" w:eastAsia="Arial" w:hAnsi="Arial"/>
                <w:sz w:val="10"/>
                <w:szCs w:val="10"/>
                <w:color w:val="auto"/>
              </w:rPr>
              <w:t>—</w:t>
            </w:r>
          </w:p>
        </w:tc>
      </w:tr>
      <w:tr>
        <w:trPr>
          <w:trHeight w:val="162"/>
        </w:trPr>
        <w:tc>
          <w:tcPr>
            <w:tcW w:w="46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Total</w:t>
            </w:r>
          </w:p>
        </w:tc>
        <w:tc>
          <w:tcPr>
            <w:tcW w:w="680" w:type="dxa"/>
            <w:vAlign w:val="bottom"/>
            <w:tcBorders>
              <w:bottom w:val="single" w:sz="8" w:color="auto"/>
            </w:tcBorders>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36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87"/>
              </w:rPr>
              <w:t>5,425</w:t>
            </w:r>
          </w:p>
        </w:tc>
        <w:tc>
          <w:tcPr>
            <w:tcW w:w="120" w:type="dxa"/>
            <w:vAlign w:val="bottom"/>
            <w:tcBorders>
              <w:bottom w:val="single" w:sz="8" w:color="CCEEFF"/>
            </w:tcBorders>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1,440</w:t>
            </w:r>
          </w:p>
        </w:tc>
        <w:tc>
          <w:tcPr>
            <w:tcW w:w="12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shd w:val="clear" w:color="auto" w:fill="CCEEFF"/>
          </w:tcPr>
          <w:p>
            <w:pPr>
              <w:ind w:left="620"/>
              <w:spacing w:after="0"/>
              <w:rPr>
                <w:sz w:val="20"/>
                <w:szCs w:val="20"/>
                <w:color w:val="auto"/>
              </w:rPr>
            </w:pPr>
            <w:r>
              <w:rPr>
                <w:rFonts w:ascii="Arial" w:cs="Arial" w:eastAsia="Arial" w:hAnsi="Arial"/>
                <w:sz w:val="10"/>
                <w:szCs w:val="10"/>
                <w:color w:val="auto"/>
              </w:rPr>
              <w:t>—</w:t>
            </w:r>
          </w:p>
        </w:tc>
        <w:tc>
          <w:tcPr>
            <w:tcW w:w="24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1,696</w:t>
            </w:r>
          </w:p>
        </w:tc>
        <w:tc>
          <w:tcPr>
            <w:tcW w:w="120" w:type="dxa"/>
            <w:vAlign w:val="bottom"/>
            <w:tcBorders>
              <w:bottom w:val="single" w:sz="8" w:color="CCEEFF"/>
            </w:tcBorders>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1,530</w:t>
            </w:r>
          </w:p>
        </w:tc>
        <w:tc>
          <w:tcPr>
            <w:tcW w:w="10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shd w:val="clear" w:color="auto" w:fill="CCEEFF"/>
          </w:tcPr>
          <w:p>
            <w:pPr>
              <w:ind w:left="600"/>
              <w:spacing w:after="0"/>
              <w:rPr>
                <w:sz w:val="20"/>
                <w:szCs w:val="20"/>
                <w:color w:val="auto"/>
              </w:rPr>
            </w:pPr>
            <w:r>
              <w:rPr>
                <w:rFonts w:ascii="Arial" w:cs="Arial" w:eastAsia="Arial" w:hAnsi="Arial"/>
                <w:sz w:val="10"/>
                <w:szCs w:val="10"/>
                <w:color w:val="auto"/>
              </w:rPr>
              <w:t>—</w:t>
            </w:r>
          </w:p>
        </w:tc>
      </w:tr>
    </w:tbl>
    <w:p>
      <w:pPr>
        <w:spacing w:after="0" w:line="99"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We elected the option to account for debt of consolidated VIEs at fair value with changes in fair value reflected in earnings during the period in which they occur, because we believe this election more appropriately reflects our financial position as both the consolidated agency securities and consolidated debt are presented in a consistent manner, at fair value, on our consolidated balance sheets. We estimate the fair value of the consolidated debt based on the fair value of the MBS transferred to consolidated VIEs, less the fair value of our retained interests, which are based on valuations obtained from third-party pricing services and non-binding dealer quotes derived from common market pricing methods using "Level 2" inputs.</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24</w:t>
      </w:r>
    </w:p>
    <w:p>
      <w:pPr>
        <w:sectPr>
          <w:pgSz w:w="11900" w:h="16838" w:orient="portrait"/>
          <w:cols w:equalWidth="0" w:num="1">
            <w:col w:w="11480"/>
          </w:cols>
          <w:pgMar w:left="220" w:top="437" w:right="199" w:bottom="1440" w:gutter="0" w:footer="0" w:header="0"/>
        </w:sectPr>
      </w:pPr>
    </w:p>
    <w:bookmarkStart w:id="25" w:name="page26"/>
    <w:bookmarkEnd w:id="25"/>
    <w:p>
      <w:pPr>
        <w:jc w:val="both"/>
        <w:ind w:firstLine="288"/>
        <w:spacing w:after="0" w:line="298" w:lineRule="auto"/>
        <w:rPr>
          <w:sz w:val="20"/>
          <w:szCs w:val="20"/>
          <w:color w:val="auto"/>
        </w:rPr>
      </w:pPr>
      <w:r>
        <w:rPr>
          <w:rFonts w:ascii="Arial" w:cs="Arial" w:eastAsia="Arial" w:hAnsi="Arial"/>
          <w:sz w:val="11"/>
          <w:szCs w:val="11"/>
          <w:color w:val="auto"/>
        </w:rPr>
        <w:t>Excluded from the table above are financial instruments, including cash and cash equivalents, restricted cash and cash equivalents, receivables, payables and borrowings under repurchase agreements and FHLB advances, which are presented in our consolidated financial statements at cost. The cost basis of these instruments is determined to approximate fair value due to their short duration or, in the case of longer-term repo and FHLB advances, due to floating rates of interest based on an index plus or minus a fixed spread which is consistent with fixed spreads demanded in the market. We estimate the fair value of these instruments using "Level 1" or "Level 2" inputs.</w:t>
      </w:r>
    </w:p>
    <w:p>
      <w:pPr>
        <w:spacing w:after="0" w:line="101"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9. Stockholders' Equity</w:t>
      </w:r>
    </w:p>
    <w:p>
      <w:pPr>
        <w:spacing w:after="0" w:line="127"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Preferred Stock</w:t>
      </w:r>
    </w:p>
    <w:p>
      <w:pPr>
        <w:spacing w:after="0" w:line="114"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Pursuant to our amended and restated certificate of incorporation, we are authorized to designate and issue up to 10.0 million shares of preferred stock in one or more classes or series. Our Board of Directors has designated 6.9 million shares as 8.000% Series A Cumulative Redeemable Preferred Stock ("Series A Preferred Stock") and 8,050 shares as 7.750% Series B Cumulative Redeemable Preferred Stock ("Series B Preferred Stock"). As of September 30, 2016, we had 3.1 million shares of authorized but unissued shares of preferred stock. Our Board of Directors may designate additional series of authorized preferred stock ranking junior to or in parity with the Series A or Series B Preferred Stock or designate additional shares of the Series A or Series B Preferred Stock and authorize the issuance of such shares.</w:t>
      </w:r>
    </w:p>
    <w:p>
      <w:pPr>
        <w:spacing w:after="0" w:line="89"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In April 2012, we completed a public offering in which 6.9 million shares of our Series A Preferred Stock were sold to the underwriters at a price of $24.2125 per share for proceeds, net of offering expenses, of $167 million. In May 2014, we completed a public offering in which 7.0 million depositary shares were sold to the underwriters at a price of $24.2125 per depositary share for proceeds, net of offering expenses, of $169 million. Each depositary share represents a 1/1,000th interest in a share of our Series B Preferred Stock.</w:t>
      </w:r>
    </w:p>
    <w:p>
      <w:pPr>
        <w:spacing w:after="0" w:line="87" w:lineRule="exact"/>
        <w:rPr>
          <w:sz w:val="20"/>
          <w:szCs w:val="20"/>
          <w:color w:val="auto"/>
        </w:rPr>
      </w:pPr>
    </w:p>
    <w:p>
      <w:pPr>
        <w:jc w:val="both"/>
        <w:ind w:firstLine="270"/>
        <w:spacing w:after="0" w:line="283" w:lineRule="auto"/>
        <w:rPr>
          <w:sz w:val="20"/>
          <w:szCs w:val="20"/>
          <w:color w:val="auto"/>
        </w:rPr>
      </w:pPr>
      <w:r>
        <w:rPr>
          <w:rFonts w:ascii="Arial" w:cs="Arial" w:eastAsia="Arial" w:hAnsi="Arial"/>
          <w:sz w:val="11"/>
          <w:szCs w:val="11"/>
          <w:color w:val="auto"/>
        </w:rPr>
        <w:t>Our Series A and Series B Preferred Stock have no stated maturity, are not subject to any sinking fund or mandatory redemption and rank on parity with each other. Under certain circumstances upon a change of control, our Series A and Series B Preferred Stock are convertible to shares of our common stock. Holders of our Series A Preferred Stock and depository shares underlying our Series B Preferred Stock have no voting rights, except under limited conditions, and are entitled to receive cumulative cash dividends at a rate of 8.000% and 7.750% per annum, respectively, of their $25.00 per share and $25.00 per depositary share liquidation preference, respectively, before holders of our common stock are entitled to receive any dividends. Shares of our Series A Preferred Stock and depository shares underlying our Series B Preferred Stock are each redeemable at $25.00 per share, plus accumulated and unpaid dividends (whether or not declared) exclusively at our option commencing on April 5, 2017 and May 8, 2019, respectively, or earlier under certain circumstances intended to preserve our qualification as a REIT for federal income tax purposes. Dividends are payable quarterly in arrears on the 15th day of each January, April, July and October. As of September 30, 2016, we had declared all required quarterly dividends on our Series A and Series B Preferred Stock.</w:t>
      </w:r>
    </w:p>
    <w:p>
      <w:pPr>
        <w:spacing w:after="0" w:line="7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Common Stock Repurchase Program</w:t>
      </w:r>
    </w:p>
    <w:p>
      <w:pPr>
        <w:spacing w:after="0" w:line="114" w:lineRule="exact"/>
        <w:rPr>
          <w:sz w:val="20"/>
          <w:szCs w:val="20"/>
          <w:color w:val="auto"/>
        </w:rPr>
      </w:pPr>
    </w:p>
    <w:p>
      <w:pPr>
        <w:jc w:val="both"/>
        <w:ind w:firstLine="270"/>
        <w:spacing w:after="0" w:line="298" w:lineRule="auto"/>
        <w:rPr>
          <w:sz w:val="20"/>
          <w:szCs w:val="20"/>
          <w:color w:val="auto"/>
        </w:rPr>
      </w:pPr>
      <w:r>
        <w:rPr>
          <w:rFonts w:ascii="Arial" w:cs="Arial" w:eastAsia="Arial" w:hAnsi="Arial"/>
          <w:sz w:val="11"/>
          <w:szCs w:val="11"/>
          <w:color w:val="auto"/>
        </w:rPr>
        <w:t>In October 2012, our Board of Directors adopted a program that provided for stock repurchases, which, as amended, authorized repurchases of our common stock up to $2 billion through December 31, 2016. As of September 30, 2016, the total remaining amount authorized for repurchases of our common stock was $0.6 billion. In October 2016, our Board of Directors terminated the existing stock repurchase program and replaced it with a new stock repurchase authorization. Under the new stock repurchase program, we are authorized to repurchase up to $1 billion of our outstanding shares of common stock through December 31, 2017.</w:t>
      </w:r>
    </w:p>
    <w:p>
      <w:pPr>
        <w:spacing w:after="0" w:line="69" w:lineRule="exact"/>
        <w:rPr>
          <w:sz w:val="20"/>
          <w:szCs w:val="20"/>
          <w:color w:val="auto"/>
        </w:rPr>
      </w:pPr>
    </w:p>
    <w:p>
      <w:pPr>
        <w:jc w:val="both"/>
        <w:ind w:firstLine="270"/>
        <w:spacing w:after="0" w:line="255" w:lineRule="auto"/>
        <w:rPr>
          <w:sz w:val="20"/>
          <w:szCs w:val="20"/>
          <w:color w:val="auto"/>
        </w:rPr>
      </w:pPr>
      <w:r>
        <w:rPr>
          <w:rFonts w:ascii="Arial" w:cs="Arial" w:eastAsia="Arial" w:hAnsi="Arial"/>
          <w:sz w:val="12"/>
          <w:szCs w:val="12"/>
          <w:color w:val="auto"/>
        </w:rPr>
        <w:t>Shares of our common stock may be purchased in the open market, including through block purchases, or through privately negotiated transactions, or pursuant to any trading plan that may be adopted in accordance with Rule 10b5-1 of the Securities Exchange Act of 1934, as amended. The timing, manner, price and amount of any repurchases will be determined at our discretion and the program may be suspended, terminated or modified at any time for any reason. Among other factors, we intend to only consider repurchasing shares of our common stock when the purchase price is less than our estimate of our current tangible net asset value per common share. Generally, when we repurchase our common stock at a discount to our tangible net asset value, the tangible net asset value of our remaining shares of common stock outstanding increases. In addition, we do not intend to repurchase any shares from directors, officers or other affiliates. The program does not obligate us to acquire any specific number of shares, and all repurchases will be made in accordance with Rule 10b-18, which sets certain restrictions on the method, timing, price and volume of stock repurchases.</w:t>
      </w:r>
    </w:p>
    <w:p>
      <w:pPr>
        <w:spacing w:after="0" w:line="93"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We did not repurchase any shares of our common stock during the three months ended September 30, 2016. During the nine months ended September 30, 2016, we repurchased 6.5 million shares of our common stock at an average repurchase price of $17.89 per share, including expenses, totaling $116 million. During the three and nine months ended September 30, 2015 we repurchased 2.4 million and 6.3 million shares, respectively, of our common stock at an average repurchase price of $19.08 and $19.57 per share, respectively, including expenses, totaling $45 million and $124 million, respectively.</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25</w:t>
      </w:r>
    </w:p>
    <w:p>
      <w:pPr>
        <w:sectPr>
          <w:pgSz w:w="11900" w:h="16838" w:orient="portrait"/>
          <w:cols w:equalWidth="0" w:num="1">
            <w:col w:w="11480"/>
          </w:cols>
          <w:pgMar w:left="220" w:top="545" w:right="199" w:bottom="1440" w:gutter="0" w:footer="0" w:header="0"/>
        </w:sectPr>
      </w:pPr>
    </w:p>
    <w:bookmarkStart w:id="26" w:name="page27"/>
    <w:bookmarkEnd w:id="26"/>
    <w:p>
      <w:pPr>
        <w:spacing w:after="0"/>
        <w:rPr>
          <w:sz w:val="20"/>
          <w:szCs w:val="20"/>
          <w:color w:val="auto"/>
        </w:rPr>
      </w:pPr>
      <w:r>
        <w:rPr>
          <w:rFonts w:ascii="Arial" w:cs="Arial" w:eastAsia="Arial" w:hAnsi="Arial"/>
          <w:sz w:val="12"/>
          <w:szCs w:val="12"/>
          <w:b w:val="1"/>
          <w:bCs w:val="1"/>
          <w:i w:val="1"/>
          <w:iCs w:val="1"/>
          <w:color w:val="auto"/>
        </w:rPr>
        <w:t>Accumulated Other Comprehensive Income (Loss)</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following table summarizes changes to accumulated OCI for the three and nine months ended September 30, 2016 and 2015 (in millions):</w:t>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7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100" w:type="dxa"/>
            <w:vAlign w:val="bottom"/>
          </w:tcPr>
          <w:p>
            <w:pPr>
              <w:jc w:val="center"/>
              <w:ind w:right="107"/>
              <w:spacing w:after="0"/>
              <w:rPr>
                <w:sz w:val="20"/>
                <w:szCs w:val="20"/>
                <w:color w:val="auto"/>
              </w:rPr>
            </w:pPr>
            <w:r>
              <w:rPr>
                <w:rFonts w:ascii="Arial" w:cs="Arial" w:eastAsia="Arial" w:hAnsi="Arial"/>
                <w:sz w:val="10"/>
                <w:szCs w:val="10"/>
                <w:b w:val="1"/>
                <w:bCs w:val="1"/>
                <w:color w:val="auto"/>
                <w:w w:val="87"/>
              </w:rPr>
              <w:t>Total Accumulated</w:t>
            </w:r>
          </w:p>
        </w:tc>
      </w:tr>
      <w:tr>
        <w:trPr>
          <w:trHeight w:val="99"/>
        </w:trPr>
        <w:tc>
          <w:tcPr>
            <w:tcW w:w="7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520" w:type="dxa"/>
            <w:vAlign w:val="bottom"/>
            <w:gridSpan w:val="2"/>
          </w:tcPr>
          <w:p>
            <w:pPr>
              <w:ind w:left="20"/>
              <w:spacing w:after="0" w:line="99" w:lineRule="exact"/>
              <w:rPr>
                <w:sz w:val="20"/>
                <w:szCs w:val="20"/>
                <w:color w:val="auto"/>
              </w:rPr>
            </w:pPr>
            <w:r>
              <w:rPr>
                <w:rFonts w:ascii="Arial" w:cs="Arial" w:eastAsia="Arial" w:hAnsi="Arial"/>
                <w:sz w:val="10"/>
                <w:szCs w:val="10"/>
                <w:b w:val="1"/>
                <w:bCs w:val="1"/>
                <w:color w:val="auto"/>
              </w:rPr>
              <w:t>Net Unrealized Gain (Loss) on</w:t>
            </w:r>
          </w:p>
        </w:tc>
        <w:tc>
          <w:tcPr>
            <w:tcW w:w="60" w:type="dxa"/>
            <w:vAlign w:val="bottom"/>
          </w:tcPr>
          <w:p>
            <w:pPr>
              <w:spacing w:after="0"/>
              <w:rPr>
                <w:sz w:val="8"/>
                <w:szCs w:val="8"/>
                <w:color w:val="auto"/>
              </w:rPr>
            </w:pPr>
          </w:p>
        </w:tc>
        <w:tc>
          <w:tcPr>
            <w:tcW w:w="1320" w:type="dxa"/>
            <w:vAlign w:val="bottom"/>
            <w:gridSpan w:val="2"/>
          </w:tcPr>
          <w:p>
            <w:pPr>
              <w:ind w:left="20"/>
              <w:spacing w:after="0" w:line="99" w:lineRule="exact"/>
              <w:rPr>
                <w:sz w:val="20"/>
                <w:szCs w:val="20"/>
                <w:color w:val="auto"/>
              </w:rPr>
            </w:pPr>
            <w:r>
              <w:rPr>
                <w:rFonts w:ascii="Arial" w:cs="Arial" w:eastAsia="Arial" w:hAnsi="Arial"/>
                <w:sz w:val="10"/>
                <w:szCs w:val="10"/>
                <w:b w:val="1"/>
                <w:bCs w:val="1"/>
                <w:color w:val="auto"/>
              </w:rPr>
              <w:t>Net Unrealized Gain (Loss)</w:t>
            </w:r>
          </w:p>
        </w:tc>
        <w:tc>
          <w:tcPr>
            <w:tcW w:w="140" w:type="dxa"/>
            <w:vAlign w:val="bottom"/>
          </w:tcPr>
          <w:p>
            <w:pPr>
              <w:spacing w:after="0"/>
              <w:rPr>
                <w:sz w:val="8"/>
                <w:szCs w:val="8"/>
                <w:color w:val="auto"/>
              </w:rPr>
            </w:pPr>
          </w:p>
        </w:tc>
        <w:tc>
          <w:tcPr>
            <w:tcW w:w="1100" w:type="dxa"/>
            <w:vAlign w:val="bottom"/>
          </w:tcPr>
          <w:p>
            <w:pPr>
              <w:jc w:val="center"/>
              <w:ind w:right="107"/>
              <w:spacing w:after="0" w:line="99" w:lineRule="exact"/>
              <w:rPr>
                <w:sz w:val="20"/>
                <w:szCs w:val="20"/>
                <w:color w:val="auto"/>
              </w:rPr>
            </w:pPr>
            <w:r>
              <w:rPr>
                <w:rFonts w:ascii="Arial" w:cs="Arial" w:eastAsia="Arial" w:hAnsi="Arial"/>
                <w:sz w:val="10"/>
                <w:szCs w:val="10"/>
                <w:b w:val="1"/>
                <w:bCs w:val="1"/>
                <w:color w:val="auto"/>
              </w:rPr>
              <w:t>OCI</w:t>
            </w:r>
          </w:p>
        </w:tc>
      </w:tr>
      <w:tr>
        <w:trPr>
          <w:trHeight w:val="128"/>
        </w:trPr>
        <w:tc>
          <w:tcPr>
            <w:tcW w:w="712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Accumulated Other Comprehensive Income (Loss)</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400" w:type="dxa"/>
            <w:vAlign w:val="bottom"/>
            <w:tcBorders>
              <w:bottom w:val="single" w:sz="8" w:color="auto"/>
            </w:tcBorders>
          </w:tcPr>
          <w:p>
            <w:pPr>
              <w:jc w:val="right"/>
              <w:ind w:right="227"/>
              <w:spacing w:after="0"/>
              <w:rPr>
                <w:sz w:val="20"/>
                <w:szCs w:val="20"/>
                <w:color w:val="auto"/>
              </w:rPr>
            </w:pPr>
            <w:r>
              <w:rPr>
                <w:rFonts w:ascii="Arial" w:cs="Arial" w:eastAsia="Arial" w:hAnsi="Arial"/>
                <w:sz w:val="10"/>
                <w:szCs w:val="10"/>
                <w:b w:val="1"/>
                <w:bCs w:val="1"/>
                <w:color w:val="auto"/>
              </w:rPr>
              <w:t>Available-for-Sale MBS</w:t>
            </w:r>
          </w:p>
        </w:tc>
        <w:tc>
          <w:tcPr>
            <w:tcW w:w="12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200" w:type="dxa"/>
            <w:vAlign w:val="bottom"/>
            <w:tcBorders>
              <w:bottom w:val="single" w:sz="8" w:color="auto"/>
            </w:tcBorders>
          </w:tcPr>
          <w:p>
            <w:pPr>
              <w:jc w:val="right"/>
              <w:ind w:right="387"/>
              <w:spacing w:after="0"/>
              <w:rPr>
                <w:sz w:val="20"/>
                <w:szCs w:val="20"/>
                <w:color w:val="auto"/>
              </w:rPr>
            </w:pPr>
            <w:r>
              <w:rPr>
                <w:rFonts w:ascii="Arial" w:cs="Arial" w:eastAsia="Arial" w:hAnsi="Arial"/>
                <w:sz w:val="10"/>
                <w:szCs w:val="10"/>
                <w:b w:val="1"/>
                <w:bCs w:val="1"/>
                <w:color w:val="auto"/>
              </w:rPr>
              <w:t>on Swaps</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jc w:val="center"/>
              <w:ind w:right="87"/>
              <w:spacing w:after="0"/>
              <w:rPr>
                <w:sz w:val="20"/>
                <w:szCs w:val="20"/>
                <w:color w:val="auto"/>
              </w:rPr>
            </w:pPr>
            <w:r>
              <w:rPr>
                <w:rFonts w:ascii="Arial" w:cs="Arial" w:eastAsia="Arial" w:hAnsi="Arial"/>
                <w:sz w:val="10"/>
                <w:szCs w:val="10"/>
                <w:b w:val="1"/>
                <w:bCs w:val="1"/>
                <w:color w:val="auto"/>
                <w:w w:val="83"/>
              </w:rPr>
              <w:t>Balance</w:t>
            </w:r>
          </w:p>
        </w:tc>
      </w:tr>
      <w:tr>
        <w:trPr>
          <w:trHeight w:val="153"/>
        </w:trPr>
        <w:tc>
          <w:tcPr>
            <w:tcW w:w="7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b w:val="1"/>
                <w:bCs w:val="1"/>
                <w:color w:val="auto"/>
              </w:rPr>
              <w:t>Three Months Ended September 30, 2016</w:t>
            </w:r>
          </w:p>
        </w:tc>
        <w:tc>
          <w:tcPr>
            <w:tcW w:w="100" w:type="dxa"/>
            <w:vAlign w:val="bottom"/>
            <w:tcBorders>
              <w:bottom w:val="single" w:sz="8" w:color="CCEEFF"/>
            </w:tcBorders>
            <w:shd w:val="clear" w:color="auto" w:fill="CCEEFF"/>
          </w:tcPr>
          <w:p>
            <w:pPr>
              <w:spacing w:after="0"/>
              <w:rPr>
                <w:sz w:val="13"/>
                <w:szCs w:val="13"/>
                <w:color w:val="auto"/>
              </w:rPr>
            </w:pPr>
          </w:p>
        </w:tc>
        <w:tc>
          <w:tcPr>
            <w:tcW w:w="14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12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spacing w:after="0"/>
              <w:rPr>
                <w:sz w:val="13"/>
                <w:szCs w:val="13"/>
                <w:color w:val="auto"/>
              </w:rPr>
            </w:pPr>
          </w:p>
        </w:tc>
      </w:tr>
      <w:tr>
        <w:trPr>
          <w:trHeight w:val="158"/>
        </w:trPr>
        <w:tc>
          <w:tcPr>
            <w:tcW w:w="7240" w:type="dxa"/>
            <w:vAlign w:val="bottom"/>
            <w:gridSpan w:val="2"/>
          </w:tcPr>
          <w:p>
            <w:pPr>
              <w:ind w:left="20"/>
              <w:spacing w:after="0"/>
              <w:rPr>
                <w:sz w:val="20"/>
                <w:szCs w:val="20"/>
                <w:color w:val="auto"/>
              </w:rPr>
            </w:pPr>
            <w:r>
              <w:rPr>
                <w:rFonts w:ascii="Arial" w:cs="Arial" w:eastAsia="Arial" w:hAnsi="Arial"/>
                <w:sz w:val="11"/>
                <w:szCs w:val="11"/>
                <w:color w:val="auto"/>
              </w:rPr>
              <w:t>Balance as of June 30, 2016</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400" w:type="dxa"/>
            <w:vAlign w:val="bottom"/>
          </w:tcPr>
          <w:p>
            <w:pPr>
              <w:jc w:val="right"/>
              <w:ind w:right="67"/>
              <w:spacing w:after="0"/>
              <w:rPr>
                <w:sz w:val="20"/>
                <w:szCs w:val="20"/>
                <w:color w:val="auto"/>
              </w:rPr>
            </w:pPr>
            <w:r>
              <w:rPr>
                <w:rFonts w:ascii="Arial" w:cs="Arial" w:eastAsia="Arial" w:hAnsi="Arial"/>
                <w:sz w:val="11"/>
                <w:szCs w:val="11"/>
                <w:color w:val="auto"/>
              </w:rPr>
              <w:t>1,108</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27"/>
              <w:spacing w:after="0"/>
              <w:rPr>
                <w:sz w:val="20"/>
                <w:szCs w:val="20"/>
                <w:color w:val="auto"/>
              </w:rPr>
            </w:pPr>
            <w:r>
              <w:rPr>
                <w:rFonts w:ascii="Arial" w:cs="Arial" w:eastAsia="Arial" w:hAnsi="Arial"/>
                <w:sz w:val="11"/>
                <w:szCs w:val="11"/>
                <w:color w:val="auto"/>
              </w:rPr>
              <w:t>(8)</w:t>
            </w:r>
          </w:p>
        </w:tc>
        <w:tc>
          <w:tcPr>
            <w:tcW w:w="120" w:type="dxa"/>
            <w:vAlign w:val="bottom"/>
          </w:tcPr>
          <w:p>
            <w:pPr>
              <w:spacing w:after="0"/>
              <w:rPr>
                <w:sz w:val="13"/>
                <w:szCs w:val="13"/>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67"/>
              <w:spacing w:after="0"/>
              <w:rPr>
                <w:sz w:val="20"/>
                <w:szCs w:val="20"/>
                <w:color w:val="auto"/>
              </w:rPr>
            </w:pPr>
            <w:r>
              <w:rPr>
                <w:rFonts w:ascii="Arial" w:cs="Arial" w:eastAsia="Arial" w:hAnsi="Arial"/>
                <w:sz w:val="11"/>
                <w:szCs w:val="11"/>
                <w:color w:val="auto"/>
              </w:rPr>
              <w:t>1,100</w:t>
            </w:r>
          </w:p>
        </w:tc>
      </w:tr>
      <w:tr>
        <w:trPr>
          <w:trHeight w:val="22"/>
        </w:trPr>
        <w:tc>
          <w:tcPr>
            <w:tcW w:w="7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160"/>
        </w:trPr>
        <w:tc>
          <w:tcPr>
            <w:tcW w:w="724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1"/>
                <w:szCs w:val="11"/>
                <w:color w:val="auto"/>
              </w:rPr>
              <w:t>OCI before reclassifications</w:t>
            </w:r>
          </w:p>
        </w:tc>
        <w:tc>
          <w:tcPr>
            <w:tcW w:w="100" w:type="dxa"/>
            <w:vAlign w:val="bottom"/>
            <w:tcBorders>
              <w:bottom w:val="single" w:sz="8" w:color="CCEEFF"/>
            </w:tcBorders>
            <w:shd w:val="clear" w:color="auto" w:fill="CCEEFF"/>
          </w:tcPr>
          <w:p>
            <w:pPr>
              <w:spacing w:after="0"/>
              <w:rPr>
                <w:sz w:val="13"/>
                <w:szCs w:val="13"/>
                <w:color w:val="auto"/>
              </w:rPr>
            </w:pPr>
          </w:p>
        </w:tc>
        <w:tc>
          <w:tcPr>
            <w:tcW w:w="140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(36)</w:t>
            </w: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132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1"/>
                <w:szCs w:val="11"/>
                <w:color w:val="auto"/>
              </w:rPr>
              <w:t>—</w:t>
            </w: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(36)</w:t>
            </w:r>
          </w:p>
        </w:tc>
      </w:tr>
      <w:tr>
        <w:trPr>
          <w:trHeight w:val="158"/>
        </w:trPr>
        <w:tc>
          <w:tcPr>
            <w:tcW w:w="7240" w:type="dxa"/>
            <w:vAlign w:val="bottom"/>
            <w:gridSpan w:val="2"/>
          </w:tcPr>
          <w:p>
            <w:pPr>
              <w:ind w:left="120"/>
              <w:spacing w:after="0"/>
              <w:rPr>
                <w:sz w:val="20"/>
                <w:szCs w:val="20"/>
                <w:color w:val="auto"/>
              </w:rPr>
            </w:pPr>
            <w:r>
              <w:rPr>
                <w:rFonts w:ascii="Arial" w:cs="Arial" w:eastAsia="Arial" w:hAnsi="Arial"/>
                <w:sz w:val="11"/>
                <w:szCs w:val="11"/>
                <w:color w:val="auto"/>
              </w:rPr>
              <w:t>Amounts reclassified from accumulated OCI</w:t>
            </w:r>
          </w:p>
        </w:tc>
        <w:tc>
          <w:tcPr>
            <w:tcW w:w="100" w:type="dxa"/>
            <w:vAlign w:val="bottom"/>
          </w:tcPr>
          <w:p>
            <w:pPr>
              <w:spacing w:after="0"/>
              <w:rPr>
                <w:sz w:val="13"/>
                <w:szCs w:val="13"/>
                <w:color w:val="auto"/>
              </w:rPr>
            </w:pPr>
          </w:p>
        </w:tc>
        <w:tc>
          <w:tcPr>
            <w:tcW w:w="1400" w:type="dxa"/>
            <w:vAlign w:val="bottom"/>
          </w:tcPr>
          <w:p>
            <w:pPr>
              <w:jc w:val="right"/>
              <w:ind w:right="27"/>
              <w:spacing w:after="0"/>
              <w:rPr>
                <w:sz w:val="20"/>
                <w:szCs w:val="20"/>
                <w:color w:val="auto"/>
              </w:rPr>
            </w:pPr>
            <w:r>
              <w:rPr>
                <w:rFonts w:ascii="Arial" w:cs="Arial" w:eastAsia="Arial" w:hAnsi="Arial"/>
                <w:sz w:val="11"/>
                <w:szCs w:val="11"/>
                <w:color w:val="auto"/>
              </w:rPr>
              <w:t>(61)</w:t>
            </w: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0" w:type="dxa"/>
            <w:vAlign w:val="bottom"/>
          </w:tcPr>
          <w:p>
            <w:pPr>
              <w:jc w:val="right"/>
              <w:ind w:right="67"/>
              <w:spacing w:after="0"/>
              <w:rPr>
                <w:sz w:val="20"/>
                <w:szCs w:val="20"/>
                <w:color w:val="auto"/>
              </w:rPr>
            </w:pPr>
            <w:r>
              <w:rPr>
                <w:rFonts w:ascii="Arial" w:cs="Arial" w:eastAsia="Arial" w:hAnsi="Arial"/>
                <w:sz w:val="11"/>
                <w:szCs w:val="11"/>
                <w:color w:val="auto"/>
              </w:rPr>
              <w:t>7</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27"/>
              <w:spacing w:after="0"/>
              <w:rPr>
                <w:sz w:val="20"/>
                <w:szCs w:val="20"/>
                <w:color w:val="auto"/>
              </w:rPr>
            </w:pPr>
            <w:r>
              <w:rPr>
                <w:rFonts w:ascii="Arial" w:cs="Arial" w:eastAsia="Arial" w:hAnsi="Arial"/>
                <w:sz w:val="11"/>
                <w:szCs w:val="11"/>
                <w:color w:val="auto"/>
              </w:rPr>
              <w:t>(54)</w:t>
            </w:r>
          </w:p>
        </w:tc>
      </w:tr>
      <w:tr>
        <w:trPr>
          <w:trHeight w:val="22"/>
        </w:trPr>
        <w:tc>
          <w:tcPr>
            <w:tcW w:w="71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r>
      <w:tr>
        <w:trPr>
          <w:trHeight w:val="167"/>
        </w:trPr>
        <w:tc>
          <w:tcPr>
            <w:tcW w:w="7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Balance as of September 30, 2016</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0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1,011</w:t>
            </w:r>
          </w:p>
        </w:tc>
        <w:tc>
          <w:tcPr>
            <w:tcW w:w="120" w:type="dxa"/>
            <w:vAlign w:val="bottom"/>
            <w:tcBorders>
              <w:bottom w:val="single" w:sz="8" w:color="CCEEFF"/>
            </w:tcBorders>
            <w:shd w:val="clear" w:color="auto" w:fill="CCEEFF"/>
          </w:tcPr>
          <w:p>
            <w:pPr>
              <w:spacing w:after="0"/>
              <w:rPr>
                <w:sz w:val="14"/>
                <w:szCs w:val="14"/>
                <w:color w:val="auto"/>
              </w:rPr>
            </w:pPr>
          </w:p>
        </w:tc>
        <w:tc>
          <w:tcPr>
            <w:tcW w:w="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auto"/>
            </w:tcBorders>
            <w:shd w:val="clear" w:color="auto" w:fill="CCEEFF"/>
          </w:tcPr>
          <w:p>
            <w:pPr>
              <w:jc w:val="right"/>
              <w:ind w:right="27"/>
              <w:spacing w:after="0"/>
              <w:rPr>
                <w:sz w:val="20"/>
                <w:szCs w:val="20"/>
                <w:color w:val="auto"/>
              </w:rPr>
            </w:pPr>
            <w:r>
              <w:rPr>
                <w:rFonts w:ascii="Arial" w:cs="Arial" w:eastAsia="Arial" w:hAnsi="Arial"/>
                <w:sz w:val="11"/>
                <w:szCs w:val="11"/>
                <w:color w:val="auto"/>
              </w:rPr>
              <w:t>(1)</w:t>
            </w:r>
          </w:p>
        </w:tc>
        <w:tc>
          <w:tcPr>
            <w:tcW w:w="12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1,010</w:t>
            </w:r>
          </w:p>
        </w:tc>
      </w:tr>
      <w:tr>
        <w:trPr>
          <w:trHeight w:val="198"/>
        </w:trPr>
        <w:tc>
          <w:tcPr>
            <w:tcW w:w="7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00" w:type="dxa"/>
            <w:vAlign w:val="bottom"/>
          </w:tcPr>
          <w:p>
            <w:pPr>
              <w:spacing w:after="0"/>
              <w:rPr>
                <w:sz w:val="17"/>
                <w:szCs w:val="17"/>
                <w:color w:val="auto"/>
              </w:rPr>
            </w:pPr>
          </w:p>
        </w:tc>
      </w:tr>
      <w:tr>
        <w:trPr>
          <w:trHeight w:val="160"/>
        </w:trPr>
        <w:tc>
          <w:tcPr>
            <w:tcW w:w="7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b w:val="1"/>
                <w:bCs w:val="1"/>
                <w:color w:val="auto"/>
              </w:rPr>
              <w:t>Three Months Ended September 30, 2015</w:t>
            </w:r>
          </w:p>
        </w:tc>
        <w:tc>
          <w:tcPr>
            <w:tcW w:w="100" w:type="dxa"/>
            <w:vAlign w:val="bottom"/>
            <w:tcBorders>
              <w:bottom w:val="single" w:sz="8" w:color="CCEEFF"/>
            </w:tcBorders>
            <w:shd w:val="clear" w:color="auto" w:fill="CCEEFF"/>
          </w:tcPr>
          <w:p>
            <w:pPr>
              <w:spacing w:after="0"/>
              <w:rPr>
                <w:sz w:val="13"/>
                <w:szCs w:val="13"/>
                <w:color w:val="auto"/>
              </w:rPr>
            </w:pPr>
          </w:p>
        </w:tc>
        <w:tc>
          <w:tcPr>
            <w:tcW w:w="14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12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spacing w:after="0"/>
              <w:rPr>
                <w:sz w:val="13"/>
                <w:szCs w:val="13"/>
                <w:color w:val="auto"/>
              </w:rPr>
            </w:pPr>
          </w:p>
        </w:tc>
      </w:tr>
      <w:tr>
        <w:trPr>
          <w:trHeight w:val="158"/>
        </w:trPr>
        <w:tc>
          <w:tcPr>
            <w:tcW w:w="7240" w:type="dxa"/>
            <w:vAlign w:val="bottom"/>
            <w:gridSpan w:val="2"/>
          </w:tcPr>
          <w:p>
            <w:pPr>
              <w:ind w:left="20"/>
              <w:spacing w:after="0"/>
              <w:rPr>
                <w:sz w:val="20"/>
                <w:szCs w:val="20"/>
                <w:color w:val="auto"/>
              </w:rPr>
            </w:pPr>
            <w:r>
              <w:rPr>
                <w:rFonts w:ascii="Arial" w:cs="Arial" w:eastAsia="Arial" w:hAnsi="Arial"/>
                <w:sz w:val="11"/>
                <w:szCs w:val="11"/>
                <w:color w:val="auto"/>
              </w:rPr>
              <w:t>Balance as of June 30, 2015</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400" w:type="dxa"/>
            <w:vAlign w:val="bottom"/>
          </w:tcPr>
          <w:p>
            <w:pPr>
              <w:jc w:val="right"/>
              <w:ind w:right="67"/>
              <w:spacing w:after="0"/>
              <w:rPr>
                <w:sz w:val="20"/>
                <w:szCs w:val="20"/>
                <w:color w:val="auto"/>
              </w:rPr>
            </w:pPr>
            <w:r>
              <w:rPr>
                <w:rFonts w:ascii="Arial" w:cs="Arial" w:eastAsia="Arial" w:hAnsi="Arial"/>
                <w:sz w:val="11"/>
                <w:szCs w:val="11"/>
                <w:color w:val="auto"/>
              </w:rPr>
              <w:t>89</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27"/>
              <w:spacing w:after="0"/>
              <w:rPr>
                <w:sz w:val="20"/>
                <w:szCs w:val="20"/>
                <w:color w:val="auto"/>
              </w:rPr>
            </w:pPr>
            <w:r>
              <w:rPr>
                <w:rFonts w:ascii="Arial" w:cs="Arial" w:eastAsia="Arial" w:hAnsi="Arial"/>
                <w:sz w:val="11"/>
                <w:szCs w:val="11"/>
                <w:color w:val="auto"/>
              </w:rPr>
              <w:t>(85)</w:t>
            </w:r>
          </w:p>
        </w:tc>
        <w:tc>
          <w:tcPr>
            <w:tcW w:w="120" w:type="dxa"/>
            <w:vAlign w:val="bottom"/>
          </w:tcPr>
          <w:p>
            <w:pPr>
              <w:spacing w:after="0"/>
              <w:rPr>
                <w:sz w:val="13"/>
                <w:szCs w:val="13"/>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67"/>
              <w:spacing w:after="0"/>
              <w:rPr>
                <w:sz w:val="20"/>
                <w:szCs w:val="20"/>
                <w:color w:val="auto"/>
              </w:rPr>
            </w:pPr>
            <w:r>
              <w:rPr>
                <w:rFonts w:ascii="Arial" w:cs="Arial" w:eastAsia="Arial" w:hAnsi="Arial"/>
                <w:sz w:val="11"/>
                <w:szCs w:val="11"/>
                <w:color w:val="auto"/>
              </w:rPr>
              <w:t>4</w:t>
            </w:r>
          </w:p>
        </w:tc>
      </w:tr>
      <w:tr>
        <w:trPr>
          <w:trHeight w:val="22"/>
        </w:trPr>
        <w:tc>
          <w:tcPr>
            <w:tcW w:w="7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160"/>
        </w:trPr>
        <w:tc>
          <w:tcPr>
            <w:tcW w:w="724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1"/>
                <w:szCs w:val="11"/>
                <w:color w:val="auto"/>
              </w:rPr>
              <w:t>OCI before reclassifications</w:t>
            </w:r>
          </w:p>
        </w:tc>
        <w:tc>
          <w:tcPr>
            <w:tcW w:w="100" w:type="dxa"/>
            <w:vAlign w:val="bottom"/>
            <w:tcBorders>
              <w:bottom w:val="single" w:sz="8" w:color="CCEEFF"/>
            </w:tcBorders>
            <w:shd w:val="clear" w:color="auto" w:fill="CCEEFF"/>
          </w:tcPr>
          <w:p>
            <w:pPr>
              <w:spacing w:after="0"/>
              <w:rPr>
                <w:sz w:val="13"/>
                <w:szCs w:val="13"/>
                <w:color w:val="auto"/>
              </w:rPr>
            </w:pPr>
          </w:p>
        </w:tc>
        <w:tc>
          <w:tcPr>
            <w:tcW w:w="140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428</w:t>
            </w: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132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1"/>
                <w:szCs w:val="11"/>
                <w:color w:val="auto"/>
              </w:rPr>
              <w:t>—</w:t>
            </w: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428</w:t>
            </w:r>
          </w:p>
        </w:tc>
      </w:tr>
      <w:tr>
        <w:trPr>
          <w:trHeight w:val="158"/>
        </w:trPr>
        <w:tc>
          <w:tcPr>
            <w:tcW w:w="7240" w:type="dxa"/>
            <w:vAlign w:val="bottom"/>
            <w:gridSpan w:val="2"/>
          </w:tcPr>
          <w:p>
            <w:pPr>
              <w:ind w:left="120"/>
              <w:spacing w:after="0"/>
              <w:rPr>
                <w:sz w:val="20"/>
                <w:szCs w:val="20"/>
                <w:color w:val="auto"/>
              </w:rPr>
            </w:pPr>
            <w:r>
              <w:rPr>
                <w:rFonts w:ascii="Arial" w:cs="Arial" w:eastAsia="Arial" w:hAnsi="Arial"/>
                <w:sz w:val="11"/>
                <w:szCs w:val="11"/>
                <w:color w:val="auto"/>
              </w:rPr>
              <w:t>Amounts reclassified from accumulated OCI</w:t>
            </w:r>
          </w:p>
        </w:tc>
        <w:tc>
          <w:tcPr>
            <w:tcW w:w="100" w:type="dxa"/>
            <w:vAlign w:val="bottom"/>
          </w:tcPr>
          <w:p>
            <w:pPr>
              <w:spacing w:after="0"/>
              <w:rPr>
                <w:sz w:val="13"/>
                <w:szCs w:val="13"/>
                <w:color w:val="auto"/>
              </w:rPr>
            </w:pPr>
          </w:p>
        </w:tc>
        <w:tc>
          <w:tcPr>
            <w:tcW w:w="1400" w:type="dxa"/>
            <w:vAlign w:val="bottom"/>
          </w:tcPr>
          <w:p>
            <w:pPr>
              <w:jc w:val="right"/>
              <w:ind w:right="67"/>
              <w:spacing w:after="0"/>
              <w:rPr>
                <w:sz w:val="20"/>
                <w:szCs w:val="20"/>
                <w:color w:val="auto"/>
              </w:rPr>
            </w:pPr>
            <w:r>
              <w:rPr>
                <w:rFonts w:ascii="Arial" w:cs="Arial" w:eastAsia="Arial" w:hAnsi="Arial"/>
                <w:sz w:val="11"/>
                <w:szCs w:val="11"/>
                <w:color w:val="auto"/>
              </w:rPr>
              <w:t>39</w:t>
            </w: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0" w:type="dxa"/>
            <w:vAlign w:val="bottom"/>
          </w:tcPr>
          <w:p>
            <w:pPr>
              <w:jc w:val="right"/>
              <w:ind w:right="67"/>
              <w:spacing w:after="0"/>
              <w:rPr>
                <w:sz w:val="20"/>
                <w:szCs w:val="20"/>
                <w:color w:val="auto"/>
              </w:rPr>
            </w:pPr>
            <w:r>
              <w:rPr>
                <w:rFonts w:ascii="Arial" w:cs="Arial" w:eastAsia="Arial" w:hAnsi="Arial"/>
                <w:sz w:val="11"/>
                <w:szCs w:val="11"/>
                <w:color w:val="auto"/>
              </w:rPr>
              <w:t>24</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67"/>
              <w:spacing w:after="0"/>
              <w:rPr>
                <w:sz w:val="20"/>
                <w:szCs w:val="20"/>
                <w:color w:val="auto"/>
              </w:rPr>
            </w:pPr>
            <w:r>
              <w:rPr>
                <w:rFonts w:ascii="Arial" w:cs="Arial" w:eastAsia="Arial" w:hAnsi="Arial"/>
                <w:sz w:val="11"/>
                <w:szCs w:val="11"/>
                <w:color w:val="auto"/>
              </w:rPr>
              <w:t>63</w:t>
            </w:r>
          </w:p>
        </w:tc>
      </w:tr>
      <w:tr>
        <w:trPr>
          <w:trHeight w:val="22"/>
        </w:trPr>
        <w:tc>
          <w:tcPr>
            <w:tcW w:w="71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r>
      <w:tr>
        <w:trPr>
          <w:trHeight w:val="167"/>
        </w:trPr>
        <w:tc>
          <w:tcPr>
            <w:tcW w:w="7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Balance as of September 30, 2015</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0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556</w:t>
            </w:r>
          </w:p>
        </w:tc>
        <w:tc>
          <w:tcPr>
            <w:tcW w:w="120" w:type="dxa"/>
            <w:vAlign w:val="bottom"/>
            <w:tcBorders>
              <w:bottom w:val="single" w:sz="8" w:color="CCEEFF"/>
            </w:tcBorders>
            <w:shd w:val="clear" w:color="auto" w:fill="CCEEFF"/>
          </w:tcPr>
          <w:p>
            <w:pPr>
              <w:spacing w:after="0"/>
              <w:rPr>
                <w:sz w:val="14"/>
                <w:szCs w:val="14"/>
                <w:color w:val="auto"/>
              </w:rPr>
            </w:pPr>
          </w:p>
        </w:tc>
        <w:tc>
          <w:tcPr>
            <w:tcW w:w="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auto"/>
            </w:tcBorders>
            <w:shd w:val="clear" w:color="auto" w:fill="CCEEFF"/>
          </w:tcPr>
          <w:p>
            <w:pPr>
              <w:jc w:val="right"/>
              <w:ind w:right="27"/>
              <w:spacing w:after="0"/>
              <w:rPr>
                <w:sz w:val="20"/>
                <w:szCs w:val="20"/>
                <w:color w:val="auto"/>
              </w:rPr>
            </w:pPr>
            <w:r>
              <w:rPr>
                <w:rFonts w:ascii="Arial" w:cs="Arial" w:eastAsia="Arial" w:hAnsi="Arial"/>
                <w:sz w:val="11"/>
                <w:szCs w:val="11"/>
                <w:color w:val="auto"/>
              </w:rPr>
              <w:t>(61)</w:t>
            </w:r>
          </w:p>
        </w:tc>
        <w:tc>
          <w:tcPr>
            <w:tcW w:w="12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495</w:t>
            </w:r>
          </w:p>
        </w:tc>
      </w:tr>
      <w:tr>
        <w:trPr>
          <w:trHeight w:val="198"/>
        </w:trPr>
        <w:tc>
          <w:tcPr>
            <w:tcW w:w="7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00" w:type="dxa"/>
            <w:vAlign w:val="bottom"/>
          </w:tcPr>
          <w:p>
            <w:pPr>
              <w:spacing w:after="0"/>
              <w:rPr>
                <w:sz w:val="17"/>
                <w:szCs w:val="17"/>
                <w:color w:val="auto"/>
              </w:rPr>
            </w:pPr>
          </w:p>
        </w:tc>
      </w:tr>
      <w:tr>
        <w:trPr>
          <w:trHeight w:val="160"/>
        </w:trPr>
        <w:tc>
          <w:tcPr>
            <w:tcW w:w="7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b w:val="1"/>
                <w:bCs w:val="1"/>
                <w:color w:val="auto"/>
              </w:rPr>
              <w:t>Nine Months Ended September 30, 2016</w:t>
            </w:r>
          </w:p>
        </w:tc>
        <w:tc>
          <w:tcPr>
            <w:tcW w:w="100" w:type="dxa"/>
            <w:vAlign w:val="bottom"/>
            <w:tcBorders>
              <w:bottom w:val="single" w:sz="8" w:color="CCEEFF"/>
            </w:tcBorders>
            <w:shd w:val="clear" w:color="auto" w:fill="CCEEFF"/>
          </w:tcPr>
          <w:p>
            <w:pPr>
              <w:spacing w:after="0"/>
              <w:rPr>
                <w:sz w:val="13"/>
                <w:szCs w:val="13"/>
                <w:color w:val="auto"/>
              </w:rPr>
            </w:pPr>
          </w:p>
        </w:tc>
        <w:tc>
          <w:tcPr>
            <w:tcW w:w="14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12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spacing w:after="0"/>
              <w:rPr>
                <w:sz w:val="13"/>
                <w:szCs w:val="13"/>
                <w:color w:val="auto"/>
              </w:rPr>
            </w:pPr>
          </w:p>
        </w:tc>
      </w:tr>
      <w:tr>
        <w:trPr>
          <w:trHeight w:val="158"/>
        </w:trPr>
        <w:tc>
          <w:tcPr>
            <w:tcW w:w="7240" w:type="dxa"/>
            <w:vAlign w:val="bottom"/>
            <w:gridSpan w:val="2"/>
          </w:tcPr>
          <w:p>
            <w:pPr>
              <w:ind w:left="20"/>
              <w:spacing w:after="0"/>
              <w:rPr>
                <w:sz w:val="20"/>
                <w:szCs w:val="20"/>
                <w:color w:val="auto"/>
              </w:rPr>
            </w:pPr>
            <w:r>
              <w:rPr>
                <w:rFonts w:ascii="Arial" w:cs="Arial" w:eastAsia="Arial" w:hAnsi="Arial"/>
                <w:sz w:val="11"/>
                <w:szCs w:val="11"/>
                <w:color w:val="auto"/>
              </w:rPr>
              <w:t>Balance as of December 31, 2015</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400" w:type="dxa"/>
            <w:vAlign w:val="bottom"/>
          </w:tcPr>
          <w:p>
            <w:pPr>
              <w:jc w:val="right"/>
              <w:ind w:right="27"/>
              <w:spacing w:after="0"/>
              <w:rPr>
                <w:sz w:val="20"/>
                <w:szCs w:val="20"/>
                <w:color w:val="auto"/>
              </w:rPr>
            </w:pPr>
            <w:r>
              <w:rPr>
                <w:rFonts w:ascii="Arial" w:cs="Arial" w:eastAsia="Arial" w:hAnsi="Arial"/>
                <w:sz w:val="11"/>
                <w:szCs w:val="11"/>
                <w:color w:val="auto"/>
              </w:rPr>
              <w:t>(27)</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27"/>
              <w:spacing w:after="0"/>
              <w:rPr>
                <w:sz w:val="20"/>
                <w:szCs w:val="20"/>
                <w:color w:val="auto"/>
              </w:rPr>
            </w:pPr>
            <w:r>
              <w:rPr>
                <w:rFonts w:ascii="Arial" w:cs="Arial" w:eastAsia="Arial" w:hAnsi="Arial"/>
                <w:sz w:val="11"/>
                <w:szCs w:val="11"/>
                <w:color w:val="auto"/>
              </w:rPr>
              <w:t>(39)</w:t>
            </w:r>
          </w:p>
        </w:tc>
        <w:tc>
          <w:tcPr>
            <w:tcW w:w="120" w:type="dxa"/>
            <w:vAlign w:val="bottom"/>
          </w:tcPr>
          <w:p>
            <w:pPr>
              <w:spacing w:after="0"/>
              <w:rPr>
                <w:sz w:val="13"/>
                <w:szCs w:val="13"/>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27"/>
              <w:spacing w:after="0"/>
              <w:rPr>
                <w:sz w:val="20"/>
                <w:szCs w:val="20"/>
                <w:color w:val="auto"/>
              </w:rPr>
            </w:pPr>
            <w:r>
              <w:rPr>
                <w:rFonts w:ascii="Arial" w:cs="Arial" w:eastAsia="Arial" w:hAnsi="Arial"/>
                <w:sz w:val="11"/>
                <w:szCs w:val="11"/>
                <w:color w:val="auto"/>
              </w:rPr>
              <w:t>(66)</w:t>
            </w:r>
          </w:p>
        </w:tc>
      </w:tr>
      <w:tr>
        <w:trPr>
          <w:trHeight w:val="22"/>
        </w:trPr>
        <w:tc>
          <w:tcPr>
            <w:tcW w:w="7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160"/>
        </w:trPr>
        <w:tc>
          <w:tcPr>
            <w:tcW w:w="724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1"/>
                <w:szCs w:val="11"/>
                <w:color w:val="auto"/>
              </w:rPr>
              <w:t>OCI before reclassifications</w:t>
            </w:r>
          </w:p>
        </w:tc>
        <w:tc>
          <w:tcPr>
            <w:tcW w:w="100" w:type="dxa"/>
            <w:vAlign w:val="bottom"/>
            <w:tcBorders>
              <w:bottom w:val="single" w:sz="8" w:color="CCEEFF"/>
            </w:tcBorders>
            <w:shd w:val="clear" w:color="auto" w:fill="CCEEFF"/>
          </w:tcPr>
          <w:p>
            <w:pPr>
              <w:spacing w:after="0"/>
              <w:rPr>
                <w:sz w:val="13"/>
                <w:szCs w:val="13"/>
                <w:color w:val="auto"/>
              </w:rPr>
            </w:pPr>
          </w:p>
        </w:tc>
        <w:tc>
          <w:tcPr>
            <w:tcW w:w="140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1,152</w:t>
            </w: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132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1"/>
                <w:szCs w:val="11"/>
                <w:color w:val="auto"/>
              </w:rPr>
              <w:t>—</w:t>
            </w: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jc w:val="right"/>
              <w:ind w:right="67"/>
              <w:spacing w:after="0"/>
              <w:rPr>
                <w:sz w:val="20"/>
                <w:szCs w:val="20"/>
                <w:color w:val="auto"/>
              </w:rPr>
            </w:pPr>
            <w:r>
              <w:rPr>
                <w:rFonts w:ascii="Arial" w:cs="Arial" w:eastAsia="Arial" w:hAnsi="Arial"/>
                <w:sz w:val="11"/>
                <w:szCs w:val="11"/>
                <w:color w:val="auto"/>
              </w:rPr>
              <w:t>1,152</w:t>
            </w:r>
          </w:p>
        </w:tc>
      </w:tr>
      <w:tr>
        <w:trPr>
          <w:trHeight w:val="158"/>
        </w:trPr>
        <w:tc>
          <w:tcPr>
            <w:tcW w:w="7240" w:type="dxa"/>
            <w:vAlign w:val="bottom"/>
            <w:gridSpan w:val="2"/>
          </w:tcPr>
          <w:p>
            <w:pPr>
              <w:ind w:left="120"/>
              <w:spacing w:after="0"/>
              <w:rPr>
                <w:sz w:val="20"/>
                <w:szCs w:val="20"/>
                <w:color w:val="auto"/>
              </w:rPr>
            </w:pPr>
            <w:r>
              <w:rPr>
                <w:rFonts w:ascii="Arial" w:cs="Arial" w:eastAsia="Arial" w:hAnsi="Arial"/>
                <w:sz w:val="11"/>
                <w:szCs w:val="11"/>
                <w:color w:val="auto"/>
              </w:rPr>
              <w:t>Amounts reclassified from accumulated OCI</w:t>
            </w:r>
          </w:p>
        </w:tc>
        <w:tc>
          <w:tcPr>
            <w:tcW w:w="100" w:type="dxa"/>
            <w:vAlign w:val="bottom"/>
          </w:tcPr>
          <w:p>
            <w:pPr>
              <w:spacing w:after="0"/>
              <w:rPr>
                <w:sz w:val="13"/>
                <w:szCs w:val="13"/>
                <w:color w:val="auto"/>
              </w:rPr>
            </w:pPr>
          </w:p>
        </w:tc>
        <w:tc>
          <w:tcPr>
            <w:tcW w:w="1400" w:type="dxa"/>
            <w:vAlign w:val="bottom"/>
          </w:tcPr>
          <w:p>
            <w:pPr>
              <w:jc w:val="right"/>
              <w:ind w:right="27"/>
              <w:spacing w:after="0"/>
              <w:rPr>
                <w:sz w:val="20"/>
                <w:szCs w:val="20"/>
                <w:color w:val="auto"/>
              </w:rPr>
            </w:pPr>
            <w:r>
              <w:rPr>
                <w:rFonts w:ascii="Arial" w:cs="Arial" w:eastAsia="Arial" w:hAnsi="Arial"/>
                <w:sz w:val="11"/>
                <w:szCs w:val="11"/>
                <w:color w:val="auto"/>
              </w:rPr>
              <w:t>(114)</w:t>
            </w: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0" w:type="dxa"/>
            <w:vAlign w:val="bottom"/>
          </w:tcPr>
          <w:p>
            <w:pPr>
              <w:jc w:val="right"/>
              <w:ind w:right="67"/>
              <w:spacing w:after="0"/>
              <w:rPr>
                <w:sz w:val="20"/>
                <w:szCs w:val="20"/>
                <w:color w:val="auto"/>
              </w:rPr>
            </w:pPr>
            <w:r>
              <w:rPr>
                <w:rFonts w:ascii="Arial" w:cs="Arial" w:eastAsia="Arial" w:hAnsi="Arial"/>
                <w:sz w:val="11"/>
                <w:szCs w:val="11"/>
                <w:color w:val="auto"/>
              </w:rPr>
              <w:t>38</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27"/>
              <w:spacing w:after="0"/>
              <w:rPr>
                <w:sz w:val="20"/>
                <w:szCs w:val="20"/>
                <w:color w:val="auto"/>
              </w:rPr>
            </w:pPr>
            <w:r>
              <w:rPr>
                <w:rFonts w:ascii="Arial" w:cs="Arial" w:eastAsia="Arial" w:hAnsi="Arial"/>
                <w:sz w:val="11"/>
                <w:szCs w:val="11"/>
                <w:color w:val="auto"/>
              </w:rPr>
              <w:t>(76)</w:t>
            </w:r>
          </w:p>
        </w:tc>
      </w:tr>
      <w:tr>
        <w:trPr>
          <w:trHeight w:val="22"/>
        </w:trPr>
        <w:tc>
          <w:tcPr>
            <w:tcW w:w="71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r>
      <w:tr>
        <w:trPr>
          <w:trHeight w:val="167"/>
        </w:trPr>
        <w:tc>
          <w:tcPr>
            <w:tcW w:w="7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Balance as of September 30, 2016</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0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1,011</w:t>
            </w:r>
          </w:p>
        </w:tc>
        <w:tc>
          <w:tcPr>
            <w:tcW w:w="120" w:type="dxa"/>
            <w:vAlign w:val="bottom"/>
            <w:tcBorders>
              <w:bottom w:val="single" w:sz="8" w:color="CCEEFF"/>
            </w:tcBorders>
            <w:shd w:val="clear" w:color="auto" w:fill="CCEEFF"/>
          </w:tcPr>
          <w:p>
            <w:pPr>
              <w:spacing w:after="0"/>
              <w:rPr>
                <w:sz w:val="14"/>
                <w:szCs w:val="14"/>
                <w:color w:val="auto"/>
              </w:rPr>
            </w:pPr>
          </w:p>
        </w:tc>
        <w:tc>
          <w:tcPr>
            <w:tcW w:w="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auto"/>
            </w:tcBorders>
            <w:shd w:val="clear" w:color="auto" w:fill="CCEEFF"/>
          </w:tcPr>
          <w:p>
            <w:pPr>
              <w:jc w:val="right"/>
              <w:ind w:right="27"/>
              <w:spacing w:after="0"/>
              <w:rPr>
                <w:sz w:val="20"/>
                <w:szCs w:val="20"/>
                <w:color w:val="auto"/>
              </w:rPr>
            </w:pPr>
            <w:r>
              <w:rPr>
                <w:rFonts w:ascii="Arial" w:cs="Arial" w:eastAsia="Arial" w:hAnsi="Arial"/>
                <w:sz w:val="11"/>
                <w:szCs w:val="11"/>
                <w:color w:val="auto"/>
              </w:rPr>
              <w:t>(1)</w:t>
            </w:r>
          </w:p>
        </w:tc>
        <w:tc>
          <w:tcPr>
            <w:tcW w:w="12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1,010</w:t>
            </w:r>
          </w:p>
        </w:tc>
      </w:tr>
      <w:tr>
        <w:trPr>
          <w:trHeight w:val="198"/>
        </w:trPr>
        <w:tc>
          <w:tcPr>
            <w:tcW w:w="7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00" w:type="dxa"/>
            <w:vAlign w:val="bottom"/>
          </w:tcPr>
          <w:p>
            <w:pPr>
              <w:spacing w:after="0"/>
              <w:rPr>
                <w:sz w:val="17"/>
                <w:szCs w:val="17"/>
                <w:color w:val="auto"/>
              </w:rPr>
            </w:pPr>
          </w:p>
        </w:tc>
      </w:tr>
      <w:tr>
        <w:trPr>
          <w:trHeight w:val="160"/>
        </w:trPr>
        <w:tc>
          <w:tcPr>
            <w:tcW w:w="7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b w:val="1"/>
                <w:bCs w:val="1"/>
                <w:color w:val="auto"/>
              </w:rPr>
              <w:t>Nine Months Ended September 30, 2015</w:t>
            </w:r>
          </w:p>
        </w:tc>
        <w:tc>
          <w:tcPr>
            <w:tcW w:w="100" w:type="dxa"/>
            <w:vAlign w:val="bottom"/>
            <w:tcBorders>
              <w:bottom w:val="single" w:sz="8" w:color="CCEEFF"/>
            </w:tcBorders>
            <w:shd w:val="clear" w:color="auto" w:fill="CCEEFF"/>
          </w:tcPr>
          <w:p>
            <w:pPr>
              <w:spacing w:after="0"/>
              <w:rPr>
                <w:sz w:val="13"/>
                <w:szCs w:val="13"/>
                <w:color w:val="auto"/>
              </w:rPr>
            </w:pPr>
          </w:p>
        </w:tc>
        <w:tc>
          <w:tcPr>
            <w:tcW w:w="14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12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spacing w:after="0"/>
              <w:rPr>
                <w:sz w:val="13"/>
                <w:szCs w:val="13"/>
                <w:color w:val="auto"/>
              </w:rPr>
            </w:pPr>
          </w:p>
        </w:tc>
      </w:tr>
      <w:tr>
        <w:trPr>
          <w:trHeight w:val="158"/>
        </w:trPr>
        <w:tc>
          <w:tcPr>
            <w:tcW w:w="7240" w:type="dxa"/>
            <w:vAlign w:val="bottom"/>
            <w:gridSpan w:val="2"/>
          </w:tcPr>
          <w:p>
            <w:pPr>
              <w:ind w:left="20"/>
              <w:spacing w:after="0"/>
              <w:rPr>
                <w:sz w:val="20"/>
                <w:szCs w:val="20"/>
                <w:color w:val="auto"/>
              </w:rPr>
            </w:pPr>
            <w:r>
              <w:rPr>
                <w:rFonts w:ascii="Arial" w:cs="Arial" w:eastAsia="Arial" w:hAnsi="Arial"/>
                <w:sz w:val="11"/>
                <w:szCs w:val="11"/>
                <w:color w:val="auto"/>
              </w:rPr>
              <w:t>Balance as of December 31, 2014</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400" w:type="dxa"/>
            <w:vAlign w:val="bottom"/>
          </w:tcPr>
          <w:p>
            <w:pPr>
              <w:jc w:val="right"/>
              <w:ind w:right="67"/>
              <w:spacing w:after="0"/>
              <w:rPr>
                <w:sz w:val="20"/>
                <w:szCs w:val="20"/>
                <w:color w:val="auto"/>
              </w:rPr>
            </w:pPr>
            <w:r>
              <w:rPr>
                <w:rFonts w:ascii="Arial" w:cs="Arial" w:eastAsia="Arial" w:hAnsi="Arial"/>
                <w:sz w:val="11"/>
                <w:szCs w:val="11"/>
                <w:color w:val="auto"/>
              </w:rPr>
              <w:t>570</w:t>
            </w:r>
          </w:p>
        </w:tc>
        <w:tc>
          <w:tcPr>
            <w:tcW w:w="120" w:type="dxa"/>
            <w:vAlign w:val="bottom"/>
          </w:tcPr>
          <w:p>
            <w:pPr>
              <w:spacing w:after="0"/>
              <w:rPr>
                <w:sz w:val="13"/>
                <w:szCs w:val="13"/>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27"/>
              <w:spacing w:after="0"/>
              <w:rPr>
                <w:sz w:val="20"/>
                <w:szCs w:val="20"/>
                <w:color w:val="auto"/>
              </w:rPr>
            </w:pPr>
            <w:r>
              <w:rPr>
                <w:rFonts w:ascii="Arial" w:cs="Arial" w:eastAsia="Arial" w:hAnsi="Arial"/>
                <w:sz w:val="11"/>
                <w:szCs w:val="11"/>
                <w:color w:val="auto"/>
              </w:rPr>
              <w:t>(140)</w:t>
            </w:r>
          </w:p>
        </w:tc>
        <w:tc>
          <w:tcPr>
            <w:tcW w:w="120" w:type="dxa"/>
            <w:vAlign w:val="bottom"/>
          </w:tcPr>
          <w:p>
            <w:pPr>
              <w:spacing w:after="0"/>
              <w:rPr>
                <w:sz w:val="13"/>
                <w:szCs w:val="13"/>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67"/>
              <w:spacing w:after="0"/>
              <w:rPr>
                <w:sz w:val="20"/>
                <w:szCs w:val="20"/>
                <w:color w:val="auto"/>
              </w:rPr>
            </w:pPr>
            <w:r>
              <w:rPr>
                <w:rFonts w:ascii="Arial" w:cs="Arial" w:eastAsia="Arial" w:hAnsi="Arial"/>
                <w:sz w:val="11"/>
                <w:szCs w:val="11"/>
                <w:color w:val="auto"/>
              </w:rPr>
              <w:t>430</w:t>
            </w:r>
          </w:p>
        </w:tc>
      </w:tr>
      <w:tr>
        <w:trPr>
          <w:trHeight w:val="22"/>
        </w:trPr>
        <w:tc>
          <w:tcPr>
            <w:tcW w:w="7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160"/>
        </w:trPr>
        <w:tc>
          <w:tcPr>
            <w:tcW w:w="724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1"/>
                <w:szCs w:val="11"/>
                <w:color w:val="auto"/>
              </w:rPr>
              <w:t>OCI before reclassifications</w:t>
            </w:r>
          </w:p>
        </w:tc>
        <w:tc>
          <w:tcPr>
            <w:tcW w:w="100" w:type="dxa"/>
            <w:vAlign w:val="bottom"/>
            <w:tcBorders>
              <w:bottom w:val="single" w:sz="8" w:color="CCEEFF"/>
            </w:tcBorders>
            <w:shd w:val="clear" w:color="auto" w:fill="CCEEFF"/>
          </w:tcPr>
          <w:p>
            <w:pPr>
              <w:spacing w:after="0"/>
              <w:rPr>
                <w:sz w:val="13"/>
                <w:szCs w:val="13"/>
                <w:color w:val="auto"/>
              </w:rPr>
            </w:pPr>
          </w:p>
        </w:tc>
        <w:tc>
          <w:tcPr>
            <w:tcW w:w="140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(39)</w:t>
            </w:r>
          </w:p>
        </w:tc>
        <w:tc>
          <w:tcPr>
            <w:tcW w:w="1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132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1"/>
                <w:szCs w:val="11"/>
                <w:color w:val="auto"/>
              </w:rPr>
              <w:t>—</w:t>
            </w:r>
          </w:p>
        </w:tc>
        <w:tc>
          <w:tcPr>
            <w:tcW w:w="140" w:type="dxa"/>
            <w:vAlign w:val="bottom"/>
            <w:tcBorders>
              <w:bottom w:val="single" w:sz="8" w:color="CCEEFF"/>
            </w:tcBorders>
            <w:shd w:val="clear" w:color="auto" w:fill="CCEEFF"/>
          </w:tcPr>
          <w:p>
            <w:pPr>
              <w:spacing w:after="0"/>
              <w:rPr>
                <w:sz w:val="13"/>
                <w:szCs w:val="13"/>
                <w:color w:val="auto"/>
              </w:rPr>
            </w:pPr>
          </w:p>
        </w:tc>
        <w:tc>
          <w:tcPr>
            <w:tcW w:w="1100" w:type="dxa"/>
            <w:vAlign w:val="bottom"/>
            <w:tcBorders>
              <w:bottom w:val="single" w:sz="8" w:color="CCEEFF"/>
            </w:tcBorders>
            <w:shd w:val="clear" w:color="auto" w:fill="CCEEFF"/>
          </w:tcPr>
          <w:p>
            <w:pPr>
              <w:jc w:val="right"/>
              <w:ind w:right="27"/>
              <w:spacing w:after="0"/>
              <w:rPr>
                <w:sz w:val="20"/>
                <w:szCs w:val="20"/>
                <w:color w:val="auto"/>
              </w:rPr>
            </w:pPr>
            <w:r>
              <w:rPr>
                <w:rFonts w:ascii="Arial" w:cs="Arial" w:eastAsia="Arial" w:hAnsi="Arial"/>
                <w:sz w:val="11"/>
                <w:szCs w:val="11"/>
                <w:color w:val="auto"/>
              </w:rPr>
              <w:t>(39)</w:t>
            </w:r>
          </w:p>
        </w:tc>
      </w:tr>
      <w:tr>
        <w:trPr>
          <w:trHeight w:val="158"/>
        </w:trPr>
        <w:tc>
          <w:tcPr>
            <w:tcW w:w="7240" w:type="dxa"/>
            <w:vAlign w:val="bottom"/>
            <w:gridSpan w:val="2"/>
          </w:tcPr>
          <w:p>
            <w:pPr>
              <w:ind w:left="120"/>
              <w:spacing w:after="0"/>
              <w:rPr>
                <w:sz w:val="20"/>
                <w:szCs w:val="20"/>
                <w:color w:val="auto"/>
              </w:rPr>
            </w:pPr>
            <w:r>
              <w:rPr>
                <w:rFonts w:ascii="Arial" w:cs="Arial" w:eastAsia="Arial" w:hAnsi="Arial"/>
                <w:sz w:val="11"/>
                <w:szCs w:val="11"/>
                <w:color w:val="auto"/>
              </w:rPr>
              <w:t>Amounts reclassified from accumulated OCI</w:t>
            </w:r>
          </w:p>
        </w:tc>
        <w:tc>
          <w:tcPr>
            <w:tcW w:w="100" w:type="dxa"/>
            <w:vAlign w:val="bottom"/>
          </w:tcPr>
          <w:p>
            <w:pPr>
              <w:spacing w:after="0"/>
              <w:rPr>
                <w:sz w:val="13"/>
                <w:szCs w:val="13"/>
                <w:color w:val="auto"/>
              </w:rPr>
            </w:pPr>
          </w:p>
        </w:tc>
        <w:tc>
          <w:tcPr>
            <w:tcW w:w="1400" w:type="dxa"/>
            <w:vAlign w:val="bottom"/>
          </w:tcPr>
          <w:p>
            <w:pPr>
              <w:jc w:val="right"/>
              <w:ind w:right="67"/>
              <w:spacing w:after="0"/>
              <w:rPr>
                <w:sz w:val="20"/>
                <w:szCs w:val="20"/>
                <w:color w:val="auto"/>
              </w:rPr>
            </w:pPr>
            <w:r>
              <w:rPr>
                <w:rFonts w:ascii="Arial" w:cs="Arial" w:eastAsia="Arial" w:hAnsi="Arial"/>
                <w:sz w:val="11"/>
                <w:szCs w:val="11"/>
                <w:color w:val="auto"/>
              </w:rPr>
              <w:t>25</w:t>
            </w: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0" w:type="dxa"/>
            <w:vAlign w:val="bottom"/>
          </w:tcPr>
          <w:p>
            <w:pPr>
              <w:jc w:val="right"/>
              <w:ind w:right="67"/>
              <w:spacing w:after="0"/>
              <w:rPr>
                <w:sz w:val="20"/>
                <w:szCs w:val="20"/>
                <w:color w:val="auto"/>
              </w:rPr>
            </w:pPr>
            <w:r>
              <w:rPr>
                <w:rFonts w:ascii="Arial" w:cs="Arial" w:eastAsia="Arial" w:hAnsi="Arial"/>
                <w:sz w:val="11"/>
                <w:szCs w:val="11"/>
                <w:color w:val="auto"/>
              </w:rPr>
              <w:t>79</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00" w:type="dxa"/>
            <w:vAlign w:val="bottom"/>
          </w:tcPr>
          <w:p>
            <w:pPr>
              <w:jc w:val="right"/>
              <w:ind w:right="67"/>
              <w:spacing w:after="0"/>
              <w:rPr>
                <w:sz w:val="20"/>
                <w:szCs w:val="20"/>
                <w:color w:val="auto"/>
              </w:rPr>
            </w:pPr>
            <w:r>
              <w:rPr>
                <w:rFonts w:ascii="Arial" w:cs="Arial" w:eastAsia="Arial" w:hAnsi="Arial"/>
                <w:sz w:val="11"/>
                <w:szCs w:val="11"/>
                <w:color w:val="auto"/>
              </w:rPr>
              <w:t>104</w:t>
            </w:r>
          </w:p>
        </w:tc>
      </w:tr>
      <w:tr>
        <w:trPr>
          <w:trHeight w:val="22"/>
        </w:trPr>
        <w:tc>
          <w:tcPr>
            <w:tcW w:w="71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r>
      <w:tr>
        <w:trPr>
          <w:trHeight w:val="167"/>
        </w:trPr>
        <w:tc>
          <w:tcPr>
            <w:tcW w:w="72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Balance as of September 30, 2015</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0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556</w:t>
            </w:r>
          </w:p>
        </w:tc>
        <w:tc>
          <w:tcPr>
            <w:tcW w:w="120" w:type="dxa"/>
            <w:vAlign w:val="bottom"/>
            <w:tcBorders>
              <w:bottom w:val="single" w:sz="8" w:color="CCEEFF"/>
            </w:tcBorders>
            <w:shd w:val="clear" w:color="auto" w:fill="CCEEFF"/>
          </w:tcPr>
          <w:p>
            <w:pPr>
              <w:spacing w:after="0"/>
              <w:rPr>
                <w:sz w:val="14"/>
                <w:szCs w:val="14"/>
                <w:color w:val="auto"/>
              </w:rPr>
            </w:pPr>
          </w:p>
        </w:tc>
        <w:tc>
          <w:tcPr>
            <w:tcW w:w="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bottom w:val="single" w:sz="8" w:color="auto"/>
            </w:tcBorders>
            <w:shd w:val="clear" w:color="auto" w:fill="CCEEFF"/>
          </w:tcPr>
          <w:p>
            <w:pPr>
              <w:jc w:val="right"/>
              <w:ind w:right="27"/>
              <w:spacing w:after="0"/>
              <w:rPr>
                <w:sz w:val="20"/>
                <w:szCs w:val="20"/>
                <w:color w:val="auto"/>
              </w:rPr>
            </w:pPr>
            <w:r>
              <w:rPr>
                <w:rFonts w:ascii="Arial" w:cs="Arial" w:eastAsia="Arial" w:hAnsi="Arial"/>
                <w:sz w:val="11"/>
                <w:szCs w:val="11"/>
                <w:color w:val="auto"/>
              </w:rPr>
              <w:t>(61)</w:t>
            </w:r>
          </w:p>
        </w:tc>
        <w:tc>
          <w:tcPr>
            <w:tcW w:w="12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495</w:t>
            </w:r>
          </w:p>
        </w:tc>
      </w:tr>
    </w:tbl>
    <w:p>
      <w:pPr>
        <w:spacing w:after="0" w:line="99"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reclassifications out of accumulated OCI for the three and nine months ended September 30, 2016 and 2015 (in millions):</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52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720" w:type="dxa"/>
            <w:vAlign w:val="bottom"/>
            <w:gridSpan w:val="5"/>
          </w:tcPr>
          <w:p>
            <w:pPr>
              <w:jc w:val="right"/>
              <w:spacing w:after="0"/>
              <w:rPr>
                <w:sz w:val="20"/>
                <w:szCs w:val="20"/>
                <w:color w:val="auto"/>
              </w:rPr>
            </w:pPr>
            <w:r>
              <w:rPr>
                <w:rFonts w:ascii="Arial" w:cs="Arial" w:eastAsia="Arial" w:hAnsi="Arial"/>
                <w:sz w:val="10"/>
                <w:szCs w:val="10"/>
                <w:b w:val="1"/>
                <w:bCs w:val="1"/>
                <w:color w:val="auto"/>
                <w:w w:val="99"/>
              </w:rPr>
              <w:t>Three Months Ended September 30,</w:t>
            </w:r>
          </w:p>
        </w:tc>
        <w:tc>
          <w:tcPr>
            <w:tcW w:w="2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20" w:type="dxa"/>
            <w:vAlign w:val="bottom"/>
          </w:tcPr>
          <w:p>
            <w:pPr>
              <w:jc w:val="center"/>
              <w:spacing w:after="0"/>
              <w:rPr>
                <w:sz w:val="20"/>
                <w:szCs w:val="20"/>
                <w:color w:val="auto"/>
              </w:rPr>
            </w:pPr>
            <w:r>
              <w:rPr>
                <w:rFonts w:ascii="Arial" w:cs="Arial" w:eastAsia="Arial" w:hAnsi="Arial"/>
                <w:sz w:val="10"/>
                <w:szCs w:val="10"/>
                <w:b w:val="1"/>
                <w:bCs w:val="1"/>
                <w:color w:val="auto"/>
                <w:w w:val="87"/>
              </w:rPr>
              <w:t>Line Item in the Consolidated</w:t>
            </w:r>
          </w:p>
        </w:tc>
        <w:tc>
          <w:tcPr>
            <w:tcW w:w="0" w:type="dxa"/>
            <w:vAlign w:val="bottom"/>
          </w:tcPr>
          <w:p>
            <w:pPr>
              <w:spacing w:after="0"/>
              <w:rPr>
                <w:sz w:val="1"/>
                <w:szCs w:val="1"/>
                <w:color w:val="auto"/>
              </w:rPr>
            </w:pPr>
          </w:p>
        </w:tc>
      </w:tr>
      <w:tr>
        <w:trPr>
          <w:trHeight w:val="36"/>
        </w:trPr>
        <w:tc>
          <w:tcPr>
            <w:tcW w:w="5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4020" w:type="dxa"/>
            <w:vAlign w:val="bottom"/>
            <w:vMerge w:val="restart"/>
          </w:tcPr>
          <w:p>
            <w:pPr>
              <w:jc w:val="center"/>
              <w:spacing w:after="0" w:line="94" w:lineRule="exact"/>
              <w:rPr>
                <w:sz w:val="20"/>
                <w:szCs w:val="20"/>
                <w:color w:val="auto"/>
              </w:rPr>
            </w:pPr>
            <w:r>
              <w:rPr>
                <w:rFonts w:ascii="Arial" w:cs="Arial" w:eastAsia="Arial" w:hAnsi="Arial"/>
                <w:sz w:val="10"/>
                <w:szCs w:val="10"/>
                <w:b w:val="1"/>
                <w:bCs w:val="1"/>
                <w:color w:val="auto"/>
                <w:w w:val="84"/>
              </w:rPr>
              <w:t>Statements of Comprehensive Income</w:t>
            </w:r>
          </w:p>
        </w:tc>
        <w:tc>
          <w:tcPr>
            <w:tcW w:w="0" w:type="dxa"/>
            <w:vAlign w:val="bottom"/>
          </w:tcPr>
          <w:p>
            <w:pPr>
              <w:spacing w:after="0"/>
              <w:rPr>
                <w:sz w:val="1"/>
                <w:szCs w:val="1"/>
                <w:color w:val="auto"/>
              </w:rPr>
            </w:pPr>
          </w:p>
        </w:tc>
      </w:tr>
      <w:tr>
        <w:trPr>
          <w:trHeight w:val="38"/>
        </w:trPr>
        <w:tc>
          <w:tcPr>
            <w:tcW w:w="5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580" w:type="dxa"/>
            <w:vAlign w:val="bottom"/>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20" w:type="dxa"/>
            <w:vAlign w:val="bottom"/>
          </w:tcPr>
          <w:p>
            <w:pPr>
              <w:spacing w:after="0"/>
              <w:rPr>
                <w:sz w:val="3"/>
                <w:szCs w:val="3"/>
                <w:color w:val="auto"/>
              </w:rPr>
            </w:pPr>
          </w:p>
        </w:tc>
        <w:tc>
          <w:tcPr>
            <w:tcW w:w="460" w:type="dxa"/>
            <w:vAlign w:val="bottom"/>
          </w:tcPr>
          <w:p>
            <w:pPr>
              <w:spacing w:after="0"/>
              <w:rPr>
                <w:sz w:val="3"/>
                <w:szCs w:val="3"/>
                <w:color w:val="auto"/>
              </w:rPr>
            </w:pPr>
          </w:p>
        </w:tc>
        <w:tc>
          <w:tcPr>
            <w:tcW w:w="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402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28"/>
        </w:trPr>
        <w:tc>
          <w:tcPr>
            <w:tcW w:w="528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Amounts Reclassified from Accumulated OCI</w:t>
            </w:r>
          </w:p>
        </w:tc>
        <w:tc>
          <w:tcPr>
            <w:tcW w:w="120" w:type="dxa"/>
            <w:vAlign w:val="bottom"/>
            <w:tcBorders>
              <w:bottom w:val="single" w:sz="8" w:color="CCEEFF"/>
            </w:tcBorders>
          </w:tcPr>
          <w:p>
            <w:pPr>
              <w:spacing w:after="0"/>
              <w:rPr>
                <w:sz w:val="11"/>
                <w:szCs w:val="11"/>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2016</w:t>
            </w:r>
          </w:p>
        </w:tc>
        <w:tc>
          <w:tcPr>
            <w:tcW w:w="34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jc w:val="right"/>
              <w:ind w:right="70"/>
              <w:spacing w:after="0"/>
              <w:rPr>
                <w:sz w:val="20"/>
                <w:szCs w:val="20"/>
                <w:color w:val="auto"/>
              </w:rPr>
            </w:pPr>
            <w:r>
              <w:rPr>
                <w:rFonts w:ascii="Arial" w:cs="Arial" w:eastAsia="Arial" w:hAnsi="Arial"/>
                <w:sz w:val="10"/>
                <w:szCs w:val="10"/>
                <w:b w:val="1"/>
                <w:bCs w:val="1"/>
                <w:color w:val="auto"/>
              </w:rPr>
              <w:t>2015</w:t>
            </w:r>
          </w:p>
        </w:tc>
        <w:tc>
          <w:tcPr>
            <w:tcW w:w="240" w:type="dxa"/>
            <w:vAlign w:val="bottom"/>
            <w:tcBorders>
              <w:bottom w:val="single" w:sz="8" w:color="auto"/>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40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6"/>
              </w:rPr>
              <w:t>Where Net Income is Presented</w:t>
            </w:r>
          </w:p>
        </w:tc>
        <w:tc>
          <w:tcPr>
            <w:tcW w:w="0" w:type="dxa"/>
            <w:vAlign w:val="bottom"/>
          </w:tcPr>
          <w:p>
            <w:pPr>
              <w:spacing w:after="0"/>
              <w:rPr>
                <w:sz w:val="1"/>
                <w:szCs w:val="1"/>
                <w:color w:val="auto"/>
              </w:rPr>
            </w:pPr>
          </w:p>
        </w:tc>
      </w:tr>
      <w:tr>
        <w:trPr>
          <w:trHeight w:val="144"/>
        </w:trPr>
        <w:tc>
          <w:tcPr>
            <w:tcW w:w="54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(Gain) loss amounts reclassified from accumulated OCI for available-for-sale MBS upon realization</w:t>
            </w:r>
          </w:p>
        </w:tc>
        <w:tc>
          <w:tcPr>
            <w:tcW w:w="580" w:type="dxa"/>
            <w:vAlign w:val="bottom"/>
            <w:tcBorders>
              <w:bottom w:val="single" w:sz="8" w:color="CCEEFF"/>
            </w:tcBorders>
            <w:shd w:val="clear" w:color="auto" w:fill="CCEEFF"/>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(61)</w:t>
            </w:r>
          </w:p>
        </w:tc>
        <w:tc>
          <w:tcPr>
            <w:tcW w:w="12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CCEEFF"/>
            </w:tcBorders>
            <w:shd w:val="clear" w:color="auto" w:fill="CCEEFF"/>
          </w:tcPr>
          <w:p>
            <w:pPr>
              <w:jc w:val="right"/>
              <w:ind w:right="86"/>
              <w:spacing w:after="0"/>
              <w:rPr>
                <w:sz w:val="20"/>
                <w:szCs w:val="20"/>
                <w:color w:val="auto"/>
              </w:rPr>
            </w:pPr>
            <w:r>
              <w:rPr>
                <w:rFonts w:ascii="Arial" w:cs="Arial" w:eastAsia="Arial" w:hAnsi="Arial"/>
                <w:sz w:val="11"/>
                <w:szCs w:val="11"/>
                <w:color w:val="auto"/>
                <w:w w:val="97"/>
              </w:rPr>
              <w:t>$</w:t>
            </w:r>
          </w:p>
        </w:tc>
        <w:tc>
          <w:tcPr>
            <w:tcW w:w="460" w:type="dxa"/>
            <w:vAlign w:val="bottom"/>
            <w:tcBorders>
              <w:bottom w:val="single" w:sz="8" w:color="CCEEFF"/>
            </w:tcBorders>
            <w:shd w:val="clear" w:color="auto" w:fill="CCEEFF"/>
          </w:tcPr>
          <w:p>
            <w:pPr>
              <w:spacing w:after="0"/>
              <w:rPr>
                <w:sz w:val="12"/>
                <w:szCs w:val="12"/>
                <w:color w:val="auto"/>
              </w:rPr>
            </w:pPr>
          </w:p>
        </w:tc>
        <w:tc>
          <w:tcPr>
            <w:tcW w:w="2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w w:val="81"/>
              </w:rPr>
              <w:t>39</w:t>
            </w:r>
          </w:p>
        </w:tc>
        <w:tc>
          <w:tcPr>
            <w:tcW w:w="100" w:type="dxa"/>
            <w:vAlign w:val="bottom"/>
            <w:tcBorders>
              <w:bottom w:val="single" w:sz="8" w:color="CCEEFF"/>
            </w:tcBorders>
            <w:shd w:val="clear" w:color="auto" w:fill="CCEEFF"/>
          </w:tcPr>
          <w:p>
            <w:pPr>
              <w:spacing w:after="0"/>
              <w:rPr>
                <w:sz w:val="12"/>
                <w:szCs w:val="12"/>
                <w:color w:val="auto"/>
              </w:rPr>
            </w:pPr>
          </w:p>
        </w:tc>
        <w:tc>
          <w:tcPr>
            <w:tcW w:w="40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Gain (loss) on sale of mortgage-backed securities, net</w:t>
            </w:r>
          </w:p>
        </w:tc>
        <w:tc>
          <w:tcPr>
            <w:tcW w:w="0" w:type="dxa"/>
            <w:vAlign w:val="bottom"/>
          </w:tcPr>
          <w:p>
            <w:pPr>
              <w:spacing w:after="0"/>
              <w:rPr>
                <w:sz w:val="1"/>
                <w:szCs w:val="1"/>
                <w:color w:val="auto"/>
              </w:rPr>
            </w:pPr>
          </w:p>
        </w:tc>
      </w:tr>
      <w:tr>
        <w:trPr>
          <w:trHeight w:val="158"/>
        </w:trPr>
        <w:tc>
          <w:tcPr>
            <w:tcW w:w="5400" w:type="dxa"/>
            <w:vAlign w:val="bottom"/>
            <w:gridSpan w:val="2"/>
          </w:tcPr>
          <w:p>
            <w:pPr>
              <w:ind w:left="20"/>
              <w:spacing w:after="0"/>
              <w:rPr>
                <w:sz w:val="20"/>
                <w:szCs w:val="20"/>
                <w:color w:val="auto"/>
              </w:rPr>
            </w:pPr>
            <w:r>
              <w:rPr>
                <w:rFonts w:ascii="Arial" w:cs="Arial" w:eastAsia="Arial" w:hAnsi="Arial"/>
                <w:sz w:val="11"/>
                <w:szCs w:val="11"/>
                <w:color w:val="auto"/>
              </w:rPr>
              <w:t>Periodic interest costs of interest rate swaps previously designated as hedges under GAAP, net</w:t>
            </w:r>
          </w:p>
        </w:tc>
        <w:tc>
          <w:tcPr>
            <w:tcW w:w="580" w:type="dxa"/>
            <w:vAlign w:val="bottom"/>
          </w:tcPr>
          <w:p>
            <w:pPr>
              <w:spacing w:after="0"/>
              <w:rPr>
                <w:sz w:val="13"/>
                <w:szCs w:val="13"/>
                <w:color w:val="auto"/>
              </w:rPr>
            </w:pPr>
          </w:p>
        </w:tc>
        <w:tc>
          <w:tcPr>
            <w:tcW w:w="340" w:type="dxa"/>
            <w:vAlign w:val="bottom"/>
          </w:tcPr>
          <w:p>
            <w:pPr>
              <w:jc w:val="right"/>
              <w:ind w:right="66"/>
              <w:spacing w:after="0"/>
              <w:rPr>
                <w:sz w:val="20"/>
                <w:szCs w:val="20"/>
                <w:color w:val="auto"/>
              </w:rPr>
            </w:pPr>
            <w:r>
              <w:rPr>
                <w:rFonts w:ascii="Arial" w:cs="Arial" w:eastAsia="Arial" w:hAnsi="Arial"/>
                <w:sz w:val="11"/>
                <w:szCs w:val="11"/>
                <w:color w:val="auto"/>
              </w:rPr>
              <w:t>7</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40" w:type="dxa"/>
            <w:vAlign w:val="bottom"/>
          </w:tcPr>
          <w:p>
            <w:pPr>
              <w:jc w:val="right"/>
              <w:ind w:right="66"/>
              <w:spacing w:after="0"/>
              <w:rPr>
                <w:sz w:val="20"/>
                <w:szCs w:val="20"/>
                <w:color w:val="auto"/>
              </w:rPr>
            </w:pPr>
            <w:r>
              <w:rPr>
                <w:rFonts w:ascii="Arial" w:cs="Arial" w:eastAsia="Arial" w:hAnsi="Arial"/>
                <w:sz w:val="11"/>
                <w:szCs w:val="11"/>
                <w:color w:val="auto"/>
                <w:w w:val="81"/>
              </w:rPr>
              <w:t>24</w:t>
            </w:r>
          </w:p>
        </w:tc>
        <w:tc>
          <w:tcPr>
            <w:tcW w:w="100" w:type="dxa"/>
            <w:vAlign w:val="bottom"/>
          </w:tcPr>
          <w:p>
            <w:pPr>
              <w:spacing w:after="0"/>
              <w:rPr>
                <w:sz w:val="13"/>
                <w:szCs w:val="13"/>
                <w:color w:val="auto"/>
              </w:rPr>
            </w:pPr>
          </w:p>
        </w:tc>
        <w:tc>
          <w:tcPr>
            <w:tcW w:w="4020" w:type="dxa"/>
            <w:vAlign w:val="bottom"/>
          </w:tcPr>
          <w:p>
            <w:pPr>
              <w:ind w:left="20"/>
              <w:spacing w:after="0"/>
              <w:rPr>
                <w:sz w:val="20"/>
                <w:szCs w:val="20"/>
                <w:color w:val="auto"/>
              </w:rPr>
            </w:pPr>
            <w:r>
              <w:rPr>
                <w:rFonts w:ascii="Arial" w:cs="Arial" w:eastAsia="Arial" w:hAnsi="Arial"/>
                <w:sz w:val="11"/>
                <w:szCs w:val="11"/>
                <w:color w:val="auto"/>
              </w:rPr>
              <w:t>Interest expense</w:t>
            </w:r>
          </w:p>
        </w:tc>
        <w:tc>
          <w:tcPr>
            <w:tcW w:w="0" w:type="dxa"/>
            <w:vAlign w:val="bottom"/>
          </w:tcPr>
          <w:p>
            <w:pPr>
              <w:spacing w:after="0"/>
              <w:rPr>
                <w:sz w:val="1"/>
                <w:szCs w:val="1"/>
                <w:color w:val="auto"/>
              </w:rPr>
            </w:pPr>
          </w:p>
        </w:tc>
      </w:tr>
      <w:tr>
        <w:trPr>
          <w:trHeight w:val="22"/>
        </w:trPr>
        <w:tc>
          <w:tcPr>
            <w:tcW w:w="528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2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74"/>
        </w:trPr>
        <w:tc>
          <w:tcPr>
            <w:tcW w:w="5400" w:type="dxa"/>
            <w:vAlign w:val="bottom"/>
            <w:tcBorders>
              <w:bottom w:val="single" w:sz="8" w:color="CCEEFF"/>
            </w:tcBorders>
            <w:gridSpan w:val="2"/>
            <w:shd w:val="clear" w:color="auto" w:fill="CCEEFF"/>
          </w:tcPr>
          <w:p>
            <w:pPr>
              <w:ind w:left="140"/>
              <w:spacing w:after="0"/>
              <w:rPr>
                <w:sz w:val="20"/>
                <w:szCs w:val="20"/>
                <w:color w:val="auto"/>
              </w:rPr>
            </w:pPr>
            <w:r>
              <w:rPr>
                <w:rFonts w:ascii="Arial" w:cs="Arial" w:eastAsia="Arial" w:hAnsi="Arial"/>
                <w:sz w:val="11"/>
                <w:szCs w:val="11"/>
                <w:color w:val="auto"/>
              </w:rPr>
              <w:t>Total reclassifications</w:t>
            </w:r>
          </w:p>
        </w:tc>
        <w:tc>
          <w:tcPr>
            <w:tcW w:w="580" w:type="dxa"/>
            <w:vAlign w:val="bottom"/>
            <w:tcBorders>
              <w:bottom w:val="single" w:sz="8" w:color="auto"/>
            </w:tcBorders>
            <w:shd w:val="clear" w:color="auto" w:fill="CCEEFF"/>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rPr>
              <w:t>(54)</w:t>
            </w:r>
          </w:p>
        </w:tc>
        <w:tc>
          <w:tcPr>
            <w:tcW w:w="120" w:type="dxa"/>
            <w:vAlign w:val="bottom"/>
            <w:tcBorders>
              <w:bottom w:val="single" w:sz="8" w:color="CCEEFF"/>
            </w:tcBorders>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w w:val="97"/>
              </w:rPr>
              <w:t>$</w:t>
            </w:r>
          </w:p>
        </w:tc>
        <w:tc>
          <w:tcPr>
            <w:tcW w:w="460" w:type="dxa"/>
            <w:vAlign w:val="bottom"/>
            <w:tcBorders>
              <w:bottom w:val="single" w:sz="8" w:color="auto"/>
            </w:tcBorders>
            <w:shd w:val="clear" w:color="auto" w:fill="CCEEFF"/>
          </w:tcPr>
          <w:p>
            <w:pPr>
              <w:spacing w:after="0"/>
              <w:rPr>
                <w:sz w:val="15"/>
                <w:szCs w:val="15"/>
                <w:color w:val="auto"/>
              </w:rPr>
            </w:pPr>
          </w:p>
        </w:tc>
        <w:tc>
          <w:tcPr>
            <w:tcW w:w="240" w:type="dxa"/>
            <w:vAlign w:val="bottom"/>
            <w:tcBorders>
              <w:bottom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w w:val="81"/>
              </w:rPr>
              <w:t>63</w:t>
            </w:r>
          </w:p>
        </w:tc>
        <w:tc>
          <w:tcPr>
            <w:tcW w:w="100" w:type="dxa"/>
            <w:vAlign w:val="bottom"/>
            <w:tcBorders>
              <w:bottom w:val="single" w:sz="8" w:color="CCEEFF"/>
            </w:tcBorders>
            <w:shd w:val="clear" w:color="auto" w:fill="CCEEFF"/>
          </w:tcPr>
          <w:p>
            <w:pPr>
              <w:spacing w:after="0"/>
              <w:rPr>
                <w:sz w:val="15"/>
                <w:szCs w:val="15"/>
                <w:color w:val="auto"/>
              </w:rPr>
            </w:pPr>
          </w:p>
        </w:tc>
        <w:tc>
          <w:tcPr>
            <w:tcW w:w="4020" w:type="dxa"/>
            <w:vAlign w:val="bottom"/>
            <w:tcBorders>
              <w:bottom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64"/>
        </w:trPr>
        <w:tc>
          <w:tcPr>
            <w:tcW w:w="52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720" w:type="dxa"/>
            <w:vAlign w:val="bottom"/>
            <w:gridSpan w:val="5"/>
          </w:tcPr>
          <w:p>
            <w:pPr>
              <w:jc w:val="right"/>
              <w:spacing w:after="0"/>
              <w:rPr>
                <w:sz w:val="20"/>
                <w:szCs w:val="20"/>
                <w:color w:val="auto"/>
              </w:rPr>
            </w:pPr>
            <w:r>
              <w:rPr>
                <w:rFonts w:ascii="Arial" w:cs="Arial" w:eastAsia="Arial" w:hAnsi="Arial"/>
                <w:sz w:val="10"/>
                <w:szCs w:val="10"/>
                <w:b w:val="1"/>
                <w:bCs w:val="1"/>
                <w:color w:val="auto"/>
              </w:rPr>
              <w:t>Nine Months Ended September 30,</w:t>
            </w: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20" w:type="dxa"/>
            <w:vAlign w:val="bottom"/>
          </w:tcPr>
          <w:p>
            <w:pPr>
              <w:jc w:val="center"/>
              <w:spacing w:after="0"/>
              <w:rPr>
                <w:sz w:val="20"/>
                <w:szCs w:val="20"/>
                <w:color w:val="auto"/>
              </w:rPr>
            </w:pPr>
            <w:r>
              <w:rPr>
                <w:rFonts w:ascii="Arial" w:cs="Arial" w:eastAsia="Arial" w:hAnsi="Arial"/>
                <w:sz w:val="10"/>
                <w:szCs w:val="10"/>
                <w:b w:val="1"/>
                <w:bCs w:val="1"/>
                <w:color w:val="auto"/>
                <w:w w:val="87"/>
              </w:rPr>
              <w:t>Line Item in the Consolidated</w:t>
            </w:r>
          </w:p>
        </w:tc>
        <w:tc>
          <w:tcPr>
            <w:tcW w:w="0" w:type="dxa"/>
            <w:vAlign w:val="bottom"/>
          </w:tcPr>
          <w:p>
            <w:pPr>
              <w:spacing w:after="0"/>
              <w:rPr>
                <w:sz w:val="1"/>
                <w:szCs w:val="1"/>
                <w:color w:val="auto"/>
              </w:rPr>
            </w:pPr>
          </w:p>
        </w:tc>
      </w:tr>
      <w:tr>
        <w:trPr>
          <w:trHeight w:val="36"/>
        </w:trPr>
        <w:tc>
          <w:tcPr>
            <w:tcW w:w="5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4020" w:type="dxa"/>
            <w:vAlign w:val="bottom"/>
            <w:vMerge w:val="restart"/>
          </w:tcPr>
          <w:p>
            <w:pPr>
              <w:jc w:val="center"/>
              <w:spacing w:after="0" w:line="94" w:lineRule="exact"/>
              <w:rPr>
                <w:sz w:val="20"/>
                <w:szCs w:val="20"/>
                <w:color w:val="auto"/>
              </w:rPr>
            </w:pPr>
            <w:r>
              <w:rPr>
                <w:rFonts w:ascii="Arial" w:cs="Arial" w:eastAsia="Arial" w:hAnsi="Arial"/>
                <w:sz w:val="10"/>
                <w:szCs w:val="10"/>
                <w:b w:val="1"/>
                <w:bCs w:val="1"/>
                <w:color w:val="auto"/>
                <w:w w:val="84"/>
              </w:rPr>
              <w:t>Statements of Comprehensive Income</w:t>
            </w:r>
          </w:p>
        </w:tc>
        <w:tc>
          <w:tcPr>
            <w:tcW w:w="0" w:type="dxa"/>
            <w:vAlign w:val="bottom"/>
          </w:tcPr>
          <w:p>
            <w:pPr>
              <w:spacing w:after="0"/>
              <w:rPr>
                <w:sz w:val="1"/>
                <w:szCs w:val="1"/>
                <w:color w:val="auto"/>
              </w:rPr>
            </w:pPr>
          </w:p>
        </w:tc>
      </w:tr>
      <w:tr>
        <w:trPr>
          <w:trHeight w:val="38"/>
        </w:trPr>
        <w:tc>
          <w:tcPr>
            <w:tcW w:w="5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580" w:type="dxa"/>
            <w:vAlign w:val="bottom"/>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20" w:type="dxa"/>
            <w:vAlign w:val="bottom"/>
          </w:tcPr>
          <w:p>
            <w:pPr>
              <w:spacing w:after="0"/>
              <w:rPr>
                <w:sz w:val="3"/>
                <w:szCs w:val="3"/>
                <w:color w:val="auto"/>
              </w:rPr>
            </w:pPr>
          </w:p>
        </w:tc>
        <w:tc>
          <w:tcPr>
            <w:tcW w:w="460" w:type="dxa"/>
            <w:vAlign w:val="bottom"/>
          </w:tcPr>
          <w:p>
            <w:pPr>
              <w:spacing w:after="0"/>
              <w:rPr>
                <w:sz w:val="3"/>
                <w:szCs w:val="3"/>
                <w:color w:val="auto"/>
              </w:rPr>
            </w:pPr>
          </w:p>
        </w:tc>
        <w:tc>
          <w:tcPr>
            <w:tcW w:w="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402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28"/>
        </w:trPr>
        <w:tc>
          <w:tcPr>
            <w:tcW w:w="528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Amounts Reclassified from Accumulated OCI</w:t>
            </w:r>
          </w:p>
        </w:tc>
        <w:tc>
          <w:tcPr>
            <w:tcW w:w="120" w:type="dxa"/>
            <w:vAlign w:val="bottom"/>
            <w:tcBorders>
              <w:bottom w:val="single" w:sz="8" w:color="CCEEFF"/>
            </w:tcBorders>
          </w:tcPr>
          <w:p>
            <w:pPr>
              <w:spacing w:after="0"/>
              <w:rPr>
                <w:sz w:val="11"/>
                <w:szCs w:val="11"/>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2016</w:t>
            </w:r>
          </w:p>
        </w:tc>
        <w:tc>
          <w:tcPr>
            <w:tcW w:w="340" w:type="dxa"/>
            <w:vAlign w:val="bottom"/>
            <w:tcBorders>
              <w:bottom w:val="single" w:sz="8" w:color="auto"/>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jc w:val="right"/>
              <w:ind w:right="70"/>
              <w:spacing w:after="0"/>
              <w:rPr>
                <w:sz w:val="20"/>
                <w:szCs w:val="20"/>
                <w:color w:val="auto"/>
              </w:rPr>
            </w:pPr>
            <w:r>
              <w:rPr>
                <w:rFonts w:ascii="Arial" w:cs="Arial" w:eastAsia="Arial" w:hAnsi="Arial"/>
                <w:sz w:val="10"/>
                <w:szCs w:val="10"/>
                <w:b w:val="1"/>
                <w:bCs w:val="1"/>
                <w:color w:val="auto"/>
              </w:rPr>
              <w:t>2015</w:t>
            </w:r>
          </w:p>
        </w:tc>
        <w:tc>
          <w:tcPr>
            <w:tcW w:w="240" w:type="dxa"/>
            <w:vAlign w:val="bottom"/>
            <w:tcBorders>
              <w:bottom w:val="single" w:sz="8" w:color="auto"/>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40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6"/>
              </w:rPr>
              <w:t>Where Net Income is Presented</w:t>
            </w:r>
          </w:p>
        </w:tc>
        <w:tc>
          <w:tcPr>
            <w:tcW w:w="0" w:type="dxa"/>
            <w:vAlign w:val="bottom"/>
          </w:tcPr>
          <w:p>
            <w:pPr>
              <w:spacing w:after="0"/>
              <w:rPr>
                <w:sz w:val="1"/>
                <w:szCs w:val="1"/>
                <w:color w:val="auto"/>
              </w:rPr>
            </w:pPr>
          </w:p>
        </w:tc>
      </w:tr>
      <w:tr>
        <w:trPr>
          <w:trHeight w:val="144"/>
        </w:trPr>
        <w:tc>
          <w:tcPr>
            <w:tcW w:w="54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(Gain) loss amounts reclassified from accumulated OCI for available-for-sale MBS upon realization</w:t>
            </w:r>
          </w:p>
        </w:tc>
        <w:tc>
          <w:tcPr>
            <w:tcW w:w="580" w:type="dxa"/>
            <w:vAlign w:val="bottom"/>
            <w:tcBorders>
              <w:bottom w:val="single" w:sz="8" w:color="CCEEFF"/>
            </w:tcBorders>
            <w:shd w:val="clear" w:color="auto" w:fill="CCEEFF"/>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3"/>
              </w:rPr>
              <w:t>(114)</w:t>
            </w:r>
          </w:p>
        </w:tc>
        <w:tc>
          <w:tcPr>
            <w:tcW w:w="12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CCEEFF"/>
            </w:tcBorders>
            <w:shd w:val="clear" w:color="auto" w:fill="CCEEFF"/>
          </w:tcPr>
          <w:p>
            <w:pPr>
              <w:jc w:val="right"/>
              <w:ind w:right="86"/>
              <w:spacing w:after="0"/>
              <w:rPr>
                <w:sz w:val="20"/>
                <w:szCs w:val="20"/>
                <w:color w:val="auto"/>
              </w:rPr>
            </w:pPr>
            <w:r>
              <w:rPr>
                <w:rFonts w:ascii="Arial" w:cs="Arial" w:eastAsia="Arial" w:hAnsi="Arial"/>
                <w:sz w:val="11"/>
                <w:szCs w:val="11"/>
                <w:color w:val="auto"/>
                <w:w w:val="97"/>
              </w:rPr>
              <w:t>$</w:t>
            </w:r>
          </w:p>
        </w:tc>
        <w:tc>
          <w:tcPr>
            <w:tcW w:w="460" w:type="dxa"/>
            <w:vAlign w:val="bottom"/>
            <w:tcBorders>
              <w:bottom w:val="single" w:sz="8" w:color="CCEEFF"/>
            </w:tcBorders>
            <w:shd w:val="clear" w:color="auto" w:fill="CCEEFF"/>
          </w:tcPr>
          <w:p>
            <w:pPr>
              <w:spacing w:after="0"/>
              <w:rPr>
                <w:sz w:val="12"/>
                <w:szCs w:val="12"/>
                <w:color w:val="auto"/>
              </w:rPr>
            </w:pPr>
          </w:p>
        </w:tc>
        <w:tc>
          <w:tcPr>
            <w:tcW w:w="2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w w:val="81"/>
              </w:rPr>
              <w:t>25</w:t>
            </w:r>
          </w:p>
        </w:tc>
        <w:tc>
          <w:tcPr>
            <w:tcW w:w="100" w:type="dxa"/>
            <w:vAlign w:val="bottom"/>
            <w:tcBorders>
              <w:bottom w:val="single" w:sz="8" w:color="CCEEFF"/>
            </w:tcBorders>
            <w:shd w:val="clear" w:color="auto" w:fill="CCEEFF"/>
          </w:tcPr>
          <w:p>
            <w:pPr>
              <w:spacing w:after="0"/>
              <w:rPr>
                <w:sz w:val="12"/>
                <w:szCs w:val="12"/>
                <w:color w:val="auto"/>
              </w:rPr>
            </w:pPr>
          </w:p>
        </w:tc>
        <w:tc>
          <w:tcPr>
            <w:tcW w:w="40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Gain (loss) on sale of mortgage-backed securities, net</w:t>
            </w:r>
          </w:p>
        </w:tc>
        <w:tc>
          <w:tcPr>
            <w:tcW w:w="0" w:type="dxa"/>
            <w:vAlign w:val="bottom"/>
          </w:tcPr>
          <w:p>
            <w:pPr>
              <w:spacing w:after="0"/>
              <w:rPr>
                <w:sz w:val="1"/>
                <w:szCs w:val="1"/>
                <w:color w:val="auto"/>
              </w:rPr>
            </w:pPr>
          </w:p>
        </w:tc>
      </w:tr>
      <w:tr>
        <w:trPr>
          <w:trHeight w:val="158"/>
        </w:trPr>
        <w:tc>
          <w:tcPr>
            <w:tcW w:w="5400" w:type="dxa"/>
            <w:vAlign w:val="bottom"/>
            <w:gridSpan w:val="2"/>
          </w:tcPr>
          <w:p>
            <w:pPr>
              <w:ind w:left="20"/>
              <w:spacing w:after="0"/>
              <w:rPr>
                <w:sz w:val="20"/>
                <w:szCs w:val="20"/>
                <w:color w:val="auto"/>
              </w:rPr>
            </w:pPr>
            <w:r>
              <w:rPr>
                <w:rFonts w:ascii="Arial" w:cs="Arial" w:eastAsia="Arial" w:hAnsi="Arial"/>
                <w:sz w:val="11"/>
                <w:szCs w:val="11"/>
                <w:color w:val="auto"/>
              </w:rPr>
              <w:t>Periodic interest costs of interest rate swaps previously designated as hedges under GAAP, net</w:t>
            </w:r>
          </w:p>
        </w:tc>
        <w:tc>
          <w:tcPr>
            <w:tcW w:w="580" w:type="dxa"/>
            <w:vAlign w:val="bottom"/>
          </w:tcPr>
          <w:p>
            <w:pPr>
              <w:spacing w:after="0"/>
              <w:rPr>
                <w:sz w:val="13"/>
                <w:szCs w:val="13"/>
                <w:color w:val="auto"/>
              </w:rPr>
            </w:pPr>
          </w:p>
        </w:tc>
        <w:tc>
          <w:tcPr>
            <w:tcW w:w="340" w:type="dxa"/>
            <w:vAlign w:val="bottom"/>
          </w:tcPr>
          <w:p>
            <w:pPr>
              <w:jc w:val="right"/>
              <w:ind w:right="66"/>
              <w:spacing w:after="0"/>
              <w:rPr>
                <w:sz w:val="20"/>
                <w:szCs w:val="20"/>
                <w:color w:val="auto"/>
              </w:rPr>
            </w:pPr>
            <w:r>
              <w:rPr>
                <w:rFonts w:ascii="Arial" w:cs="Arial" w:eastAsia="Arial" w:hAnsi="Arial"/>
                <w:sz w:val="11"/>
                <w:szCs w:val="11"/>
                <w:color w:val="auto"/>
              </w:rPr>
              <w:t>38</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40" w:type="dxa"/>
            <w:vAlign w:val="bottom"/>
          </w:tcPr>
          <w:p>
            <w:pPr>
              <w:jc w:val="right"/>
              <w:ind w:right="66"/>
              <w:spacing w:after="0"/>
              <w:rPr>
                <w:sz w:val="20"/>
                <w:szCs w:val="20"/>
                <w:color w:val="auto"/>
              </w:rPr>
            </w:pPr>
            <w:r>
              <w:rPr>
                <w:rFonts w:ascii="Arial" w:cs="Arial" w:eastAsia="Arial" w:hAnsi="Arial"/>
                <w:sz w:val="11"/>
                <w:szCs w:val="11"/>
                <w:color w:val="auto"/>
                <w:w w:val="81"/>
              </w:rPr>
              <w:t>79</w:t>
            </w:r>
          </w:p>
        </w:tc>
        <w:tc>
          <w:tcPr>
            <w:tcW w:w="100" w:type="dxa"/>
            <w:vAlign w:val="bottom"/>
          </w:tcPr>
          <w:p>
            <w:pPr>
              <w:spacing w:after="0"/>
              <w:rPr>
                <w:sz w:val="13"/>
                <w:szCs w:val="13"/>
                <w:color w:val="auto"/>
              </w:rPr>
            </w:pPr>
          </w:p>
        </w:tc>
        <w:tc>
          <w:tcPr>
            <w:tcW w:w="4020" w:type="dxa"/>
            <w:vAlign w:val="bottom"/>
          </w:tcPr>
          <w:p>
            <w:pPr>
              <w:ind w:left="20"/>
              <w:spacing w:after="0"/>
              <w:rPr>
                <w:sz w:val="20"/>
                <w:szCs w:val="20"/>
                <w:color w:val="auto"/>
              </w:rPr>
            </w:pPr>
            <w:r>
              <w:rPr>
                <w:rFonts w:ascii="Arial" w:cs="Arial" w:eastAsia="Arial" w:hAnsi="Arial"/>
                <w:sz w:val="11"/>
                <w:szCs w:val="11"/>
                <w:color w:val="auto"/>
              </w:rPr>
              <w:t>Interest expense</w:t>
            </w:r>
          </w:p>
        </w:tc>
        <w:tc>
          <w:tcPr>
            <w:tcW w:w="0" w:type="dxa"/>
            <w:vAlign w:val="bottom"/>
          </w:tcPr>
          <w:p>
            <w:pPr>
              <w:spacing w:after="0"/>
              <w:rPr>
                <w:sz w:val="1"/>
                <w:szCs w:val="1"/>
                <w:color w:val="auto"/>
              </w:rPr>
            </w:pPr>
          </w:p>
        </w:tc>
      </w:tr>
      <w:tr>
        <w:trPr>
          <w:trHeight w:val="22"/>
        </w:trPr>
        <w:tc>
          <w:tcPr>
            <w:tcW w:w="5400" w:type="dxa"/>
            <w:vAlign w:val="bottom"/>
            <w:tcBorders>
              <w:bottom w:val="single" w:sz="8" w:color="CCEEFF"/>
            </w:tcBorders>
            <w:gridSpan w:val="2"/>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gridSpan w:val="2"/>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2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67"/>
        </w:trPr>
        <w:tc>
          <w:tcPr>
            <w:tcW w:w="5400" w:type="dxa"/>
            <w:vAlign w:val="bottom"/>
            <w:tcBorders>
              <w:bottom w:val="single" w:sz="8" w:color="CCEEFF"/>
            </w:tcBorders>
            <w:gridSpan w:val="2"/>
            <w:shd w:val="clear" w:color="auto" w:fill="CCEEFF"/>
          </w:tcPr>
          <w:p>
            <w:pPr>
              <w:ind w:left="140"/>
              <w:spacing w:after="0"/>
              <w:rPr>
                <w:sz w:val="20"/>
                <w:szCs w:val="20"/>
                <w:color w:val="auto"/>
              </w:rPr>
            </w:pPr>
            <w:r>
              <w:rPr>
                <w:rFonts w:ascii="Arial" w:cs="Arial" w:eastAsia="Arial" w:hAnsi="Arial"/>
                <w:sz w:val="11"/>
                <w:szCs w:val="11"/>
                <w:color w:val="auto"/>
              </w:rPr>
              <w:t>Total reclassifications</w:t>
            </w:r>
          </w:p>
        </w:tc>
        <w:tc>
          <w:tcPr>
            <w:tcW w:w="580" w:type="dxa"/>
            <w:vAlign w:val="bottom"/>
            <w:tcBorders>
              <w:bottom w:val="single" w:sz="8" w:color="auto"/>
            </w:tcBorders>
            <w:shd w:val="clear" w:color="auto" w:fill="CCEEFF"/>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rPr>
              <w:t>(76)</w:t>
            </w:r>
          </w:p>
        </w:tc>
        <w:tc>
          <w:tcPr>
            <w:tcW w:w="12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w w:val="97"/>
              </w:rPr>
              <w:t>$</w:t>
            </w:r>
          </w:p>
        </w:tc>
        <w:tc>
          <w:tcPr>
            <w:tcW w:w="700" w:type="dxa"/>
            <w:vAlign w:val="bottom"/>
            <w:tcBorders>
              <w:bottom w:val="single" w:sz="8" w:color="auto"/>
            </w:tcBorders>
            <w:gridSpan w:val="2"/>
            <w:shd w:val="clear" w:color="auto" w:fill="CCEEFF"/>
          </w:tcPr>
          <w:p>
            <w:pPr>
              <w:jc w:val="right"/>
              <w:ind w:right="66"/>
              <w:spacing w:after="0"/>
              <w:rPr>
                <w:sz w:val="20"/>
                <w:szCs w:val="20"/>
                <w:color w:val="auto"/>
              </w:rPr>
            </w:pPr>
            <w:r>
              <w:rPr>
                <w:rFonts w:ascii="Arial" w:cs="Arial" w:eastAsia="Arial" w:hAnsi="Arial"/>
                <w:sz w:val="11"/>
                <w:szCs w:val="11"/>
                <w:color w:val="auto"/>
              </w:rPr>
              <w:t>104</w:t>
            </w:r>
          </w:p>
        </w:tc>
        <w:tc>
          <w:tcPr>
            <w:tcW w:w="100" w:type="dxa"/>
            <w:vAlign w:val="bottom"/>
            <w:tcBorders>
              <w:bottom w:val="single" w:sz="8" w:color="CCEEFF"/>
            </w:tcBorders>
            <w:shd w:val="clear" w:color="auto" w:fill="CCEEFF"/>
          </w:tcPr>
          <w:p>
            <w:pPr>
              <w:spacing w:after="0"/>
              <w:rPr>
                <w:sz w:val="14"/>
                <w:szCs w:val="14"/>
                <w:color w:val="auto"/>
              </w:rPr>
            </w:pPr>
          </w:p>
        </w:tc>
        <w:tc>
          <w:tcPr>
            <w:tcW w:w="4020" w:type="dxa"/>
            <w:vAlign w:val="bottom"/>
            <w:tcBorders>
              <w:bottom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bl>
    <w:p>
      <w:pPr>
        <w:spacing w:after="0" w:line="15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26</w:t>
      </w:r>
    </w:p>
    <w:p>
      <w:pPr>
        <w:sectPr>
          <w:pgSz w:w="11900" w:h="16838" w:orient="portrait"/>
          <w:cols w:equalWidth="0" w:num="1">
            <w:col w:w="11480"/>
          </w:cols>
          <w:pgMar w:left="220" w:top="545" w:right="199" w:bottom="1440" w:gutter="0" w:footer="0" w:header="0"/>
        </w:sectPr>
      </w:pPr>
    </w:p>
    <w:bookmarkStart w:id="27" w:name="page28"/>
    <w:bookmarkEnd w:id="27"/>
    <w:p>
      <w:pPr>
        <w:spacing w:after="0"/>
        <w:rPr>
          <w:sz w:val="20"/>
          <w:szCs w:val="20"/>
          <w:color w:val="auto"/>
        </w:rPr>
      </w:pPr>
      <w:r>
        <w:rPr>
          <w:rFonts w:ascii="Arial" w:cs="Arial" w:eastAsia="Arial" w:hAnsi="Arial"/>
          <w:sz w:val="12"/>
          <w:szCs w:val="12"/>
          <w:b w:val="1"/>
          <w:bCs w:val="1"/>
          <w:color w:val="auto"/>
        </w:rPr>
        <w:t>Note 10. Business Combination - Acquisition of AGNC Mortgage Management, LLC</w:t>
      </w:r>
    </w:p>
    <w:p>
      <w:pPr>
        <w:spacing w:after="0" w:line="118"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On July 1, 2016, we completed our acquisition of all of the outstanding membership interests of AMM from ACAM, a wholly owned portfolio company of ACAS, for a purchase price of $562 million in cash. Following the closing of the acquisition, we became internally managed and are no longer affiliated with ACAS. The results of AMM's operations have been included in our consolidated financial statements since that date. We believe internalizing our management function will result in lower operating costs as well as provide management fee income from MTGE.</w:t>
      </w:r>
    </w:p>
    <w:p>
      <w:pPr>
        <w:spacing w:after="0" w:line="87" w:lineRule="exact"/>
        <w:rPr>
          <w:sz w:val="20"/>
          <w:szCs w:val="20"/>
          <w:color w:val="auto"/>
        </w:rPr>
      </w:pPr>
    </w:p>
    <w:p>
      <w:pPr>
        <w:jc w:val="both"/>
        <w:ind w:firstLine="288"/>
        <w:spacing w:after="0" w:line="286" w:lineRule="auto"/>
        <w:rPr>
          <w:sz w:val="20"/>
          <w:szCs w:val="20"/>
          <w:color w:val="auto"/>
        </w:rPr>
      </w:pPr>
      <w:r>
        <w:rPr>
          <w:rFonts w:ascii="Arial" w:cs="Arial" w:eastAsia="Arial" w:hAnsi="Arial"/>
          <w:sz w:val="11"/>
          <w:szCs w:val="11"/>
          <w:color w:val="auto"/>
        </w:rPr>
        <w:t>Our acquisition of AMM is accounted for as a business combination using the acquisition method of accounting, whereby the total purchase price has been allocated to identifiable assets acquired and liabilities assumed based on their respective fair values as of the acquisition date. Goodwill is calculated as the excess of the consideration transferred over the net assets acquired that meet the criteria for separate recognition and represents the estimated future economic benefits arising from these and other assets acquired that could not be individually identified or do not qualify for recognition as a separate asset. A large majority of the acquisition price has been recognized as goodwill, which is attributable to our management agreement that does not qualify for separate recognition. Goodwill is expected to be deductible for income tax purposes over a 15 year amortization period. We did not recognize a gain or loss associated with the effective settlement of our pre-existing management agreement with our Manager on the acquisition date based on comparable agreements available in the market.</w:t>
      </w:r>
    </w:p>
    <w:p>
      <w:pPr>
        <w:spacing w:after="0" w:line="75"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The fair values of intangible assets acquired were determined using a market-based measurement under the income approach based on primarily unobservable market data that cannot be corroborated and, thus, represent a level 3 measurement (see Note 8). The primary market-based inputs include forecasted revenues and expenses, discount rate and corporate income tax rate.</w:t>
      </w:r>
    </w:p>
    <w:p>
      <w:pPr>
        <w:spacing w:after="0" w:line="79"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the fair values of assets acquired and liabilities assumed at the acquisition date (in millions).</w:t>
      </w:r>
    </w:p>
    <w:p>
      <w:pPr>
        <w:spacing w:after="0" w:line="222" w:lineRule="exact"/>
        <w:rPr>
          <w:sz w:val="20"/>
          <w:szCs w:val="20"/>
          <w:color w:val="auto"/>
        </w:rPr>
      </w:pPr>
    </w:p>
    <w:tbl>
      <w:tblPr>
        <w:tblLayout w:type="fixed"/>
        <w:tblInd w:w="3100" w:type="dxa"/>
        <w:tblCellMar>
          <w:top w:w="0" w:type="dxa"/>
          <w:left w:w="0" w:type="dxa"/>
          <w:bottom w:w="0" w:type="dxa"/>
          <w:right w:w="0" w:type="dxa"/>
        </w:tblCellMar>
      </w:tblPr>
      <w:tr>
        <w:trPr>
          <w:trHeight w:val="140"/>
        </w:trPr>
        <w:tc>
          <w:tcPr>
            <w:tcW w:w="3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80" w:type="dxa"/>
            <w:vAlign w:val="bottom"/>
          </w:tcPr>
          <w:p>
            <w:pPr>
              <w:jc w:val="right"/>
              <w:ind w:right="86"/>
              <w:spacing w:after="0"/>
              <w:rPr>
                <w:sz w:val="20"/>
                <w:szCs w:val="20"/>
                <w:color w:val="auto"/>
              </w:rPr>
            </w:pPr>
            <w:r>
              <w:rPr>
                <w:rFonts w:ascii="Arial" w:cs="Arial" w:eastAsia="Arial" w:hAnsi="Arial"/>
                <w:sz w:val="11"/>
                <w:szCs w:val="11"/>
                <w:b w:val="1"/>
                <w:bCs w:val="1"/>
                <w:color w:val="auto"/>
                <w:w w:val="95"/>
              </w:rPr>
              <w:t>July 1, 2016</w:t>
            </w:r>
            <w:r>
              <w:rPr>
                <w:rFonts w:ascii="Arial" w:cs="Arial" w:eastAsia="Arial" w:hAnsi="Arial"/>
                <w:sz w:val="9"/>
                <w:szCs w:val="9"/>
                <w:b w:val="1"/>
                <w:bCs w:val="1"/>
                <w:color w:val="auto"/>
                <w:w w:val="95"/>
              </w:rPr>
              <w:t>(Acquisition Date)</w:t>
            </w:r>
          </w:p>
        </w:tc>
      </w:tr>
      <w:tr>
        <w:trPr>
          <w:trHeight w:val="121"/>
        </w:trPr>
        <w:tc>
          <w:tcPr>
            <w:tcW w:w="368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80" w:type="dxa"/>
            <w:vAlign w:val="bottom"/>
            <w:tcBorders>
              <w:bottom w:val="single" w:sz="8" w:color="auto"/>
            </w:tcBorders>
          </w:tcPr>
          <w:p>
            <w:pPr>
              <w:spacing w:after="0"/>
              <w:rPr>
                <w:sz w:val="10"/>
                <w:szCs w:val="10"/>
                <w:color w:val="auto"/>
              </w:rPr>
            </w:pPr>
          </w:p>
        </w:tc>
      </w:tr>
      <w:tr>
        <w:trPr>
          <w:trHeight w:val="140"/>
        </w:trPr>
        <w:tc>
          <w:tcPr>
            <w:tcW w:w="3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Cash</w:t>
            </w:r>
          </w:p>
        </w:tc>
        <w:tc>
          <w:tcPr>
            <w:tcW w:w="1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7</w:t>
            </w:r>
          </w:p>
        </w:tc>
      </w:tr>
      <w:tr>
        <w:trPr>
          <w:trHeight w:val="158"/>
        </w:trPr>
        <w:tc>
          <w:tcPr>
            <w:tcW w:w="3680" w:type="dxa"/>
            <w:vAlign w:val="bottom"/>
          </w:tcPr>
          <w:p>
            <w:pPr>
              <w:ind w:left="20"/>
              <w:spacing w:after="0"/>
              <w:rPr>
                <w:sz w:val="20"/>
                <w:szCs w:val="20"/>
                <w:color w:val="auto"/>
              </w:rPr>
            </w:pPr>
            <w:r>
              <w:rPr>
                <w:rFonts w:ascii="Arial" w:cs="Arial" w:eastAsia="Arial" w:hAnsi="Arial"/>
                <w:sz w:val="11"/>
                <w:szCs w:val="11"/>
                <w:color w:val="auto"/>
              </w:rPr>
              <w:t>MTGE management agreement</w:t>
            </w:r>
          </w:p>
        </w:tc>
        <w:tc>
          <w:tcPr>
            <w:tcW w:w="100" w:type="dxa"/>
            <w:vAlign w:val="bottom"/>
          </w:tcPr>
          <w:p>
            <w:pPr>
              <w:spacing w:after="0"/>
              <w:rPr>
                <w:sz w:val="13"/>
                <w:szCs w:val="13"/>
                <w:color w:val="auto"/>
              </w:rPr>
            </w:pPr>
          </w:p>
        </w:tc>
        <w:tc>
          <w:tcPr>
            <w:tcW w:w="1480" w:type="dxa"/>
            <w:vAlign w:val="bottom"/>
          </w:tcPr>
          <w:p>
            <w:pPr>
              <w:jc w:val="right"/>
              <w:spacing w:after="0"/>
              <w:rPr>
                <w:sz w:val="20"/>
                <w:szCs w:val="20"/>
                <w:color w:val="auto"/>
              </w:rPr>
            </w:pPr>
            <w:r>
              <w:rPr>
                <w:rFonts w:ascii="Arial" w:cs="Arial" w:eastAsia="Arial" w:hAnsi="Arial"/>
                <w:sz w:val="11"/>
                <w:szCs w:val="11"/>
                <w:color w:val="auto"/>
              </w:rPr>
              <w:t>29</w:t>
            </w:r>
          </w:p>
        </w:tc>
      </w:tr>
      <w:tr>
        <w:trPr>
          <w:trHeight w:val="22"/>
        </w:trPr>
        <w:tc>
          <w:tcPr>
            <w:tcW w:w="36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r>
      <w:tr>
        <w:trPr>
          <w:trHeight w:val="180"/>
        </w:trPr>
        <w:tc>
          <w:tcPr>
            <w:tcW w:w="3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Other intangible asset</w:t>
            </w:r>
          </w:p>
        </w:tc>
        <w:tc>
          <w:tcPr>
            <w:tcW w:w="100" w:type="dxa"/>
            <w:vAlign w:val="bottom"/>
            <w:tcBorders>
              <w:bottom w:val="single" w:sz="8" w:color="CCEEFF"/>
            </w:tcBorders>
            <w:shd w:val="clear" w:color="auto" w:fill="CCEEFF"/>
          </w:tcPr>
          <w:p>
            <w:pPr>
              <w:spacing w:after="0"/>
              <w:rPr>
                <w:sz w:val="15"/>
                <w:szCs w:val="15"/>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1</w:t>
            </w:r>
          </w:p>
        </w:tc>
      </w:tr>
      <w:tr>
        <w:trPr>
          <w:trHeight w:val="138"/>
        </w:trPr>
        <w:tc>
          <w:tcPr>
            <w:tcW w:w="3680" w:type="dxa"/>
            <w:vAlign w:val="bottom"/>
          </w:tcPr>
          <w:p>
            <w:pPr>
              <w:ind w:left="20"/>
              <w:spacing w:after="0"/>
              <w:rPr>
                <w:sz w:val="20"/>
                <w:szCs w:val="20"/>
                <w:color w:val="auto"/>
              </w:rPr>
            </w:pPr>
            <w:r>
              <w:rPr>
                <w:rFonts w:ascii="Arial" w:cs="Arial" w:eastAsia="Arial" w:hAnsi="Arial"/>
                <w:sz w:val="11"/>
                <w:szCs w:val="11"/>
                <w:color w:val="auto"/>
              </w:rPr>
              <w:t>Total identifiable assets</w:t>
            </w:r>
          </w:p>
        </w:tc>
        <w:tc>
          <w:tcPr>
            <w:tcW w:w="100" w:type="dxa"/>
            <w:vAlign w:val="bottom"/>
            <w:tcBorders>
              <w:top w:val="single" w:sz="8" w:color="auto"/>
            </w:tcBorders>
          </w:tcPr>
          <w:p>
            <w:pPr>
              <w:spacing w:after="0"/>
              <w:rPr>
                <w:sz w:val="12"/>
                <w:szCs w:val="12"/>
                <w:color w:val="auto"/>
              </w:rPr>
            </w:pPr>
          </w:p>
        </w:tc>
        <w:tc>
          <w:tcPr>
            <w:tcW w:w="1480" w:type="dxa"/>
            <w:vAlign w:val="bottom"/>
            <w:tcBorders>
              <w:top w:val="single" w:sz="8" w:color="auto"/>
            </w:tcBorders>
          </w:tcPr>
          <w:p>
            <w:pPr>
              <w:jc w:val="right"/>
              <w:spacing w:after="0"/>
              <w:rPr>
                <w:sz w:val="20"/>
                <w:szCs w:val="20"/>
                <w:color w:val="auto"/>
              </w:rPr>
            </w:pPr>
            <w:r>
              <w:rPr>
                <w:rFonts w:ascii="Arial" w:cs="Arial" w:eastAsia="Arial" w:hAnsi="Arial"/>
                <w:sz w:val="11"/>
                <w:szCs w:val="11"/>
                <w:color w:val="auto"/>
              </w:rPr>
              <w:t>37</w:t>
            </w:r>
          </w:p>
        </w:tc>
      </w:tr>
      <w:tr>
        <w:trPr>
          <w:trHeight w:val="22"/>
        </w:trPr>
        <w:tc>
          <w:tcPr>
            <w:tcW w:w="36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r>
      <w:tr>
        <w:trPr>
          <w:trHeight w:val="180"/>
        </w:trPr>
        <w:tc>
          <w:tcPr>
            <w:tcW w:w="3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Accounts payable and other liabilities</w:t>
            </w:r>
          </w:p>
        </w:tc>
        <w:tc>
          <w:tcPr>
            <w:tcW w:w="100" w:type="dxa"/>
            <w:vAlign w:val="bottom"/>
            <w:tcBorders>
              <w:bottom w:val="single" w:sz="8" w:color="CCEEFF"/>
            </w:tcBorders>
            <w:shd w:val="clear" w:color="auto" w:fill="CCEEFF"/>
          </w:tcPr>
          <w:p>
            <w:pPr>
              <w:spacing w:after="0"/>
              <w:rPr>
                <w:sz w:val="15"/>
                <w:szCs w:val="15"/>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(1)</w:t>
            </w:r>
          </w:p>
        </w:tc>
      </w:tr>
      <w:tr>
        <w:trPr>
          <w:trHeight w:val="138"/>
        </w:trPr>
        <w:tc>
          <w:tcPr>
            <w:tcW w:w="3680" w:type="dxa"/>
            <w:vAlign w:val="bottom"/>
          </w:tcPr>
          <w:p>
            <w:pPr>
              <w:ind w:left="20"/>
              <w:spacing w:after="0"/>
              <w:rPr>
                <w:sz w:val="20"/>
                <w:szCs w:val="20"/>
                <w:color w:val="auto"/>
              </w:rPr>
            </w:pPr>
            <w:r>
              <w:rPr>
                <w:rFonts w:ascii="Arial" w:cs="Arial" w:eastAsia="Arial" w:hAnsi="Arial"/>
                <w:sz w:val="11"/>
                <w:szCs w:val="11"/>
                <w:color w:val="auto"/>
              </w:rPr>
              <w:t>Identifiable net assets acquired</w:t>
            </w:r>
          </w:p>
        </w:tc>
        <w:tc>
          <w:tcPr>
            <w:tcW w:w="100" w:type="dxa"/>
            <w:vAlign w:val="bottom"/>
            <w:tcBorders>
              <w:top w:val="single" w:sz="8" w:color="auto"/>
            </w:tcBorders>
          </w:tcPr>
          <w:p>
            <w:pPr>
              <w:spacing w:after="0"/>
              <w:rPr>
                <w:sz w:val="12"/>
                <w:szCs w:val="12"/>
                <w:color w:val="auto"/>
              </w:rPr>
            </w:pPr>
          </w:p>
        </w:tc>
        <w:tc>
          <w:tcPr>
            <w:tcW w:w="1480" w:type="dxa"/>
            <w:vAlign w:val="bottom"/>
            <w:tcBorders>
              <w:top w:val="single" w:sz="8" w:color="auto"/>
            </w:tcBorders>
          </w:tcPr>
          <w:p>
            <w:pPr>
              <w:jc w:val="right"/>
              <w:spacing w:after="0"/>
              <w:rPr>
                <w:sz w:val="20"/>
                <w:szCs w:val="20"/>
                <w:color w:val="auto"/>
              </w:rPr>
            </w:pPr>
            <w:r>
              <w:rPr>
                <w:rFonts w:ascii="Arial" w:cs="Arial" w:eastAsia="Arial" w:hAnsi="Arial"/>
                <w:sz w:val="11"/>
                <w:szCs w:val="11"/>
                <w:color w:val="auto"/>
              </w:rPr>
              <w:t>36</w:t>
            </w:r>
          </w:p>
        </w:tc>
      </w:tr>
      <w:tr>
        <w:trPr>
          <w:trHeight w:val="22"/>
        </w:trPr>
        <w:tc>
          <w:tcPr>
            <w:tcW w:w="36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r>
      <w:tr>
        <w:trPr>
          <w:trHeight w:val="180"/>
        </w:trPr>
        <w:tc>
          <w:tcPr>
            <w:tcW w:w="36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1"/>
                <w:szCs w:val="11"/>
                <w:color w:val="auto"/>
              </w:rPr>
              <w:t>Goodwill</w:t>
            </w:r>
          </w:p>
        </w:tc>
        <w:tc>
          <w:tcPr>
            <w:tcW w:w="100" w:type="dxa"/>
            <w:vAlign w:val="bottom"/>
            <w:tcBorders>
              <w:bottom w:val="single" w:sz="8" w:color="CCEEFF"/>
            </w:tcBorders>
            <w:shd w:val="clear" w:color="auto" w:fill="CCEEFF"/>
          </w:tcPr>
          <w:p>
            <w:pPr>
              <w:spacing w:after="0"/>
              <w:rPr>
                <w:sz w:val="15"/>
                <w:szCs w:val="15"/>
                <w:color w:val="auto"/>
              </w:rPr>
            </w:pPr>
          </w:p>
        </w:tc>
        <w:tc>
          <w:tcPr>
            <w:tcW w:w="1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526</w:t>
            </w:r>
          </w:p>
        </w:tc>
      </w:tr>
      <w:tr>
        <w:trPr>
          <w:trHeight w:val="167"/>
        </w:trPr>
        <w:tc>
          <w:tcPr>
            <w:tcW w:w="3680" w:type="dxa"/>
            <w:vAlign w:val="bottom"/>
          </w:tcPr>
          <w:p>
            <w:pPr>
              <w:ind w:left="20"/>
              <w:spacing w:after="0"/>
              <w:rPr>
                <w:sz w:val="20"/>
                <w:szCs w:val="20"/>
                <w:color w:val="auto"/>
              </w:rPr>
            </w:pPr>
            <w:r>
              <w:rPr>
                <w:rFonts w:ascii="Arial" w:cs="Arial" w:eastAsia="Arial" w:hAnsi="Arial"/>
                <w:sz w:val="11"/>
                <w:szCs w:val="11"/>
                <w:color w:val="auto"/>
              </w:rPr>
              <w:t>Net assets acquired</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562</w:t>
            </w:r>
          </w:p>
        </w:tc>
      </w:tr>
    </w:tbl>
    <w:p>
      <w:pPr>
        <w:spacing w:after="0" w:line="99"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We recognized $9 million of transaction related costs that were expensed during the nine months ended September 30, 2016. These costs are included in other operating expenses in our consolidated statements of comprehensive income.</w:t>
      </w:r>
    </w:p>
    <w:p>
      <w:pPr>
        <w:spacing w:after="0" w:line="79" w:lineRule="exact"/>
        <w:rPr>
          <w:sz w:val="20"/>
          <w:szCs w:val="20"/>
          <w:color w:val="auto"/>
        </w:rPr>
      </w:pPr>
    </w:p>
    <w:p>
      <w:pPr>
        <w:jc w:val="both"/>
        <w:ind w:firstLine="288"/>
        <w:spacing w:after="0" w:line="255" w:lineRule="auto"/>
        <w:rPr>
          <w:sz w:val="20"/>
          <w:szCs w:val="20"/>
          <w:color w:val="auto"/>
        </w:rPr>
      </w:pPr>
      <w:r>
        <w:rPr>
          <w:rFonts w:ascii="Arial" w:cs="Arial" w:eastAsia="Arial" w:hAnsi="Arial"/>
          <w:sz w:val="12"/>
          <w:szCs w:val="12"/>
          <w:color w:val="auto"/>
        </w:rPr>
        <w:t>AMM's revenue and net income (loss) included in our consolidated statements of comprehensive income from the acquisition date to September 30, 2016 are $4 million and $(6) million, respectively, after elimination of AGNC's management fee and other intercompany transactions. The following table represents our pro forma consolidated revenue and net loss as if AMM had been included in our consolidated results for the nine months ended September 30, 2015 and for the entire nine months ended September 30, 2016 (in millions). Revenue includes interest income and management fee income from MTGE. Amounts have been calculated after applying our accounting policies and adjusting AMM's results to reflect amortization expense that would have been charged assuming the fair value adjustments to intangible assets had been applied on January 1, 2015. All AGNC management fees and all other actual and pro forma intercompany transactions have been eliminated. These pro forma results have been prepared for comparative purposes only and do not purport to be indicative of what operating results would have been had the AMM acquisition occurred on January 1, 2015 and may not be indicative of future operating results.</w:t>
      </w:r>
    </w:p>
    <w:p>
      <w:pPr>
        <w:spacing w:after="0" w:line="201" w:lineRule="exact"/>
        <w:rPr>
          <w:sz w:val="20"/>
          <w:szCs w:val="20"/>
          <w:color w:val="auto"/>
        </w:rPr>
      </w:pPr>
    </w:p>
    <w:p>
      <w:pPr>
        <w:jc w:val="center"/>
        <w:ind w:left="2940"/>
        <w:spacing w:after="0"/>
        <w:rPr>
          <w:sz w:val="20"/>
          <w:szCs w:val="20"/>
          <w:color w:val="auto"/>
        </w:rPr>
      </w:pPr>
      <w:r>
        <w:rPr>
          <w:rFonts w:ascii="Arial" w:cs="Arial" w:eastAsia="Arial" w:hAnsi="Arial"/>
          <w:sz w:val="11"/>
          <w:szCs w:val="11"/>
          <w:b w:val="1"/>
          <w:bCs w:val="1"/>
          <w:color w:val="auto"/>
        </w:rPr>
        <w:t>Pro Forma</w:t>
      </w:r>
    </w:p>
    <w:p>
      <w:pPr>
        <w:spacing w:after="0" w:line="14" w:lineRule="exact"/>
        <w:rPr>
          <w:sz w:val="20"/>
          <w:szCs w:val="20"/>
          <w:color w:val="auto"/>
        </w:rPr>
      </w:pPr>
    </w:p>
    <w:p>
      <w:pPr>
        <w:jc w:val="center"/>
        <w:ind w:left="2940"/>
        <w:spacing w:after="0"/>
        <w:rPr>
          <w:sz w:val="20"/>
          <w:szCs w:val="20"/>
          <w:color w:val="auto"/>
        </w:rPr>
      </w:pPr>
      <w:r>
        <w:rPr>
          <w:rFonts w:ascii="Arial" w:cs="Arial" w:eastAsia="Arial" w:hAnsi="Arial"/>
          <w:sz w:val="11"/>
          <w:szCs w:val="11"/>
          <w:b w:val="1"/>
          <w:bCs w:val="1"/>
          <w:color w:val="auto"/>
        </w:rPr>
        <w:t>Consolidated Revenue and Net Loss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3237865</wp:posOffset>
            </wp:positionH>
            <wp:positionV relativeFrom="paragraph">
              <wp:posOffset>19685</wp:posOffset>
            </wp:positionV>
            <wp:extent cx="2659380" cy="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659380" cy="5715"/>
                    </a:xfrm>
                    <a:prstGeom prst="rect">
                      <a:avLst/>
                    </a:prstGeom>
                    <a:noFill/>
                  </pic:spPr>
                </pic:pic>
              </a:graphicData>
            </a:graphic>
          </wp:anchor>
        </w:drawing>
      </w:r>
    </w:p>
    <w:p>
      <w:pPr>
        <w:spacing w:after="0" w:line="28" w:lineRule="exact"/>
        <w:rPr>
          <w:sz w:val="20"/>
          <w:szCs w:val="20"/>
          <w:color w:val="auto"/>
        </w:rPr>
      </w:pPr>
    </w:p>
    <w:p>
      <w:pPr>
        <w:ind w:left="6400"/>
        <w:spacing w:after="0"/>
        <w:rPr>
          <w:sz w:val="20"/>
          <w:szCs w:val="20"/>
          <w:color w:val="auto"/>
        </w:rPr>
      </w:pPr>
      <w:r>
        <w:rPr>
          <w:rFonts w:ascii="Arial" w:cs="Arial" w:eastAsia="Arial" w:hAnsi="Arial"/>
          <w:sz w:val="11"/>
          <w:szCs w:val="11"/>
          <w:b w:val="1"/>
          <w:bCs w:val="1"/>
          <w:color w:val="auto"/>
        </w:rPr>
        <w:t>Nine Months Ended September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3237865</wp:posOffset>
            </wp:positionH>
            <wp:positionV relativeFrom="paragraph">
              <wp:posOffset>22860</wp:posOffset>
            </wp:positionV>
            <wp:extent cx="2659380" cy="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2659380" cy="5715"/>
                    </a:xfrm>
                    <a:prstGeom prst="rect">
                      <a:avLst/>
                    </a:prstGeom>
                    <a:noFill/>
                  </pic:spPr>
                </pic:pic>
              </a:graphicData>
            </a:graphic>
          </wp:anchor>
        </w:drawing>
      </w:r>
    </w:p>
    <w:p>
      <w:pPr>
        <w:spacing w:after="0" w:line="43" w:lineRule="exact"/>
        <w:rPr>
          <w:sz w:val="20"/>
          <w:szCs w:val="20"/>
          <w:color w:val="auto"/>
        </w:rPr>
      </w:pPr>
    </w:p>
    <w:tbl>
      <w:tblPr>
        <w:tblLayout w:type="fixed"/>
        <w:tblInd w:w="2180" w:type="dxa"/>
        <w:tblCellMar>
          <w:top w:w="0" w:type="dxa"/>
          <w:left w:w="0" w:type="dxa"/>
          <w:bottom w:w="0" w:type="dxa"/>
          <w:right w:w="0" w:type="dxa"/>
        </w:tblCellMar>
      </w:tblPr>
      <w:tr>
        <w:trPr>
          <w:trHeight w:val="140"/>
        </w:trPr>
        <w:tc>
          <w:tcPr>
            <w:tcW w:w="2920" w:type="dxa"/>
            <w:vAlign w:val="bottom"/>
          </w:tcPr>
          <w:p>
            <w:pPr>
              <w:spacing w:after="0"/>
              <w:rPr>
                <w:sz w:val="12"/>
                <w:szCs w:val="12"/>
                <w:color w:val="auto"/>
              </w:rPr>
            </w:pPr>
          </w:p>
        </w:tc>
        <w:tc>
          <w:tcPr>
            <w:tcW w:w="1420" w:type="dxa"/>
            <w:vAlign w:val="bottom"/>
          </w:tcPr>
          <w:p>
            <w:pPr>
              <w:jc w:val="right"/>
              <w:ind w:right="266"/>
              <w:spacing w:after="0"/>
              <w:rPr>
                <w:sz w:val="20"/>
                <w:szCs w:val="20"/>
                <w:color w:val="auto"/>
              </w:rPr>
            </w:pPr>
            <w:r>
              <w:rPr>
                <w:rFonts w:ascii="Arial" w:cs="Arial" w:eastAsia="Arial" w:hAnsi="Arial"/>
                <w:sz w:val="11"/>
                <w:szCs w:val="11"/>
                <w:b w:val="1"/>
                <w:bCs w:val="1"/>
                <w:color w:val="auto"/>
              </w:rPr>
              <w:t>2016</w:t>
            </w:r>
          </w:p>
        </w:tc>
        <w:tc>
          <w:tcPr>
            <w:tcW w:w="5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500" w:type="dxa"/>
            <w:vAlign w:val="bottom"/>
          </w:tcPr>
          <w:p>
            <w:pPr>
              <w:jc w:val="right"/>
              <w:ind w:right="826"/>
              <w:spacing w:after="0"/>
              <w:rPr>
                <w:sz w:val="20"/>
                <w:szCs w:val="20"/>
                <w:color w:val="auto"/>
              </w:rPr>
            </w:pPr>
            <w:r>
              <w:rPr>
                <w:rFonts w:ascii="Arial" w:cs="Arial" w:eastAsia="Arial" w:hAnsi="Arial"/>
                <w:sz w:val="11"/>
                <w:szCs w:val="11"/>
                <w:b w:val="1"/>
                <w:bCs w:val="1"/>
                <w:color w:val="auto"/>
              </w:rPr>
              <w:t>2015</w:t>
            </w:r>
          </w:p>
        </w:tc>
      </w:tr>
      <w:tr>
        <w:trPr>
          <w:trHeight w:val="22"/>
        </w:trPr>
        <w:tc>
          <w:tcPr>
            <w:tcW w:w="2920" w:type="dxa"/>
            <w:vAlign w:val="bottom"/>
          </w:tcPr>
          <w:p>
            <w:pPr>
              <w:spacing w:after="0" w:line="20" w:lineRule="exact"/>
              <w:rPr>
                <w:sz w:val="1"/>
                <w:szCs w:val="1"/>
                <w:color w:val="auto"/>
              </w:rPr>
            </w:pPr>
          </w:p>
        </w:tc>
        <w:tc>
          <w:tcPr>
            <w:tcW w:w="14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500" w:type="dxa"/>
            <w:vAlign w:val="bottom"/>
            <w:tcBorders>
              <w:bottom w:val="single" w:sz="8" w:color="auto"/>
            </w:tcBorders>
          </w:tcPr>
          <w:p>
            <w:pPr>
              <w:spacing w:after="0" w:line="20" w:lineRule="exact"/>
              <w:rPr>
                <w:sz w:val="1"/>
                <w:szCs w:val="1"/>
                <w:color w:val="auto"/>
              </w:rPr>
            </w:pPr>
          </w:p>
        </w:tc>
      </w:tr>
      <w:tr>
        <w:trPr>
          <w:trHeight w:val="138"/>
        </w:trPr>
        <w:tc>
          <w:tcPr>
            <w:tcW w:w="2920" w:type="dxa"/>
            <w:vAlign w:val="bottom"/>
          </w:tcPr>
          <w:p>
            <w:pPr>
              <w:ind w:left="20"/>
              <w:spacing w:after="0"/>
              <w:rPr>
                <w:sz w:val="20"/>
                <w:szCs w:val="20"/>
                <w:color w:val="auto"/>
              </w:rPr>
            </w:pPr>
            <w:r>
              <w:rPr>
                <w:rFonts w:ascii="Arial" w:cs="Arial" w:eastAsia="Arial" w:hAnsi="Arial"/>
                <w:sz w:val="11"/>
                <w:szCs w:val="11"/>
                <w:color w:val="auto"/>
              </w:rPr>
              <w:t>Revenue</w:t>
            </w:r>
          </w:p>
        </w:tc>
        <w:tc>
          <w:tcPr>
            <w:tcW w:w="1420" w:type="dxa"/>
            <w:vAlign w:val="bottom"/>
          </w:tcPr>
          <w:p>
            <w:pPr>
              <w:jc w:val="right"/>
              <w:ind w:right="1286"/>
              <w:spacing w:after="0"/>
              <w:rPr>
                <w:sz w:val="20"/>
                <w:szCs w:val="20"/>
                <w:color w:val="auto"/>
              </w:rPr>
            </w:pPr>
            <w:r>
              <w:rPr>
                <w:rFonts w:ascii="Arial" w:cs="Arial" w:eastAsia="Arial" w:hAnsi="Arial"/>
                <w:sz w:val="11"/>
                <w:szCs w:val="11"/>
                <w:color w:val="auto"/>
                <w:w w:val="97"/>
              </w:rPr>
              <w:t>$</w:t>
            </w:r>
          </w:p>
        </w:tc>
        <w:tc>
          <w:tcPr>
            <w:tcW w:w="580" w:type="dxa"/>
            <w:vAlign w:val="bottom"/>
          </w:tcPr>
          <w:p>
            <w:pPr>
              <w:jc w:val="right"/>
              <w:ind w:right="6"/>
              <w:spacing w:after="0"/>
              <w:rPr>
                <w:sz w:val="20"/>
                <w:szCs w:val="20"/>
                <w:color w:val="auto"/>
              </w:rPr>
            </w:pPr>
            <w:r>
              <w:rPr>
                <w:rFonts w:ascii="Arial" w:cs="Arial" w:eastAsia="Arial" w:hAnsi="Arial"/>
                <w:sz w:val="11"/>
                <w:szCs w:val="11"/>
                <w:color w:val="auto"/>
              </w:rPr>
              <w:t>940</w:t>
            </w:r>
          </w:p>
        </w:tc>
        <w:tc>
          <w:tcPr>
            <w:tcW w:w="200" w:type="dxa"/>
            <w:vAlign w:val="bottom"/>
          </w:tcPr>
          <w:p>
            <w:pPr>
              <w:spacing w:after="0"/>
              <w:rPr>
                <w:sz w:val="12"/>
                <w:szCs w:val="12"/>
                <w:color w:val="auto"/>
              </w:rPr>
            </w:pPr>
          </w:p>
        </w:tc>
        <w:tc>
          <w:tcPr>
            <w:tcW w:w="480" w:type="dxa"/>
            <w:vAlign w:val="bottom"/>
          </w:tcPr>
          <w:p>
            <w:pPr>
              <w:jc w:val="right"/>
              <w:ind w:right="346"/>
              <w:spacing w:after="0"/>
              <w:rPr>
                <w:sz w:val="20"/>
                <w:szCs w:val="20"/>
                <w:color w:val="auto"/>
              </w:rPr>
            </w:pPr>
            <w:r>
              <w:rPr>
                <w:rFonts w:ascii="Arial" w:cs="Arial" w:eastAsia="Arial" w:hAnsi="Arial"/>
                <w:sz w:val="11"/>
                <w:szCs w:val="11"/>
                <w:color w:val="auto"/>
                <w:w w:val="97"/>
              </w:rPr>
              <w:t>$</w:t>
            </w:r>
          </w:p>
        </w:tc>
        <w:tc>
          <w:tcPr>
            <w:tcW w:w="1500" w:type="dxa"/>
            <w:vAlign w:val="bottom"/>
          </w:tcPr>
          <w:p>
            <w:pPr>
              <w:jc w:val="right"/>
              <w:ind w:right="6"/>
              <w:spacing w:after="0"/>
              <w:rPr>
                <w:sz w:val="20"/>
                <w:szCs w:val="20"/>
                <w:color w:val="auto"/>
              </w:rPr>
            </w:pPr>
            <w:r>
              <w:rPr>
                <w:rFonts w:ascii="Arial" w:cs="Arial" w:eastAsia="Arial" w:hAnsi="Arial"/>
                <w:sz w:val="11"/>
                <w:szCs w:val="11"/>
                <w:color w:val="auto"/>
              </w:rPr>
              <w:t>1,105</w:t>
            </w:r>
          </w:p>
        </w:tc>
      </w:tr>
      <w:tr>
        <w:trPr>
          <w:trHeight w:val="22"/>
        </w:trPr>
        <w:tc>
          <w:tcPr>
            <w:tcW w:w="292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r>
      <w:tr>
        <w:trPr>
          <w:trHeight w:val="158"/>
        </w:trPr>
        <w:tc>
          <w:tcPr>
            <w:tcW w:w="2920" w:type="dxa"/>
            <w:vAlign w:val="bottom"/>
            <w:shd w:val="clear" w:color="auto" w:fill="CCEEFF"/>
          </w:tcPr>
          <w:p>
            <w:pPr>
              <w:ind w:left="20"/>
              <w:spacing w:after="0"/>
              <w:rPr>
                <w:sz w:val="20"/>
                <w:szCs w:val="20"/>
                <w:color w:val="auto"/>
              </w:rPr>
            </w:pPr>
            <w:r>
              <w:rPr>
                <w:rFonts w:ascii="Arial" w:cs="Arial" w:eastAsia="Arial" w:hAnsi="Arial"/>
                <w:sz w:val="11"/>
                <w:szCs w:val="11"/>
                <w:color w:val="auto"/>
              </w:rPr>
              <w:t>Net loss</w:t>
            </w:r>
          </w:p>
        </w:tc>
        <w:tc>
          <w:tcPr>
            <w:tcW w:w="1420" w:type="dxa"/>
            <w:vAlign w:val="bottom"/>
            <w:shd w:val="clear" w:color="auto" w:fill="CCEEFF"/>
          </w:tcPr>
          <w:p>
            <w:pPr>
              <w:jc w:val="right"/>
              <w:ind w:right="1286"/>
              <w:spacing w:after="0"/>
              <w:rPr>
                <w:sz w:val="20"/>
                <w:szCs w:val="20"/>
                <w:color w:val="auto"/>
              </w:rPr>
            </w:pPr>
            <w:r>
              <w:rPr>
                <w:rFonts w:ascii="Arial" w:cs="Arial" w:eastAsia="Arial" w:hAnsi="Arial"/>
                <w:sz w:val="11"/>
                <w:szCs w:val="11"/>
                <w:color w:val="auto"/>
                <w:w w:val="97"/>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(358)</w:t>
            </w:r>
          </w:p>
        </w:tc>
        <w:tc>
          <w:tcPr>
            <w:tcW w:w="200" w:type="dxa"/>
            <w:vAlign w:val="bottom"/>
            <w:shd w:val="clear" w:color="auto" w:fill="CCEEFF"/>
          </w:tcPr>
          <w:p>
            <w:pPr>
              <w:spacing w:after="0"/>
              <w:rPr>
                <w:sz w:val="13"/>
                <w:szCs w:val="13"/>
                <w:color w:val="auto"/>
              </w:rPr>
            </w:pPr>
          </w:p>
        </w:tc>
        <w:tc>
          <w:tcPr>
            <w:tcW w:w="480" w:type="dxa"/>
            <w:vAlign w:val="bottom"/>
            <w:shd w:val="clear" w:color="auto" w:fill="CCEEFF"/>
          </w:tcPr>
          <w:p>
            <w:pPr>
              <w:jc w:val="right"/>
              <w:ind w:right="346"/>
              <w:spacing w:after="0"/>
              <w:rPr>
                <w:sz w:val="20"/>
                <w:szCs w:val="20"/>
                <w:color w:val="auto"/>
              </w:rPr>
            </w:pPr>
            <w:r>
              <w:rPr>
                <w:rFonts w:ascii="Arial" w:cs="Arial" w:eastAsia="Arial" w:hAnsi="Arial"/>
                <w:sz w:val="11"/>
                <w:szCs w:val="11"/>
                <w:color w:val="auto"/>
                <w:w w:val="97"/>
              </w:rPr>
              <w:t>$</w:t>
            </w:r>
          </w:p>
        </w:tc>
        <w:tc>
          <w:tcPr>
            <w:tcW w:w="15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(307)</w:t>
            </w:r>
          </w:p>
        </w:tc>
      </w:tr>
      <w:tr>
        <w:trPr>
          <w:trHeight w:val="22"/>
        </w:trPr>
        <w:tc>
          <w:tcPr>
            <w:tcW w:w="2920" w:type="dxa"/>
            <w:vAlign w:val="bottom"/>
            <w:shd w:val="clear" w:color="auto" w:fill="CCEEFF"/>
          </w:tcPr>
          <w:p>
            <w:pPr>
              <w:spacing w:after="0" w:line="20" w:lineRule="exact"/>
              <w:rPr>
                <w:sz w:val="1"/>
                <w:szCs w:val="1"/>
                <w:color w:val="auto"/>
              </w:rPr>
            </w:pPr>
          </w:p>
        </w:tc>
        <w:tc>
          <w:tcPr>
            <w:tcW w:w="142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80" w:type="dxa"/>
            <w:vAlign w:val="bottom"/>
            <w:shd w:val="clear" w:color="auto" w:fill="CCEEFF"/>
          </w:tcPr>
          <w:p>
            <w:pPr>
              <w:spacing w:after="0" w:line="20" w:lineRule="exact"/>
              <w:rPr>
                <w:sz w:val="1"/>
                <w:szCs w:val="1"/>
                <w:color w:val="auto"/>
              </w:rPr>
            </w:pPr>
          </w:p>
        </w:tc>
        <w:tc>
          <w:tcPr>
            <w:tcW w:w="1500" w:type="dxa"/>
            <w:vAlign w:val="bottom"/>
            <w:shd w:val="clear" w:color="auto" w:fill="CCEEFF"/>
          </w:tcPr>
          <w:p>
            <w:pPr>
              <w:spacing w:after="0" w:line="20" w:lineRule="exact"/>
              <w:rPr>
                <w:sz w:val="1"/>
                <w:szCs w:val="1"/>
                <w:color w:val="auto"/>
              </w:rPr>
            </w:pPr>
          </w:p>
        </w:tc>
      </w:tr>
    </w:tbl>
    <w:p>
      <w:pPr>
        <w:spacing w:after="0" w:line="297"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27</w:t>
      </w:r>
    </w:p>
    <w:p>
      <w:pPr>
        <w:sectPr>
          <w:pgSz w:w="11900" w:h="16838" w:orient="portrait"/>
          <w:cols w:equalWidth="0" w:num="1">
            <w:col w:w="11480"/>
          </w:cols>
          <w:pgMar w:left="220" w:top="433" w:right="199" w:bottom="1440" w:gutter="0" w:footer="0" w:header="0"/>
        </w:sectPr>
      </w:pPr>
    </w:p>
    <w:bookmarkStart w:id="28" w:name="page29"/>
    <w:bookmarkEnd w:id="28"/>
    <w:p>
      <w:pPr>
        <w:spacing w:after="0"/>
        <w:rPr>
          <w:sz w:val="20"/>
          <w:szCs w:val="20"/>
          <w:color w:val="auto"/>
        </w:rPr>
      </w:pPr>
      <w:r>
        <w:rPr>
          <w:rFonts w:ascii="Arial" w:cs="Arial" w:eastAsia="Arial" w:hAnsi="Arial"/>
          <w:sz w:val="12"/>
          <w:szCs w:val="12"/>
          <w:b w:val="1"/>
          <w:bCs w:val="1"/>
          <w:color w:val="auto"/>
        </w:rPr>
        <w:t>Note 11. Subsequent Events</w:t>
      </w:r>
    </w:p>
    <w:p>
      <w:pPr>
        <w:spacing w:after="0" w:line="118" w:lineRule="exact"/>
        <w:rPr>
          <w:sz w:val="20"/>
          <w:szCs w:val="20"/>
          <w:color w:val="auto"/>
        </w:rPr>
      </w:pPr>
    </w:p>
    <w:p>
      <w:pPr>
        <w:ind w:left="260"/>
        <w:spacing w:after="0"/>
        <w:rPr>
          <w:sz w:val="20"/>
          <w:szCs w:val="20"/>
          <w:color w:val="auto"/>
        </w:rPr>
      </w:pPr>
      <w:r>
        <w:rPr>
          <w:rFonts w:ascii="Arial" w:cs="Arial" w:eastAsia="Arial" w:hAnsi="Arial"/>
          <w:sz w:val="10"/>
          <w:szCs w:val="10"/>
          <w:color w:val="auto"/>
        </w:rPr>
        <w:t>On October 12, 2016, our Board of Directors declared a monthly dividend of $0.18 per common share, which will be paid on November 8, 2016, to common stockholders of record as of October 31, 2016.</w:t>
      </w:r>
    </w:p>
    <w:p>
      <w:pPr>
        <w:spacing w:after="0" w:line="19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28</w:t>
      </w:r>
    </w:p>
    <w:p>
      <w:pPr>
        <w:sectPr>
          <w:pgSz w:w="11900" w:h="16838" w:orient="portrait"/>
          <w:cols w:equalWidth="0" w:num="1">
            <w:col w:w="10239"/>
          </w:cols>
          <w:pgMar w:left="220" w:top="433" w:right="1440" w:bottom="1440" w:gutter="0" w:footer="0" w:header="0"/>
        </w:sectPr>
      </w:pPr>
    </w:p>
    <w:bookmarkStart w:id="29" w:name="page30"/>
    <w:bookmarkEnd w:id="29"/>
    <w:p>
      <w:pPr>
        <w:spacing w:after="0"/>
        <w:rPr>
          <w:sz w:val="20"/>
          <w:szCs w:val="20"/>
          <w:color w:val="auto"/>
        </w:rPr>
      </w:pPr>
      <w:r>
        <w:rPr>
          <w:rFonts w:ascii="Arial" w:cs="Arial" w:eastAsia="Arial" w:hAnsi="Arial"/>
          <w:sz w:val="12"/>
          <w:szCs w:val="12"/>
          <w:b w:val="1"/>
          <w:bCs w:val="1"/>
          <w:color w:val="auto"/>
        </w:rPr>
        <w:t xml:space="preserve">Item 2. </w:t>
      </w:r>
      <w:r>
        <w:rPr>
          <w:rFonts w:ascii="Arial" w:cs="Arial" w:eastAsia="Arial" w:hAnsi="Arial"/>
          <w:sz w:val="12"/>
          <w:szCs w:val="12"/>
          <w:b w:val="1"/>
          <w:bCs w:val="1"/>
          <w:i w:val="1"/>
          <w:iCs w:val="1"/>
          <w:color w:val="auto"/>
        </w:rPr>
        <w:t>Management's Discussion and Analysis of Financial Condition and Results of Operations</w:t>
      </w:r>
    </w:p>
    <w:p>
      <w:pPr>
        <w:spacing w:after="0" w:line="64" w:lineRule="exact"/>
        <w:rPr>
          <w:sz w:val="20"/>
          <w:szCs w:val="20"/>
          <w:color w:val="auto"/>
        </w:rPr>
      </w:pPr>
    </w:p>
    <w:p>
      <w:pPr>
        <w:jc w:val="both"/>
        <w:ind w:right="20" w:firstLine="288"/>
        <w:spacing w:after="0" w:line="263" w:lineRule="auto"/>
        <w:rPr>
          <w:sz w:val="20"/>
          <w:szCs w:val="20"/>
          <w:color w:val="auto"/>
        </w:rPr>
      </w:pPr>
      <w:r>
        <w:rPr>
          <w:rFonts w:ascii="Arial" w:cs="Arial" w:eastAsia="Arial" w:hAnsi="Arial"/>
          <w:sz w:val="12"/>
          <w:szCs w:val="12"/>
          <w:color w:val="auto"/>
        </w:rPr>
        <w:t>Management's Discussion and Analysis of Financial Condition and Results of Operations ("MD&amp;A") is designed to provide a reader of AGNC Investment Corp.'s consolidated financial statements with a narrative from the perspective of management, and should be read in conjunction with the consolidated financial statements and accompanying notes included in this Quarterly Report on Form 10-Q for quarterly period ended September 30, 2016. Our MD&amp;A is presented in six sections:</w:t>
      </w:r>
    </w:p>
    <w:p>
      <w:pPr>
        <w:spacing w:after="0" w:line="33" w:lineRule="exact"/>
        <w:rPr>
          <w:sz w:val="20"/>
          <w:szCs w:val="20"/>
          <w:color w:val="auto"/>
        </w:rPr>
      </w:pPr>
    </w:p>
    <w:p>
      <w:pPr>
        <w:ind w:left="420" w:hanging="212"/>
        <w:spacing w:after="0"/>
        <w:tabs>
          <w:tab w:leader="none" w:pos="420" w:val="left"/>
        </w:tabs>
        <w:numPr>
          <w:ilvl w:val="0"/>
          <w:numId w:val="17"/>
        </w:numPr>
        <w:rPr>
          <w:rFonts w:ascii="Arial" w:cs="Arial" w:eastAsia="Arial" w:hAnsi="Arial"/>
          <w:sz w:val="12"/>
          <w:szCs w:val="12"/>
          <w:color w:val="auto"/>
        </w:rPr>
      </w:pPr>
      <w:r>
        <w:rPr>
          <w:rFonts w:ascii="Arial" w:cs="Arial" w:eastAsia="Arial" w:hAnsi="Arial"/>
          <w:sz w:val="12"/>
          <w:szCs w:val="12"/>
          <w:color w:val="auto"/>
        </w:rPr>
        <w:t>Executive Overview</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7"/>
        </w:numPr>
        <w:rPr>
          <w:rFonts w:ascii="Arial" w:cs="Arial" w:eastAsia="Arial" w:hAnsi="Arial"/>
          <w:sz w:val="12"/>
          <w:szCs w:val="12"/>
          <w:color w:val="auto"/>
        </w:rPr>
      </w:pPr>
      <w:r>
        <w:rPr>
          <w:rFonts w:ascii="Arial" w:cs="Arial" w:eastAsia="Arial" w:hAnsi="Arial"/>
          <w:sz w:val="12"/>
          <w:szCs w:val="12"/>
          <w:color w:val="auto"/>
        </w:rPr>
        <w:t>Financial Condition</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7"/>
        </w:numPr>
        <w:rPr>
          <w:rFonts w:ascii="Arial" w:cs="Arial" w:eastAsia="Arial" w:hAnsi="Arial"/>
          <w:sz w:val="12"/>
          <w:szCs w:val="12"/>
          <w:color w:val="auto"/>
        </w:rPr>
      </w:pPr>
      <w:r>
        <w:rPr>
          <w:rFonts w:ascii="Arial" w:cs="Arial" w:eastAsia="Arial" w:hAnsi="Arial"/>
          <w:sz w:val="12"/>
          <w:szCs w:val="12"/>
          <w:color w:val="auto"/>
        </w:rPr>
        <w:t>Results of Operations</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7"/>
        </w:numPr>
        <w:rPr>
          <w:rFonts w:ascii="Arial" w:cs="Arial" w:eastAsia="Arial" w:hAnsi="Arial"/>
          <w:sz w:val="12"/>
          <w:szCs w:val="12"/>
          <w:color w:val="auto"/>
        </w:rPr>
      </w:pPr>
      <w:r>
        <w:rPr>
          <w:rFonts w:ascii="Arial" w:cs="Arial" w:eastAsia="Arial" w:hAnsi="Arial"/>
          <w:sz w:val="12"/>
          <w:szCs w:val="12"/>
          <w:color w:val="auto"/>
        </w:rPr>
        <w:t>Liquidity and Capital Resources</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7"/>
        </w:numPr>
        <w:rPr>
          <w:rFonts w:ascii="Arial" w:cs="Arial" w:eastAsia="Arial" w:hAnsi="Arial"/>
          <w:sz w:val="12"/>
          <w:szCs w:val="12"/>
          <w:color w:val="auto"/>
        </w:rPr>
      </w:pPr>
      <w:r>
        <w:rPr>
          <w:rFonts w:ascii="Arial" w:cs="Arial" w:eastAsia="Arial" w:hAnsi="Arial"/>
          <w:sz w:val="12"/>
          <w:szCs w:val="12"/>
          <w:color w:val="auto"/>
        </w:rPr>
        <w:t>Off-Balance Sheet Arrangements</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7"/>
        </w:numPr>
        <w:rPr>
          <w:rFonts w:ascii="Arial" w:cs="Arial" w:eastAsia="Arial" w:hAnsi="Arial"/>
          <w:sz w:val="12"/>
          <w:szCs w:val="12"/>
          <w:color w:val="auto"/>
        </w:rPr>
      </w:pPr>
      <w:r>
        <w:rPr>
          <w:rFonts w:ascii="Arial" w:cs="Arial" w:eastAsia="Arial" w:hAnsi="Arial"/>
          <w:sz w:val="12"/>
          <w:szCs w:val="12"/>
          <w:color w:val="auto"/>
        </w:rPr>
        <w:t>Forward-Looking Statements</w:t>
      </w:r>
    </w:p>
    <w:p>
      <w:pPr>
        <w:spacing w:after="0" w:line="110"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EXECUTIVE OVERVIEW</w:t>
      </w:r>
    </w:p>
    <w:p>
      <w:pPr>
        <w:spacing w:after="0" w:line="118"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AGNC Investment Corp. ("AGNC," the "Company," "we," "us" and "our") was organized on January 7, 2008 and commenced operations on May 20, 2008 following the completion of our initial public offering. Our common stock is traded on The NASDAQ Global Select Market ("NASDAQ") under the symbol "AGNC."</w:t>
      </w:r>
    </w:p>
    <w:p>
      <w:pPr>
        <w:spacing w:after="0" w:line="79" w:lineRule="exact"/>
        <w:rPr>
          <w:sz w:val="20"/>
          <w:szCs w:val="20"/>
          <w:color w:val="auto"/>
        </w:rPr>
      </w:pPr>
    </w:p>
    <w:p>
      <w:pPr>
        <w:jc w:val="both"/>
        <w:ind w:firstLine="288"/>
        <w:spacing w:after="0" w:line="298" w:lineRule="auto"/>
        <w:rPr>
          <w:sz w:val="20"/>
          <w:szCs w:val="20"/>
          <w:color w:val="auto"/>
        </w:rPr>
      </w:pPr>
      <w:r>
        <w:rPr>
          <w:rFonts w:ascii="Arial" w:cs="Arial" w:eastAsia="Arial" w:hAnsi="Arial"/>
          <w:sz w:val="11"/>
          <w:szCs w:val="11"/>
          <w:color w:val="auto"/>
        </w:rPr>
        <w:t>We operate so as to qualify to be taxed as a real estate investment trust ("REIT") under the Internal Revenue Code of 1986, as amended (the "Internal Revenue Code"). As such, we are required to distribute annually 90% of our taxable net income. As long as we qualify as a REIT, we will generally not be subject to U.S. federal or state corporate taxes on our taxable net income to the extent that we distribute our annual taxable net income to our stockholders in a timely manner. It is our intention to distribute 100% of our taxable net income, after application of available tax attributes, within the limits prescribed by the Internal Revenue Code, which may extend into the subsequent taxable year.</w:t>
      </w:r>
    </w:p>
    <w:p>
      <w:pPr>
        <w:spacing w:after="0" w:line="69" w:lineRule="exact"/>
        <w:rPr>
          <w:sz w:val="20"/>
          <w:szCs w:val="20"/>
          <w:color w:val="auto"/>
        </w:rPr>
      </w:pPr>
    </w:p>
    <w:p>
      <w:pPr>
        <w:jc w:val="both"/>
        <w:ind w:firstLine="261"/>
        <w:spacing w:after="0" w:line="290" w:lineRule="auto"/>
        <w:rPr>
          <w:sz w:val="20"/>
          <w:szCs w:val="20"/>
          <w:color w:val="auto"/>
        </w:rPr>
      </w:pPr>
      <w:r>
        <w:rPr>
          <w:rFonts w:ascii="Arial" w:cs="Arial" w:eastAsia="Arial" w:hAnsi="Arial"/>
          <w:sz w:val="11"/>
          <w:szCs w:val="11"/>
          <w:color w:val="auto"/>
        </w:rPr>
        <w:t>We invest primarily in agency mortgage-backed securities ("agency MBS") on a leveraged basis. These investments consist of residential mortgage pass-through securities and collateralized mortgage obligations ("CMOs") for which the principal and interest payments are guaranteed by a government-sponsored enterprise, such as the Federal National Mortgage Association ("Fannie Mae") and the Federal Home Loan Mortgage Corporation ("Freddie Mac"), or by a U.S. Government agency, such as the Government National Mortgage Association ("Ginnie Mae") (collectively referred to as "GSEs"). We may also invest in other types of mortgage and mortgage-related securities, such as credit risk transfer ("CRT") securities and non-agency residential and commercial mortgage-backed securities, where repayment of principal and interest is not guaranteed by a GSE or U.S. Government agency.</w:t>
      </w:r>
    </w:p>
    <w:p>
      <w:pPr>
        <w:spacing w:after="0" w:line="73"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During the third quarter of 2016, we revised our investment guidelines to permit our acquisition of credit-sensitive assets and subsequently made our first investments in CRT securities. In our view the GSE's programmatic sales of a significant portion of their credit risk underlying conforming mortgage loans represents an appealing long-term opportunity for AGNC. Furthermore, we believe that AGNC is particularly well suited to benefit from these assets as a result of our substantial experience with conforming mortgage assets and the correlation between agency prepayments and associated credit exposure. We expect the focus of our credit-sensitive investments to be in CRT or similar securities; however, we will opportunistically invest in other non-agency securities backed by either residential or commercial real estate.</w:t>
      </w:r>
    </w:p>
    <w:p>
      <w:pPr>
        <w:spacing w:after="0" w:line="8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Our principal objective is to provide our stockholders with attractive risk-adjusted returns through a combination of monthly dividends and net asset value (also referred to as "net book value," "NAV" and "stockholders' equity") accretion. We generate income from the interest earned on our investment assets, net of associated borrowing and hedging activities, and net realized gains and losses on our investments and hedging activities. We fund our investments primarily through borrowings structured as repurchase agreements ("repo").</w:t>
      </w:r>
    </w:p>
    <w:p>
      <w:pPr>
        <w:spacing w:after="0" w:line="119"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Our Management Internalization</w:t>
      </w:r>
    </w:p>
    <w:p>
      <w:pPr>
        <w:spacing w:after="0" w:line="154" w:lineRule="exact"/>
        <w:rPr>
          <w:sz w:val="20"/>
          <w:szCs w:val="20"/>
          <w:color w:val="auto"/>
        </w:rPr>
      </w:pPr>
    </w:p>
    <w:p>
      <w:pPr>
        <w:jc w:val="both"/>
        <w:ind w:firstLine="288"/>
        <w:spacing w:after="0" w:line="257" w:lineRule="auto"/>
        <w:rPr>
          <w:sz w:val="20"/>
          <w:szCs w:val="20"/>
          <w:color w:val="auto"/>
        </w:rPr>
      </w:pPr>
      <w:r>
        <w:rPr>
          <w:rFonts w:ascii="Arial" w:cs="Arial" w:eastAsia="Arial" w:hAnsi="Arial"/>
          <w:sz w:val="12"/>
          <w:szCs w:val="12"/>
          <w:color w:val="auto"/>
        </w:rPr>
        <w:t>On July 1, 2016, we completed the acquisition of AGNC Mortgage Management, LLC ("AMM," formerly known as American Capital Mortgage Management, LLC) from American Capital Asset Management, LLC ("ACAM"), a wholly owned portfolio company of American Capital, Ltd. ("ACAS"), for a purchase price of $562 million in cash. AMM is the parent company of our Manager and of MTGE Management, LLC ("MTGE Manager," formerly known as American Capital MTGE Management, LLC), the external manager of MTGE Investment Corp. ("MTGE," formerly known as American Capital Mortgage Investment Corp.). Following the closing of the acquisition of AMM, we became internally managed and are no longer affiliated with ACAS. We believe that the acquisition represents an important milestone for the Company, and we expect that it will result in lower operating costs for AGNC and generate management fee income from MTGE. As of October 31, 2016, we had</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29</w:t>
      </w:r>
    </w:p>
    <w:p>
      <w:pPr>
        <w:sectPr>
          <w:pgSz w:w="11900" w:h="16838" w:orient="portrait"/>
          <w:cols w:equalWidth="0" w:num="1">
            <w:col w:w="11480"/>
          </w:cols>
          <w:pgMar w:left="220" w:top="541" w:right="199" w:bottom="1440" w:gutter="0" w:footer="0" w:header="0"/>
        </w:sectPr>
      </w:pPr>
    </w:p>
    <w:bookmarkStart w:id="30" w:name="page31"/>
    <w:bookmarkEnd w:id="30"/>
    <w:p>
      <w:pPr>
        <w:ind w:right="20"/>
        <w:spacing w:after="0" w:line="276" w:lineRule="auto"/>
        <w:rPr>
          <w:sz w:val="20"/>
          <w:szCs w:val="20"/>
          <w:color w:val="auto"/>
        </w:rPr>
      </w:pPr>
      <w:r>
        <w:rPr>
          <w:rFonts w:ascii="Arial" w:cs="Arial" w:eastAsia="Arial" w:hAnsi="Arial"/>
          <w:sz w:val="12"/>
          <w:szCs w:val="12"/>
          <w:color w:val="auto"/>
        </w:rPr>
        <w:t>approximately 53 full-time employees, and all of our significant business functions were fully staffed. As part of the internalization, the Company and AMM entered into a Transition Services Agreement with ACAS and ACAM, pursuant to which ACAS and ACAM will provide certain transition services for a limited period of time following the Internalization.</w:t>
      </w:r>
    </w:p>
    <w:p>
      <w:pPr>
        <w:spacing w:after="0" w:line="111"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Our Investment Strategy</w:t>
      </w:r>
    </w:p>
    <w:p>
      <w:pPr>
        <w:spacing w:after="0" w:line="154" w:lineRule="exact"/>
        <w:rPr>
          <w:sz w:val="20"/>
          <w:szCs w:val="20"/>
          <w:color w:val="auto"/>
        </w:rPr>
      </w:pPr>
    </w:p>
    <w:p>
      <w:pPr>
        <w:spacing w:after="0"/>
        <w:rPr>
          <w:sz w:val="20"/>
          <w:szCs w:val="20"/>
          <w:color w:val="auto"/>
        </w:rPr>
      </w:pPr>
      <w:r>
        <w:rPr>
          <w:rFonts w:ascii="Arial" w:cs="Arial" w:eastAsia="Arial" w:hAnsi="Arial"/>
          <w:sz w:val="12"/>
          <w:szCs w:val="12"/>
          <w:color w:val="auto"/>
        </w:rPr>
        <w:t>Our investment strategy is designed to:</w:t>
      </w:r>
    </w:p>
    <w:p>
      <w:pPr>
        <w:spacing w:after="0" w:line="150" w:lineRule="exact"/>
        <w:rPr>
          <w:sz w:val="20"/>
          <w:szCs w:val="20"/>
          <w:color w:val="auto"/>
        </w:rPr>
      </w:pPr>
    </w:p>
    <w:p>
      <w:pPr>
        <w:ind w:left="500" w:hanging="238"/>
        <w:spacing w:after="0"/>
        <w:tabs>
          <w:tab w:leader="none" w:pos="500" w:val="left"/>
        </w:tabs>
        <w:numPr>
          <w:ilvl w:val="0"/>
          <w:numId w:val="18"/>
        </w:numPr>
        <w:rPr>
          <w:rFonts w:ascii="Arial" w:cs="Arial" w:eastAsia="Arial" w:hAnsi="Arial"/>
          <w:sz w:val="12"/>
          <w:szCs w:val="12"/>
          <w:color w:val="auto"/>
        </w:rPr>
      </w:pPr>
      <w:r>
        <w:rPr>
          <w:rFonts w:ascii="Arial" w:cs="Arial" w:eastAsia="Arial" w:hAnsi="Arial"/>
          <w:sz w:val="12"/>
          <w:szCs w:val="12"/>
          <w:color w:val="auto"/>
        </w:rPr>
        <w:t>manage an investment portfolio consisting primarily of agency securities with the objective of generating attractive risk-adjusted returns;</w:t>
      </w:r>
    </w:p>
    <w:p>
      <w:pPr>
        <w:spacing w:after="0" w:line="42" w:lineRule="exact"/>
        <w:rPr>
          <w:rFonts w:ascii="Arial" w:cs="Arial" w:eastAsia="Arial" w:hAnsi="Arial"/>
          <w:sz w:val="12"/>
          <w:szCs w:val="12"/>
          <w:color w:val="auto"/>
        </w:rPr>
      </w:pPr>
    </w:p>
    <w:p>
      <w:pPr>
        <w:ind w:left="500" w:hanging="238"/>
        <w:spacing w:after="0"/>
        <w:tabs>
          <w:tab w:leader="none" w:pos="500" w:val="left"/>
        </w:tabs>
        <w:numPr>
          <w:ilvl w:val="0"/>
          <w:numId w:val="18"/>
        </w:numPr>
        <w:rPr>
          <w:rFonts w:ascii="Arial" w:cs="Arial" w:eastAsia="Arial" w:hAnsi="Arial"/>
          <w:sz w:val="12"/>
          <w:szCs w:val="12"/>
          <w:color w:val="auto"/>
        </w:rPr>
      </w:pPr>
      <w:r>
        <w:rPr>
          <w:rFonts w:ascii="Arial" w:cs="Arial" w:eastAsia="Arial" w:hAnsi="Arial"/>
          <w:sz w:val="12"/>
          <w:szCs w:val="12"/>
          <w:color w:val="auto"/>
        </w:rPr>
        <w:t>capitalize on discrepancies in the relative valuations and return potential in the agency and non-agency securities market;</w:t>
      </w:r>
    </w:p>
    <w:p>
      <w:pPr>
        <w:spacing w:after="0" w:line="42" w:lineRule="exact"/>
        <w:rPr>
          <w:rFonts w:ascii="Arial" w:cs="Arial" w:eastAsia="Arial" w:hAnsi="Arial"/>
          <w:sz w:val="12"/>
          <w:szCs w:val="12"/>
          <w:color w:val="auto"/>
        </w:rPr>
      </w:pPr>
    </w:p>
    <w:p>
      <w:pPr>
        <w:ind w:left="500" w:hanging="238"/>
        <w:spacing w:after="0"/>
        <w:tabs>
          <w:tab w:leader="none" w:pos="500" w:val="left"/>
        </w:tabs>
        <w:numPr>
          <w:ilvl w:val="0"/>
          <w:numId w:val="18"/>
        </w:numPr>
        <w:rPr>
          <w:rFonts w:ascii="Arial" w:cs="Arial" w:eastAsia="Arial" w:hAnsi="Arial"/>
          <w:sz w:val="12"/>
          <w:szCs w:val="12"/>
          <w:color w:val="auto"/>
        </w:rPr>
      </w:pPr>
      <w:r>
        <w:rPr>
          <w:rFonts w:ascii="Arial" w:cs="Arial" w:eastAsia="Arial" w:hAnsi="Arial"/>
          <w:sz w:val="12"/>
          <w:szCs w:val="12"/>
          <w:color w:val="auto"/>
        </w:rPr>
        <w:t>manage a wide range of risks including financing, interest rate, credit, prepayment and extension risks;</w:t>
      </w:r>
    </w:p>
    <w:p>
      <w:pPr>
        <w:spacing w:after="0" w:line="42" w:lineRule="exact"/>
        <w:rPr>
          <w:rFonts w:ascii="Arial" w:cs="Arial" w:eastAsia="Arial" w:hAnsi="Arial"/>
          <w:sz w:val="12"/>
          <w:szCs w:val="12"/>
          <w:color w:val="auto"/>
        </w:rPr>
      </w:pPr>
    </w:p>
    <w:p>
      <w:pPr>
        <w:ind w:left="500" w:hanging="238"/>
        <w:spacing w:after="0"/>
        <w:tabs>
          <w:tab w:leader="none" w:pos="500" w:val="left"/>
        </w:tabs>
        <w:numPr>
          <w:ilvl w:val="0"/>
          <w:numId w:val="18"/>
        </w:numPr>
        <w:rPr>
          <w:rFonts w:ascii="Arial" w:cs="Arial" w:eastAsia="Arial" w:hAnsi="Arial"/>
          <w:sz w:val="12"/>
          <w:szCs w:val="12"/>
          <w:color w:val="auto"/>
        </w:rPr>
      </w:pPr>
      <w:r>
        <w:rPr>
          <w:rFonts w:ascii="Arial" w:cs="Arial" w:eastAsia="Arial" w:hAnsi="Arial"/>
          <w:sz w:val="12"/>
          <w:szCs w:val="12"/>
          <w:color w:val="auto"/>
        </w:rPr>
        <w:t>preserve our net book value;</w:t>
      </w:r>
    </w:p>
    <w:p>
      <w:pPr>
        <w:spacing w:after="0" w:line="42" w:lineRule="exact"/>
        <w:rPr>
          <w:rFonts w:ascii="Arial" w:cs="Arial" w:eastAsia="Arial" w:hAnsi="Arial"/>
          <w:sz w:val="12"/>
          <w:szCs w:val="12"/>
          <w:color w:val="auto"/>
        </w:rPr>
      </w:pPr>
    </w:p>
    <w:p>
      <w:pPr>
        <w:ind w:left="500" w:hanging="238"/>
        <w:spacing w:after="0"/>
        <w:tabs>
          <w:tab w:leader="none" w:pos="500" w:val="left"/>
        </w:tabs>
        <w:numPr>
          <w:ilvl w:val="0"/>
          <w:numId w:val="18"/>
        </w:numPr>
        <w:rPr>
          <w:rFonts w:ascii="Arial" w:cs="Arial" w:eastAsia="Arial" w:hAnsi="Arial"/>
          <w:sz w:val="12"/>
          <w:szCs w:val="12"/>
          <w:color w:val="auto"/>
        </w:rPr>
      </w:pPr>
      <w:r>
        <w:rPr>
          <w:rFonts w:ascii="Arial" w:cs="Arial" w:eastAsia="Arial" w:hAnsi="Arial"/>
          <w:sz w:val="12"/>
          <w:szCs w:val="12"/>
          <w:color w:val="auto"/>
        </w:rPr>
        <w:t>provide regular monthly distributions to our stockholders;</w:t>
      </w:r>
    </w:p>
    <w:p>
      <w:pPr>
        <w:spacing w:after="0" w:line="42" w:lineRule="exact"/>
        <w:rPr>
          <w:rFonts w:ascii="Arial" w:cs="Arial" w:eastAsia="Arial" w:hAnsi="Arial"/>
          <w:sz w:val="12"/>
          <w:szCs w:val="12"/>
          <w:color w:val="auto"/>
        </w:rPr>
      </w:pPr>
    </w:p>
    <w:p>
      <w:pPr>
        <w:ind w:left="500" w:hanging="238"/>
        <w:spacing w:after="0"/>
        <w:tabs>
          <w:tab w:leader="none" w:pos="500" w:val="left"/>
        </w:tabs>
        <w:numPr>
          <w:ilvl w:val="0"/>
          <w:numId w:val="18"/>
        </w:numPr>
        <w:rPr>
          <w:rFonts w:ascii="Arial" w:cs="Arial" w:eastAsia="Arial" w:hAnsi="Arial"/>
          <w:sz w:val="12"/>
          <w:szCs w:val="12"/>
          <w:color w:val="auto"/>
        </w:rPr>
      </w:pPr>
      <w:r>
        <w:rPr>
          <w:rFonts w:ascii="Arial" w:cs="Arial" w:eastAsia="Arial" w:hAnsi="Arial"/>
          <w:sz w:val="12"/>
          <w:szCs w:val="12"/>
          <w:color w:val="auto"/>
        </w:rPr>
        <w:t>continue to qualify as a REIT; and</w:t>
      </w:r>
    </w:p>
    <w:p>
      <w:pPr>
        <w:spacing w:after="0" w:line="42" w:lineRule="exact"/>
        <w:rPr>
          <w:rFonts w:ascii="Arial" w:cs="Arial" w:eastAsia="Arial" w:hAnsi="Arial"/>
          <w:sz w:val="12"/>
          <w:szCs w:val="12"/>
          <w:color w:val="auto"/>
        </w:rPr>
      </w:pPr>
    </w:p>
    <w:p>
      <w:pPr>
        <w:ind w:left="500" w:hanging="238"/>
        <w:spacing w:after="0"/>
        <w:tabs>
          <w:tab w:leader="none" w:pos="500" w:val="left"/>
        </w:tabs>
        <w:numPr>
          <w:ilvl w:val="0"/>
          <w:numId w:val="18"/>
        </w:numPr>
        <w:rPr>
          <w:rFonts w:ascii="Arial" w:cs="Arial" w:eastAsia="Arial" w:hAnsi="Arial"/>
          <w:sz w:val="12"/>
          <w:szCs w:val="12"/>
          <w:color w:val="auto"/>
        </w:rPr>
      </w:pPr>
      <w:r>
        <w:rPr>
          <w:rFonts w:ascii="Arial" w:cs="Arial" w:eastAsia="Arial" w:hAnsi="Arial"/>
          <w:sz w:val="12"/>
          <w:szCs w:val="12"/>
          <w:color w:val="auto"/>
        </w:rPr>
        <w:t>remain exempt from the requirements of the Investment Company Act of 1940, as amended (the "Investment Company Act").</w:t>
      </w:r>
    </w:p>
    <w:p>
      <w:pPr>
        <w:spacing w:after="0" w:line="150" w:lineRule="exact"/>
        <w:rPr>
          <w:sz w:val="20"/>
          <w:szCs w:val="20"/>
          <w:color w:val="auto"/>
        </w:rPr>
      </w:pPr>
    </w:p>
    <w:p>
      <w:pPr>
        <w:jc w:val="both"/>
        <w:ind w:firstLine="270"/>
        <w:spacing w:after="0" w:line="340" w:lineRule="auto"/>
        <w:rPr>
          <w:sz w:val="20"/>
          <w:szCs w:val="20"/>
          <w:color w:val="auto"/>
        </w:rPr>
      </w:pPr>
      <w:r>
        <w:rPr>
          <w:rFonts w:ascii="Arial" w:cs="Arial" w:eastAsia="Arial" w:hAnsi="Arial"/>
          <w:sz w:val="10"/>
          <w:szCs w:val="10"/>
          <w:color w:val="auto"/>
        </w:rPr>
        <w:t>The size and composition of our investment portfolio depends on investment strategies we implement, the availability of investment capital and overall market conditions, including the availability of attractively priced investments and suitable financing to appropriately leverage our investment portfolio. Market conditions are influenced by, among other things, current levels of and expectations for future levels of interest rates, mortgage prepayments, market liquidity, housing prices, unemployment rates, general economic conditions, government participation in the mortgage market and evolving regulations or legal settlements that impact servicing practices or other mortgage related activities.</w:t>
      </w:r>
    </w:p>
    <w:p>
      <w:pPr>
        <w:spacing w:after="0" w:line="48"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Our Risk Management Strategy</w:t>
      </w:r>
    </w:p>
    <w:p>
      <w:pPr>
        <w:spacing w:after="0" w:line="118"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We use a variety of strategies to hedge a portion of our exposure to market risks, including interest rate, prepayment, extension and liquidity risk. Our investment and risk management strategy incorporates the cost of hedging transactions and our intention to qualify as a REIT. Consequently, while we use interest rate swaps and other hedges to attempt to protect our net book value against moves in interest rates, we may not hedge certain interest rate, prepayment or extension risks if we believe that bearing such risks enhances our return relative to our risk/return profile, or the hedging transaction would negatively impact our REIT status. We also generally do not hedge the credit exposure embedded in our purchases of CRT securities or other non-agency securities.</w:t>
      </w:r>
    </w:p>
    <w:p>
      <w:pPr>
        <w:spacing w:after="0" w:line="89" w:lineRule="exact"/>
        <w:rPr>
          <w:sz w:val="20"/>
          <w:szCs w:val="20"/>
          <w:color w:val="auto"/>
        </w:rPr>
      </w:pPr>
    </w:p>
    <w:p>
      <w:pPr>
        <w:jc w:val="both"/>
        <w:ind w:firstLine="288"/>
        <w:spacing w:after="0" w:line="320" w:lineRule="auto"/>
        <w:rPr>
          <w:sz w:val="20"/>
          <w:szCs w:val="20"/>
          <w:color w:val="auto"/>
        </w:rPr>
      </w:pPr>
      <w:r>
        <w:rPr>
          <w:rFonts w:ascii="Arial" w:cs="Arial" w:eastAsia="Arial" w:hAnsi="Arial"/>
          <w:sz w:val="10"/>
          <w:szCs w:val="10"/>
          <w:color w:val="auto"/>
        </w:rPr>
        <w:t>The risk management actions we take may lower our earnings and dividends in the short term to further our objective of maintaining attractive levels of earnings and dividends over the long term. In addition, some of our hedges are intended to provide protection against larger rate moves and as a result may be relatively ineffective for smaller changes in interest rates. There can also be no certainty that our projections of our exposures to interest rates, prepayments, extension or other risks will be accurate or that our hedging activities will be effective and, therefore, actual results could differ materially. Furthermore, since our hedging strategies are generally not designed to protect our net book value from spread risk, wider spreads between the market yield on our investment securities and benchmark interests underlying our interest rate hedges will typically cause our net book value to decline and can occur independent of changes in benchmark interest rates. For further discussion of our market risks and risk management strategy, please refer to "Quantitative and Qualitative Disclosures about Market Risk" under Item 3 of this Quarterly Report on Form 10-Q.</w:t>
      </w:r>
    </w:p>
    <w:p>
      <w:pPr>
        <w:spacing w:after="0" w:line="58"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Trends and Recent Market Impacts</w:t>
      </w:r>
    </w:p>
    <w:p>
      <w:pPr>
        <w:spacing w:after="0" w:line="154"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Quarterly Highlights</w:t>
      </w:r>
    </w:p>
    <w:p>
      <w:pPr>
        <w:spacing w:after="0" w:line="231"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Following the Federal Reserve's (the "Fed") first Federal Funds Rate increase in nearly ten years in December 2015, interest rates across much of the yield curve fell materially during the first quarter of 2016, as concerns regarding global economic weakness dampened the market’s expectations with respect to U.S. economic growth, inflation and the pace of monetary policy normalization. Consistent with this weaker outlook, at its March meeting, the Fed significantly reduced its expectations for future short term interest rate increases and explicitly acknowledged the potential downside risk to the U.S. economy associated with the deteriorating global landscape. The weaker global growth outlook also led to significant additional easing measures</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30</w:t>
      </w:r>
    </w:p>
    <w:p>
      <w:pPr>
        <w:sectPr>
          <w:pgSz w:w="11900" w:h="16838" w:orient="portrait"/>
          <w:cols w:equalWidth="0" w:num="1">
            <w:col w:w="11480"/>
          </w:cols>
          <w:pgMar w:left="220" w:top="437" w:right="199" w:bottom="1440" w:gutter="0" w:footer="0" w:header="0"/>
        </w:sectPr>
      </w:pPr>
    </w:p>
    <w:bookmarkStart w:id="31" w:name="page32"/>
    <w:bookmarkEnd w:id="31"/>
    <w:p>
      <w:pPr>
        <w:spacing w:after="0"/>
        <w:rPr>
          <w:sz w:val="20"/>
          <w:szCs w:val="20"/>
          <w:color w:val="auto"/>
        </w:rPr>
      </w:pPr>
      <w:r>
        <w:rPr>
          <w:rFonts w:ascii="Arial" w:cs="Arial" w:eastAsia="Arial" w:hAnsi="Arial"/>
          <w:sz w:val="12"/>
          <w:szCs w:val="12"/>
          <w:color w:val="auto"/>
        </w:rPr>
        <w:t>by the European Central Bank and the Bank of Japan, with the latter instituting negative interest rates for the first time during the first quarter.</w:t>
      </w:r>
    </w:p>
    <w:p>
      <w:pPr>
        <w:spacing w:after="0" w:line="114" w:lineRule="exact"/>
        <w:rPr>
          <w:sz w:val="20"/>
          <w:szCs w:val="20"/>
          <w:color w:val="auto"/>
        </w:rPr>
      </w:pPr>
    </w:p>
    <w:p>
      <w:pPr>
        <w:jc w:val="both"/>
        <w:ind w:firstLine="288"/>
        <w:spacing w:after="0" w:line="340" w:lineRule="auto"/>
        <w:rPr>
          <w:sz w:val="20"/>
          <w:szCs w:val="20"/>
          <w:color w:val="auto"/>
        </w:rPr>
      </w:pPr>
      <w:r>
        <w:rPr>
          <w:rFonts w:ascii="Arial" w:cs="Arial" w:eastAsia="Arial" w:hAnsi="Arial"/>
          <w:sz w:val="10"/>
          <w:szCs w:val="10"/>
          <w:color w:val="auto"/>
        </w:rPr>
        <w:t>Early in the second quarter as the U.S. economy showed signs of improvement, communication from the Fed became decidedly more "hawkish" with respect to its stance on monetary policy. The Fed’s more upbeat assessment of the U.S. economy led the market to believe there was an increased likelihood of additional Fed rate hikes, thus causing interest rates more broadly to rise and retrace some of the rate decline experienced in the first quarter. This trend was subsequently reversed later in the second quarter, as the combination of weaker economic data in the U.S. and the surprise vote by the United Kingdom to withdraw from the European Union drove interest rates to historically low levels.</w:t>
      </w:r>
    </w:p>
    <w:p>
      <w:pPr>
        <w:spacing w:after="0" w:line="52" w:lineRule="exact"/>
        <w:rPr>
          <w:sz w:val="20"/>
          <w:szCs w:val="20"/>
          <w:color w:val="auto"/>
        </w:rPr>
      </w:pPr>
    </w:p>
    <w:p>
      <w:pPr>
        <w:jc w:val="both"/>
        <w:ind w:right="20" w:firstLine="288"/>
        <w:spacing w:after="0" w:line="380" w:lineRule="auto"/>
        <w:rPr>
          <w:sz w:val="20"/>
          <w:szCs w:val="20"/>
          <w:color w:val="auto"/>
        </w:rPr>
      </w:pPr>
      <w:r>
        <w:rPr>
          <w:rFonts w:ascii="Arial" w:cs="Arial" w:eastAsia="Arial" w:hAnsi="Arial"/>
          <w:sz w:val="10"/>
          <w:szCs w:val="10"/>
          <w:color w:val="auto"/>
        </w:rPr>
        <w:t>During the third quarter, both long-term and short-term rates moved somewhat higher, reversing the overall trend of the first half of the year, as the market's expectations regarding a fourth quarter rate hike increased following modest improvements in economic data. In the aggregate, the 10 year U.S. Treasury rate declined 66 bps to 1.61% over the three quarters ended September 30, 2016. The 10 year U.S. swap rate declined 73 bps to 1.46% as of September 30, 2016.</w:t>
      </w:r>
    </w:p>
    <w:p>
      <w:pPr>
        <w:spacing w:after="0" w:line="32" w:lineRule="exact"/>
        <w:rPr>
          <w:sz w:val="20"/>
          <w:szCs w:val="20"/>
          <w:color w:val="auto"/>
        </w:rPr>
      </w:pPr>
    </w:p>
    <w:p>
      <w:pPr>
        <w:jc w:val="both"/>
        <w:ind w:firstLine="288"/>
        <w:spacing w:after="0" w:line="286" w:lineRule="auto"/>
        <w:rPr>
          <w:sz w:val="20"/>
          <w:szCs w:val="20"/>
          <w:color w:val="auto"/>
        </w:rPr>
      </w:pPr>
      <w:r>
        <w:rPr>
          <w:rFonts w:ascii="Arial" w:cs="Arial" w:eastAsia="Arial" w:hAnsi="Arial"/>
          <w:sz w:val="11"/>
          <w:szCs w:val="11"/>
          <w:color w:val="auto"/>
        </w:rPr>
        <w:t>In addition to absolute changes in interest rates, changes in the aggregate spread differential between the market yield on our agency MBS and the benchmark interest rates underlying our interest rate hedges is also a key driver of fluctuations in our total comprehensive income and our NAV per common share. During the first quarter, modest widening in this differential led to a 2.2% decline in our NAV per common share to $22.09 as of March 31, 2016. Conversely, a modest tightening in this spread differential during the second and third quarters helped drive a 0.6% and 3.1% increase, respectively, in our NAV per common share to $22.22 as of June 30, 2016 and $22.91 as of September 30, 2016. Taking into account quarterly dividends of $0.60, $0.60 and $0.56 per common share, our quarterly economic return was 0.4%, 3.3% and 5.6% for the first three quarters, respectively. (For the estimated impact of changes in interests rates and mortgage spreads on our net book value please refer to "Quantitative and Qualitative Disclosures about Market Risk" under Item 3 of this Quarterly Report on Form 10-Q.)</w:t>
      </w:r>
    </w:p>
    <w:p>
      <w:pPr>
        <w:spacing w:after="0" w:line="75"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Funding for agency repo was favorably impacted during the third quarter by the recent implementation of money market reform requirements, which took effect in October of 2016 and caused a sizable reallocation of assets from prime funds to U.S. Government bond money market funds. This shift of capital to U.S. Government money market funds has been supportive of repo backed by agency MBS, reducing our funding costs relative to LIBOR. As we receive a floating LIBOR rate on our pay fixed / receive floating interest rate swaps, the resultant decline in the spread between our repo borrowing costs and LIBOR has the effect of lowering our all-in cost of funds on the portion of our debt that we have hedged with pay fixed swaps.</w:t>
      </w:r>
    </w:p>
    <w:p>
      <w:pPr>
        <w:spacing w:after="0" w:line="8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The average projected life CPR on our portfolio increased to 10.6% as of September 30, 2016 from 8.4% as of December 31, 2015, as prepayment expectations increased consistent with the overall decline in long-term interest rates. The actual monthly CPR on our portfolio increased to annualized rate of 16% for September of 2016. Despite elevated prepayments in September, we expect actual monthly speeds to decline for the remainder of the year as a result of the seasonality of housing turnover and modestly higher primary mortgage rates.</w:t>
      </w:r>
    </w:p>
    <w:p>
      <w:pPr>
        <w:spacing w:after="0" w:line="87" w:lineRule="exact"/>
        <w:rPr>
          <w:sz w:val="20"/>
          <w:szCs w:val="20"/>
          <w:color w:val="auto"/>
        </w:rPr>
      </w:pPr>
    </w:p>
    <w:p>
      <w:pPr>
        <w:jc w:val="both"/>
        <w:ind w:firstLine="288"/>
        <w:spacing w:after="0" w:line="290" w:lineRule="auto"/>
        <w:rPr>
          <w:sz w:val="20"/>
          <w:szCs w:val="20"/>
          <w:color w:val="auto"/>
        </w:rPr>
      </w:pPr>
      <w:r>
        <w:rPr>
          <w:rFonts w:ascii="Arial" w:cs="Arial" w:eastAsia="Arial" w:hAnsi="Arial"/>
          <w:sz w:val="11"/>
          <w:szCs w:val="11"/>
          <w:color w:val="auto"/>
        </w:rPr>
        <w:t>Given our view that rates in the U.S. will remain relatively range bound, we adjusted the composition of our hedge portfolio and lowered our hedge ratio to 75% of our funding liabilities and net TBA position as of September 30, 2016, compared to 87% as of December 31, 2015. Our net "duration gap," which is a measure of the risk due to mismatches that can occur between our assets and liabilities, inclusive of hedges, caused by an instantaneous parallel shift in interest rates, also declined from 0.8 years as of December 31, 2015 to a net duration gap of 0.3 years as of the end of the third quarter. Coupled with attractive investment opportunities in agency MBS, we also chose to increase our "at risk" leverage to an average of 7.1x during the first three quarters of the year, compared to 6.8x as of December 31, 2015 and a low of 6.1x as of June 30, 2015.</w:t>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31</w:t>
      </w:r>
    </w:p>
    <w:p>
      <w:pPr>
        <w:sectPr>
          <w:pgSz w:w="11900" w:h="16838" w:orient="portrait"/>
          <w:cols w:equalWidth="0" w:num="1">
            <w:col w:w="11480"/>
          </w:cols>
          <w:pgMar w:left="220" w:top="545" w:right="199" w:bottom="1440" w:gutter="0" w:footer="0" w:header="0"/>
        </w:sectPr>
      </w:pPr>
    </w:p>
    <w:bookmarkStart w:id="32" w:name="page33"/>
    <w:bookmarkEnd w:id="32"/>
    <w:p>
      <w:pPr>
        <w:spacing w:after="0"/>
        <w:rPr>
          <w:sz w:val="20"/>
          <w:szCs w:val="20"/>
          <w:color w:val="auto"/>
        </w:rPr>
      </w:pPr>
      <w:r>
        <w:rPr>
          <w:rFonts w:ascii="Arial" w:cs="Arial" w:eastAsia="Arial" w:hAnsi="Arial"/>
          <w:sz w:val="12"/>
          <w:szCs w:val="12"/>
          <w:b w:val="1"/>
          <w:bCs w:val="1"/>
          <w:i w:val="1"/>
          <w:iCs w:val="1"/>
          <w:color w:val="auto"/>
        </w:rPr>
        <w:t>Market Information</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following table summarizes interest rates and prices of generic fixed rate agency MBS as of each date presented below:</w:t>
      </w:r>
    </w:p>
    <w:p>
      <w:pPr>
        <w:spacing w:after="0" w:line="93"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1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80" w:type="dxa"/>
            <w:vAlign w:val="bottom"/>
            <w:gridSpan w:val="3"/>
          </w:tcPr>
          <w:p>
            <w:pPr>
              <w:jc w:val="center"/>
              <w:ind w:right="60"/>
              <w:spacing w:after="0"/>
              <w:rPr>
                <w:sz w:val="20"/>
                <w:szCs w:val="20"/>
                <w:color w:val="auto"/>
              </w:rPr>
            </w:pPr>
            <w:r>
              <w:rPr>
                <w:rFonts w:ascii="Arial" w:cs="Arial" w:eastAsia="Arial" w:hAnsi="Arial"/>
                <w:sz w:val="10"/>
                <w:szCs w:val="10"/>
                <w:b w:val="1"/>
                <w:bCs w:val="1"/>
                <w:color w:val="auto"/>
                <w:w w:val="87"/>
              </w:rPr>
              <w:t>Sept. 30, 2016</w:t>
            </w:r>
          </w:p>
        </w:tc>
        <w:tc>
          <w:tcPr>
            <w:tcW w:w="800" w:type="dxa"/>
            <w:vAlign w:val="bottom"/>
            <w:gridSpan w:val="2"/>
          </w:tcPr>
          <w:p>
            <w:pPr>
              <w:jc w:val="right"/>
              <w:ind w:right="72"/>
              <w:spacing w:after="0"/>
              <w:rPr>
                <w:sz w:val="20"/>
                <w:szCs w:val="20"/>
                <w:color w:val="auto"/>
              </w:rPr>
            </w:pPr>
            <w:r>
              <w:rPr>
                <w:rFonts w:ascii="Arial" w:cs="Arial" w:eastAsia="Arial" w:hAnsi="Arial"/>
                <w:sz w:val="10"/>
                <w:szCs w:val="10"/>
                <w:b w:val="1"/>
                <w:bCs w:val="1"/>
                <w:color w:val="auto"/>
                <w:w w:val="99"/>
              </w:rPr>
              <w:t>Sept. 30, 2016</w:t>
            </w:r>
          </w:p>
        </w:tc>
      </w:tr>
      <w:tr>
        <w:trPr>
          <w:trHeight w:val="99"/>
        </w:trPr>
        <w:tc>
          <w:tcPr>
            <w:tcW w:w="1620" w:type="dxa"/>
            <w:vAlign w:val="bottom"/>
          </w:tcPr>
          <w:p>
            <w:pPr>
              <w:spacing w:after="0"/>
              <w:rPr>
                <w:sz w:val="8"/>
                <w:szCs w:val="8"/>
                <w:color w:val="auto"/>
              </w:rPr>
            </w:pPr>
          </w:p>
        </w:tc>
        <w:tc>
          <w:tcPr>
            <w:tcW w:w="80" w:type="dxa"/>
            <w:vAlign w:val="bottom"/>
          </w:tcPr>
          <w:p>
            <w:pPr>
              <w:spacing w:after="0"/>
              <w:rPr>
                <w:sz w:val="8"/>
                <w:szCs w:val="8"/>
                <w:color w:val="auto"/>
              </w:rPr>
            </w:pPr>
          </w:p>
        </w:tc>
        <w:tc>
          <w:tcPr>
            <w:tcW w:w="480" w:type="dxa"/>
            <w:vAlign w:val="bottom"/>
            <w:gridSpan w:val="2"/>
          </w:tcPr>
          <w:p>
            <w:pPr>
              <w:ind w:left="20"/>
              <w:spacing w:after="0" w:line="99" w:lineRule="exact"/>
              <w:rPr>
                <w:sz w:val="20"/>
                <w:szCs w:val="20"/>
                <w:color w:val="auto"/>
              </w:rPr>
            </w:pPr>
            <w:r>
              <w:rPr>
                <w:rFonts w:ascii="Arial" w:cs="Arial" w:eastAsia="Arial" w:hAnsi="Arial"/>
                <w:sz w:val="10"/>
                <w:szCs w:val="10"/>
                <w:b w:val="1"/>
                <w:bCs w:val="1"/>
                <w:color w:val="auto"/>
              </w:rPr>
              <w:t>Sept. 30,</w:t>
            </w:r>
          </w:p>
        </w:tc>
        <w:tc>
          <w:tcPr>
            <w:tcW w:w="460" w:type="dxa"/>
            <w:vAlign w:val="bottom"/>
            <w:gridSpan w:val="2"/>
          </w:tcPr>
          <w:p>
            <w:pPr>
              <w:ind w:left="40"/>
              <w:spacing w:after="0" w:line="99" w:lineRule="exact"/>
              <w:rPr>
                <w:sz w:val="20"/>
                <w:szCs w:val="20"/>
                <w:color w:val="auto"/>
              </w:rPr>
            </w:pPr>
            <w:r>
              <w:rPr>
                <w:rFonts w:ascii="Arial" w:cs="Arial" w:eastAsia="Arial" w:hAnsi="Arial"/>
                <w:sz w:val="10"/>
                <w:szCs w:val="10"/>
                <w:b w:val="1"/>
                <w:bCs w:val="1"/>
                <w:color w:val="auto"/>
              </w:rPr>
              <w:t>Dec. 31,</w:t>
            </w:r>
          </w:p>
        </w:tc>
        <w:tc>
          <w:tcPr>
            <w:tcW w:w="480" w:type="dxa"/>
            <w:vAlign w:val="bottom"/>
            <w:gridSpan w:val="2"/>
          </w:tcPr>
          <w:p>
            <w:pPr>
              <w:ind w:left="40"/>
              <w:spacing w:after="0" w:line="99" w:lineRule="exact"/>
              <w:rPr>
                <w:sz w:val="20"/>
                <w:szCs w:val="20"/>
                <w:color w:val="auto"/>
              </w:rPr>
            </w:pPr>
            <w:r>
              <w:rPr>
                <w:rFonts w:ascii="Arial" w:cs="Arial" w:eastAsia="Arial" w:hAnsi="Arial"/>
                <w:sz w:val="10"/>
                <w:szCs w:val="10"/>
                <w:b w:val="1"/>
                <w:bCs w:val="1"/>
                <w:color w:val="auto"/>
              </w:rPr>
              <w:t>Mar. 31,</w:t>
            </w:r>
          </w:p>
        </w:tc>
        <w:tc>
          <w:tcPr>
            <w:tcW w:w="480" w:type="dxa"/>
            <w:vAlign w:val="bottom"/>
            <w:gridSpan w:val="2"/>
          </w:tcPr>
          <w:p>
            <w:pPr>
              <w:ind w:left="40"/>
              <w:spacing w:after="0" w:line="99" w:lineRule="exact"/>
              <w:rPr>
                <w:sz w:val="20"/>
                <w:szCs w:val="20"/>
                <w:color w:val="auto"/>
              </w:rPr>
            </w:pPr>
            <w:r>
              <w:rPr>
                <w:rFonts w:ascii="Arial" w:cs="Arial" w:eastAsia="Arial" w:hAnsi="Arial"/>
                <w:sz w:val="10"/>
                <w:szCs w:val="10"/>
                <w:b w:val="1"/>
                <w:bCs w:val="1"/>
                <w:color w:val="auto"/>
              </w:rPr>
              <w:t>June 30,</w:t>
            </w:r>
          </w:p>
        </w:tc>
        <w:tc>
          <w:tcPr>
            <w:tcW w:w="480" w:type="dxa"/>
            <w:vAlign w:val="bottom"/>
            <w:gridSpan w:val="2"/>
          </w:tcPr>
          <w:p>
            <w:pPr>
              <w:ind w:left="40"/>
              <w:spacing w:after="0" w:line="99" w:lineRule="exact"/>
              <w:rPr>
                <w:sz w:val="20"/>
                <w:szCs w:val="20"/>
                <w:color w:val="auto"/>
              </w:rPr>
            </w:pPr>
            <w:r>
              <w:rPr>
                <w:rFonts w:ascii="Arial" w:cs="Arial" w:eastAsia="Arial" w:hAnsi="Arial"/>
                <w:sz w:val="10"/>
                <w:szCs w:val="10"/>
                <w:b w:val="1"/>
                <w:bCs w:val="1"/>
                <w:color w:val="auto"/>
              </w:rPr>
              <w:t>Sept. 30,</w:t>
            </w:r>
          </w:p>
        </w:tc>
        <w:tc>
          <w:tcPr>
            <w:tcW w:w="880" w:type="dxa"/>
            <w:vAlign w:val="bottom"/>
            <w:gridSpan w:val="3"/>
          </w:tcPr>
          <w:p>
            <w:pPr>
              <w:jc w:val="center"/>
              <w:ind w:right="60"/>
              <w:spacing w:after="0" w:line="99" w:lineRule="exact"/>
              <w:rPr>
                <w:sz w:val="20"/>
                <w:szCs w:val="20"/>
                <w:color w:val="auto"/>
              </w:rPr>
            </w:pPr>
            <w:r>
              <w:rPr>
                <w:rFonts w:ascii="Arial" w:cs="Arial" w:eastAsia="Arial" w:hAnsi="Arial"/>
                <w:sz w:val="10"/>
                <w:szCs w:val="10"/>
                <w:b w:val="1"/>
                <w:bCs w:val="1"/>
                <w:color w:val="auto"/>
                <w:w w:val="89"/>
              </w:rPr>
              <w:t>vs</w:t>
            </w:r>
          </w:p>
        </w:tc>
        <w:tc>
          <w:tcPr>
            <w:tcW w:w="800" w:type="dxa"/>
            <w:vAlign w:val="bottom"/>
            <w:gridSpan w:val="2"/>
          </w:tcPr>
          <w:p>
            <w:pPr>
              <w:jc w:val="right"/>
              <w:ind w:right="312"/>
              <w:spacing w:after="0" w:line="99" w:lineRule="exact"/>
              <w:rPr>
                <w:sz w:val="20"/>
                <w:szCs w:val="20"/>
                <w:color w:val="auto"/>
              </w:rPr>
            </w:pPr>
            <w:r>
              <w:rPr>
                <w:rFonts w:ascii="Arial" w:cs="Arial" w:eastAsia="Arial" w:hAnsi="Arial"/>
                <w:sz w:val="10"/>
                <w:szCs w:val="10"/>
                <w:b w:val="1"/>
                <w:bCs w:val="1"/>
                <w:color w:val="auto"/>
              </w:rPr>
              <w:t>vs</w:t>
            </w:r>
          </w:p>
        </w:tc>
      </w:tr>
      <w:tr>
        <w:trPr>
          <w:trHeight w:val="128"/>
        </w:trPr>
        <w:tc>
          <w:tcPr>
            <w:tcW w:w="1620" w:type="dxa"/>
            <w:vAlign w:val="bottom"/>
            <w:tcBorders>
              <w:bottom w:val="single" w:sz="8" w:color="auto"/>
            </w:tcBorders>
          </w:tcPr>
          <w:p>
            <w:pPr>
              <w:ind w:left="220"/>
              <w:spacing w:after="0"/>
              <w:rPr>
                <w:sz w:val="20"/>
                <w:szCs w:val="20"/>
                <w:color w:val="auto"/>
              </w:rPr>
            </w:pPr>
            <w:r>
              <w:rPr>
                <w:rFonts w:ascii="Arial" w:cs="Arial" w:eastAsia="Arial" w:hAnsi="Arial"/>
                <w:sz w:val="10"/>
                <w:szCs w:val="10"/>
                <w:b w:val="1"/>
                <w:bCs w:val="1"/>
                <w:color w:val="auto"/>
              </w:rPr>
              <w:t xml:space="preserve">Interest Rate/Security Price </w:t>
            </w:r>
            <w:r>
              <w:rPr>
                <w:rFonts w:ascii="Arial" w:cs="Arial" w:eastAsia="Arial" w:hAnsi="Arial"/>
                <w:sz w:val="5"/>
                <w:szCs w:val="5"/>
                <w:b w:val="1"/>
                <w:bCs w:val="1"/>
                <w:color w:val="auto"/>
              </w:rPr>
              <w:t>1</w:t>
            </w:r>
          </w:p>
        </w:tc>
        <w:tc>
          <w:tcPr>
            <w:tcW w:w="80" w:type="dxa"/>
            <w:vAlign w:val="bottom"/>
            <w:tcBorders>
              <w:bottom w:val="single" w:sz="8" w:color="CCEEFF"/>
            </w:tcBorders>
          </w:tcPr>
          <w:p>
            <w:pPr>
              <w:spacing w:after="0"/>
              <w:rPr>
                <w:sz w:val="11"/>
                <w:szCs w:val="11"/>
                <w:color w:val="auto"/>
              </w:rPr>
            </w:pPr>
          </w:p>
        </w:tc>
        <w:tc>
          <w:tcPr>
            <w:tcW w:w="4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2015</w:t>
            </w:r>
          </w:p>
        </w:tc>
        <w:tc>
          <w:tcPr>
            <w:tcW w:w="80" w:type="dxa"/>
            <w:vAlign w:val="bottom"/>
            <w:tcBorders>
              <w:bottom w:val="single" w:sz="8" w:color="CCEEFF"/>
            </w:tcBorders>
          </w:tcPr>
          <w:p>
            <w:pPr>
              <w:spacing w:after="0"/>
              <w:rPr>
                <w:sz w:val="11"/>
                <w:szCs w:val="11"/>
                <w:color w:val="auto"/>
              </w:rPr>
            </w:pPr>
          </w:p>
        </w:tc>
        <w:tc>
          <w:tcPr>
            <w:tcW w:w="4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2015</w:t>
            </w:r>
          </w:p>
        </w:tc>
        <w:tc>
          <w:tcPr>
            <w:tcW w:w="60" w:type="dxa"/>
            <w:vAlign w:val="bottom"/>
            <w:tcBorders>
              <w:bottom w:val="single" w:sz="8" w:color="CCEEFF"/>
            </w:tcBorders>
          </w:tcPr>
          <w:p>
            <w:pPr>
              <w:spacing w:after="0"/>
              <w:rPr>
                <w:sz w:val="11"/>
                <w:szCs w:val="11"/>
                <w:color w:val="auto"/>
              </w:rPr>
            </w:pPr>
          </w:p>
        </w:tc>
        <w:tc>
          <w:tcPr>
            <w:tcW w:w="4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0"/>
              </w:rPr>
              <w:t>2016</w:t>
            </w:r>
          </w:p>
        </w:tc>
        <w:tc>
          <w:tcPr>
            <w:tcW w:w="60" w:type="dxa"/>
            <w:vAlign w:val="bottom"/>
            <w:tcBorders>
              <w:bottom w:val="single" w:sz="8" w:color="CCEEFF"/>
            </w:tcBorders>
          </w:tcPr>
          <w:p>
            <w:pPr>
              <w:spacing w:after="0"/>
              <w:rPr>
                <w:sz w:val="11"/>
                <w:szCs w:val="11"/>
                <w:color w:val="auto"/>
              </w:rPr>
            </w:pPr>
          </w:p>
        </w:tc>
        <w:tc>
          <w:tcPr>
            <w:tcW w:w="4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0"/>
              </w:rPr>
              <w:t>2016</w:t>
            </w:r>
          </w:p>
        </w:tc>
        <w:tc>
          <w:tcPr>
            <w:tcW w:w="60" w:type="dxa"/>
            <w:vAlign w:val="bottom"/>
            <w:tcBorders>
              <w:bottom w:val="single" w:sz="8" w:color="CCEEFF"/>
            </w:tcBorders>
          </w:tcPr>
          <w:p>
            <w:pPr>
              <w:spacing w:after="0"/>
              <w:rPr>
                <w:sz w:val="11"/>
                <w:szCs w:val="11"/>
                <w:color w:val="auto"/>
              </w:rPr>
            </w:pPr>
          </w:p>
        </w:tc>
        <w:tc>
          <w:tcPr>
            <w:tcW w:w="4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0"/>
              </w:rPr>
              <w:t>2016</w:t>
            </w:r>
          </w:p>
        </w:tc>
        <w:tc>
          <w:tcPr>
            <w:tcW w:w="80" w:type="dxa"/>
            <w:vAlign w:val="bottom"/>
            <w:tcBorders>
              <w:bottom w:val="single" w:sz="8" w:color="CCEEFF"/>
            </w:tcBorders>
          </w:tcPr>
          <w:p>
            <w:pPr>
              <w:spacing w:after="0"/>
              <w:rPr>
                <w:sz w:val="11"/>
                <w:szCs w:val="11"/>
                <w:color w:val="auto"/>
              </w:rPr>
            </w:pPr>
          </w:p>
        </w:tc>
        <w:tc>
          <w:tcPr>
            <w:tcW w:w="800" w:type="dxa"/>
            <w:vAlign w:val="bottom"/>
            <w:tcBorders>
              <w:bottom w:val="single" w:sz="8" w:color="auto"/>
            </w:tcBorders>
            <w:gridSpan w:val="2"/>
          </w:tcPr>
          <w:p>
            <w:pPr>
              <w:jc w:val="center"/>
              <w:spacing w:after="0"/>
              <w:rPr>
                <w:sz w:val="20"/>
                <w:szCs w:val="20"/>
                <w:color w:val="auto"/>
              </w:rPr>
            </w:pPr>
            <w:r>
              <w:rPr>
                <w:rFonts w:ascii="Arial" w:cs="Arial" w:eastAsia="Arial" w:hAnsi="Arial"/>
                <w:sz w:val="10"/>
                <w:szCs w:val="10"/>
                <w:b w:val="1"/>
                <w:bCs w:val="1"/>
                <w:color w:val="auto"/>
                <w:w w:val="82"/>
              </w:rPr>
              <w:t>June 30, 2016</w:t>
            </w:r>
          </w:p>
        </w:tc>
        <w:tc>
          <w:tcPr>
            <w:tcW w:w="80" w:type="dxa"/>
            <w:vAlign w:val="bottom"/>
            <w:tcBorders>
              <w:bottom w:val="single" w:sz="8" w:color="CCEEFF"/>
            </w:tcBorders>
          </w:tcPr>
          <w:p>
            <w:pPr>
              <w:spacing w:after="0"/>
              <w:rPr>
                <w:sz w:val="11"/>
                <w:szCs w:val="11"/>
                <w:color w:val="auto"/>
              </w:rPr>
            </w:pPr>
          </w:p>
        </w:tc>
        <w:tc>
          <w:tcPr>
            <w:tcW w:w="800" w:type="dxa"/>
            <w:vAlign w:val="bottom"/>
            <w:tcBorders>
              <w:bottom w:val="single" w:sz="8" w:color="auto"/>
            </w:tcBorders>
            <w:gridSpan w:val="2"/>
          </w:tcPr>
          <w:p>
            <w:pPr>
              <w:ind w:left="140"/>
              <w:spacing w:after="0"/>
              <w:rPr>
                <w:sz w:val="20"/>
                <w:szCs w:val="20"/>
                <w:color w:val="auto"/>
              </w:rPr>
            </w:pPr>
            <w:r>
              <w:rPr>
                <w:rFonts w:ascii="Arial" w:cs="Arial" w:eastAsia="Arial" w:hAnsi="Arial"/>
                <w:sz w:val="10"/>
                <w:szCs w:val="10"/>
                <w:b w:val="1"/>
                <w:bCs w:val="1"/>
                <w:color w:val="auto"/>
              </w:rPr>
              <w:t>Dec. 31, 2015</w:t>
            </w:r>
          </w:p>
        </w:tc>
      </w:tr>
      <w:tr>
        <w:trPr>
          <w:trHeight w:val="173"/>
        </w:trPr>
        <w:tc>
          <w:tcPr>
            <w:tcW w:w="17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LIBOR:</w:t>
            </w:r>
          </w:p>
        </w:tc>
        <w:tc>
          <w:tcPr>
            <w:tcW w:w="4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r>
      <w:tr>
        <w:trPr>
          <w:trHeight w:val="176"/>
        </w:trPr>
        <w:tc>
          <w:tcPr>
            <w:tcW w:w="1700" w:type="dxa"/>
            <w:vAlign w:val="bottom"/>
            <w:gridSpan w:val="2"/>
          </w:tcPr>
          <w:p>
            <w:pPr>
              <w:ind w:left="120"/>
              <w:spacing w:after="0"/>
              <w:rPr>
                <w:sz w:val="20"/>
                <w:szCs w:val="20"/>
                <w:color w:val="auto"/>
              </w:rPr>
            </w:pPr>
            <w:r>
              <w:rPr>
                <w:rFonts w:ascii="Arial" w:cs="Arial" w:eastAsia="Arial" w:hAnsi="Arial"/>
                <w:sz w:val="10"/>
                <w:szCs w:val="10"/>
                <w:color w:val="auto"/>
              </w:rPr>
              <w:t>1-Month</w:t>
            </w: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0.19%</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0.43%</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0.44%</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0.47%</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91"/>
              </w:rPr>
              <w:t>0.53%</w:t>
            </w:r>
          </w:p>
        </w:tc>
        <w:tc>
          <w:tcPr>
            <w:tcW w:w="80" w:type="dxa"/>
            <w:vAlign w:val="bottom"/>
          </w:tcPr>
          <w:p>
            <w:pPr>
              <w:spacing w:after="0"/>
              <w:rPr>
                <w:sz w:val="15"/>
                <w:szCs w:val="15"/>
                <w:color w:val="auto"/>
              </w:rPr>
            </w:pPr>
          </w:p>
        </w:tc>
        <w:tc>
          <w:tcPr>
            <w:tcW w:w="400" w:type="dxa"/>
            <w:vAlign w:val="bottom"/>
          </w:tcPr>
          <w:p>
            <w:pPr>
              <w:jc w:val="right"/>
              <w:spacing w:after="0"/>
              <w:rPr>
                <w:sz w:val="20"/>
                <w:szCs w:val="20"/>
                <w:color w:val="auto"/>
              </w:rPr>
            </w:pPr>
            <w:r>
              <w:rPr>
                <w:rFonts w:ascii="Arial" w:cs="Arial" w:eastAsia="Arial" w:hAnsi="Arial"/>
                <w:sz w:val="10"/>
                <w:szCs w:val="10"/>
                <w:color w:val="auto"/>
              </w:rPr>
              <w:t>+0.06</w:t>
            </w:r>
          </w:p>
        </w:tc>
        <w:tc>
          <w:tcPr>
            <w:tcW w:w="480" w:type="dxa"/>
            <w:vAlign w:val="bottom"/>
            <w:gridSpan w:val="2"/>
          </w:tcPr>
          <w:p>
            <w:pPr>
              <w:jc w:val="right"/>
              <w:ind w:right="340"/>
              <w:spacing w:after="0"/>
              <w:rPr>
                <w:sz w:val="20"/>
                <w:szCs w:val="20"/>
                <w:color w:val="auto"/>
              </w:rPr>
            </w:pPr>
            <w:r>
              <w:rPr>
                <w:rFonts w:ascii="Arial" w:cs="Arial" w:eastAsia="Arial" w:hAnsi="Arial"/>
                <w:sz w:val="10"/>
                <w:szCs w:val="10"/>
                <w:color w:val="auto"/>
                <w:w w:val="74"/>
              </w:rPr>
              <w:t>bps</w:t>
            </w:r>
          </w:p>
        </w:tc>
        <w:tc>
          <w:tcPr>
            <w:tcW w:w="380" w:type="dxa"/>
            <w:vAlign w:val="bottom"/>
          </w:tcPr>
          <w:p>
            <w:pPr>
              <w:ind w:left="140"/>
              <w:spacing w:after="0"/>
              <w:rPr>
                <w:sz w:val="20"/>
                <w:szCs w:val="20"/>
                <w:color w:val="auto"/>
              </w:rPr>
            </w:pPr>
            <w:r>
              <w:rPr>
                <w:rFonts w:ascii="Arial" w:cs="Arial" w:eastAsia="Arial" w:hAnsi="Arial"/>
                <w:sz w:val="10"/>
                <w:szCs w:val="10"/>
                <w:color w:val="auto"/>
                <w:w w:val="86"/>
              </w:rPr>
              <w:t>+0.10</w:t>
            </w:r>
          </w:p>
        </w:tc>
        <w:tc>
          <w:tcPr>
            <w:tcW w:w="420" w:type="dxa"/>
            <w:vAlign w:val="bottom"/>
          </w:tcPr>
          <w:p>
            <w:pPr>
              <w:jc w:val="right"/>
              <w:ind w:right="212"/>
              <w:spacing w:after="0"/>
              <w:rPr>
                <w:sz w:val="20"/>
                <w:szCs w:val="20"/>
                <w:color w:val="auto"/>
              </w:rPr>
            </w:pPr>
            <w:r>
              <w:rPr>
                <w:rFonts w:ascii="Arial" w:cs="Arial" w:eastAsia="Arial" w:hAnsi="Arial"/>
                <w:sz w:val="10"/>
                <w:szCs w:val="10"/>
                <w:color w:val="auto"/>
                <w:w w:val="86"/>
              </w:rPr>
              <w:t>bps</w:t>
            </w:r>
          </w:p>
        </w:tc>
      </w:tr>
      <w:tr>
        <w:trPr>
          <w:trHeight w:val="184"/>
        </w:trPr>
        <w:tc>
          <w:tcPr>
            <w:tcW w:w="170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3-Month</w:t>
            </w: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0.33%</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0.61%</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0.63%</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0.65%</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0.85%</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+0.20</w:t>
            </w:r>
          </w:p>
        </w:tc>
        <w:tc>
          <w:tcPr>
            <w:tcW w:w="480" w:type="dxa"/>
            <w:vAlign w:val="bottom"/>
            <w:gridSpan w:val="2"/>
            <w:shd w:val="clear" w:color="auto" w:fill="CCEEFF"/>
          </w:tcPr>
          <w:p>
            <w:pPr>
              <w:jc w:val="right"/>
              <w:ind w:right="340"/>
              <w:spacing w:after="0"/>
              <w:rPr>
                <w:sz w:val="20"/>
                <w:szCs w:val="20"/>
                <w:color w:val="auto"/>
              </w:rPr>
            </w:pPr>
            <w:r>
              <w:rPr>
                <w:rFonts w:ascii="Arial" w:cs="Arial" w:eastAsia="Arial" w:hAnsi="Arial"/>
                <w:sz w:val="10"/>
                <w:szCs w:val="10"/>
                <w:color w:val="auto"/>
                <w:w w:val="74"/>
              </w:rPr>
              <w:t>bps</w:t>
            </w:r>
          </w:p>
        </w:tc>
        <w:tc>
          <w:tcPr>
            <w:tcW w:w="380" w:type="dxa"/>
            <w:vAlign w:val="bottom"/>
            <w:shd w:val="clear" w:color="auto" w:fill="CCEEFF"/>
          </w:tcPr>
          <w:p>
            <w:pPr>
              <w:ind w:left="140"/>
              <w:spacing w:after="0"/>
              <w:rPr>
                <w:sz w:val="20"/>
                <w:szCs w:val="20"/>
                <w:color w:val="auto"/>
              </w:rPr>
            </w:pPr>
            <w:r>
              <w:rPr>
                <w:rFonts w:ascii="Arial" w:cs="Arial" w:eastAsia="Arial" w:hAnsi="Arial"/>
                <w:sz w:val="10"/>
                <w:szCs w:val="10"/>
                <w:color w:val="auto"/>
                <w:w w:val="86"/>
              </w:rPr>
              <w:t>+0.24</w:t>
            </w:r>
          </w:p>
        </w:tc>
        <w:tc>
          <w:tcPr>
            <w:tcW w:w="420" w:type="dxa"/>
            <w:vAlign w:val="bottom"/>
            <w:shd w:val="clear" w:color="auto" w:fill="CCEEFF"/>
          </w:tcPr>
          <w:p>
            <w:pPr>
              <w:jc w:val="right"/>
              <w:ind w:right="212"/>
              <w:spacing w:after="0"/>
              <w:rPr>
                <w:sz w:val="20"/>
                <w:szCs w:val="20"/>
                <w:color w:val="auto"/>
              </w:rPr>
            </w:pPr>
            <w:r>
              <w:rPr>
                <w:rFonts w:ascii="Arial" w:cs="Arial" w:eastAsia="Arial" w:hAnsi="Arial"/>
                <w:sz w:val="10"/>
                <w:szCs w:val="10"/>
                <w:color w:val="auto"/>
                <w:w w:val="86"/>
              </w:rPr>
              <w:t>bps</w:t>
            </w:r>
          </w:p>
        </w:tc>
      </w:tr>
      <w:tr>
        <w:trPr>
          <w:trHeight w:val="176"/>
        </w:trPr>
        <w:tc>
          <w:tcPr>
            <w:tcW w:w="1700" w:type="dxa"/>
            <w:vAlign w:val="bottom"/>
            <w:gridSpan w:val="2"/>
          </w:tcPr>
          <w:p>
            <w:pPr>
              <w:ind w:left="120"/>
              <w:spacing w:after="0"/>
              <w:rPr>
                <w:sz w:val="20"/>
                <w:szCs w:val="20"/>
                <w:color w:val="auto"/>
              </w:rPr>
            </w:pPr>
            <w:r>
              <w:rPr>
                <w:rFonts w:ascii="Arial" w:cs="Arial" w:eastAsia="Arial" w:hAnsi="Arial"/>
                <w:sz w:val="10"/>
                <w:szCs w:val="10"/>
                <w:color w:val="auto"/>
              </w:rPr>
              <w:t>6-Month</w:t>
            </w: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0.53%</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0.85%</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0.90%</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0.92%</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91"/>
              </w:rPr>
              <w:t>1.24%</w:t>
            </w:r>
          </w:p>
        </w:tc>
        <w:tc>
          <w:tcPr>
            <w:tcW w:w="80" w:type="dxa"/>
            <w:vAlign w:val="bottom"/>
          </w:tcPr>
          <w:p>
            <w:pPr>
              <w:spacing w:after="0"/>
              <w:rPr>
                <w:sz w:val="15"/>
                <w:szCs w:val="15"/>
                <w:color w:val="auto"/>
              </w:rPr>
            </w:pPr>
          </w:p>
        </w:tc>
        <w:tc>
          <w:tcPr>
            <w:tcW w:w="400" w:type="dxa"/>
            <w:vAlign w:val="bottom"/>
          </w:tcPr>
          <w:p>
            <w:pPr>
              <w:jc w:val="right"/>
              <w:spacing w:after="0"/>
              <w:rPr>
                <w:sz w:val="20"/>
                <w:szCs w:val="20"/>
                <w:color w:val="auto"/>
              </w:rPr>
            </w:pPr>
            <w:r>
              <w:rPr>
                <w:rFonts w:ascii="Arial" w:cs="Arial" w:eastAsia="Arial" w:hAnsi="Arial"/>
                <w:sz w:val="10"/>
                <w:szCs w:val="10"/>
                <w:color w:val="auto"/>
              </w:rPr>
              <w:t>+0.32</w:t>
            </w:r>
          </w:p>
        </w:tc>
        <w:tc>
          <w:tcPr>
            <w:tcW w:w="480" w:type="dxa"/>
            <w:vAlign w:val="bottom"/>
            <w:gridSpan w:val="2"/>
          </w:tcPr>
          <w:p>
            <w:pPr>
              <w:jc w:val="right"/>
              <w:ind w:right="340"/>
              <w:spacing w:after="0"/>
              <w:rPr>
                <w:sz w:val="20"/>
                <w:szCs w:val="20"/>
                <w:color w:val="auto"/>
              </w:rPr>
            </w:pPr>
            <w:r>
              <w:rPr>
                <w:rFonts w:ascii="Arial" w:cs="Arial" w:eastAsia="Arial" w:hAnsi="Arial"/>
                <w:sz w:val="10"/>
                <w:szCs w:val="10"/>
                <w:color w:val="auto"/>
                <w:w w:val="74"/>
              </w:rPr>
              <w:t>bps</w:t>
            </w:r>
          </w:p>
        </w:tc>
        <w:tc>
          <w:tcPr>
            <w:tcW w:w="380" w:type="dxa"/>
            <w:vAlign w:val="bottom"/>
          </w:tcPr>
          <w:p>
            <w:pPr>
              <w:ind w:left="140"/>
              <w:spacing w:after="0"/>
              <w:rPr>
                <w:sz w:val="20"/>
                <w:szCs w:val="20"/>
                <w:color w:val="auto"/>
              </w:rPr>
            </w:pPr>
            <w:r>
              <w:rPr>
                <w:rFonts w:ascii="Arial" w:cs="Arial" w:eastAsia="Arial" w:hAnsi="Arial"/>
                <w:sz w:val="10"/>
                <w:szCs w:val="10"/>
                <w:color w:val="auto"/>
                <w:w w:val="86"/>
              </w:rPr>
              <w:t>+0.39</w:t>
            </w:r>
          </w:p>
        </w:tc>
        <w:tc>
          <w:tcPr>
            <w:tcW w:w="420" w:type="dxa"/>
            <w:vAlign w:val="bottom"/>
          </w:tcPr>
          <w:p>
            <w:pPr>
              <w:jc w:val="right"/>
              <w:ind w:right="212"/>
              <w:spacing w:after="0"/>
              <w:rPr>
                <w:sz w:val="20"/>
                <w:szCs w:val="20"/>
                <w:color w:val="auto"/>
              </w:rPr>
            </w:pPr>
            <w:r>
              <w:rPr>
                <w:rFonts w:ascii="Arial" w:cs="Arial" w:eastAsia="Arial" w:hAnsi="Arial"/>
                <w:sz w:val="10"/>
                <w:szCs w:val="10"/>
                <w:color w:val="auto"/>
                <w:w w:val="86"/>
              </w:rPr>
              <w:t>bps</w:t>
            </w:r>
          </w:p>
        </w:tc>
      </w:tr>
      <w:tr>
        <w:trPr>
          <w:trHeight w:val="184"/>
        </w:trPr>
        <w:tc>
          <w:tcPr>
            <w:tcW w:w="17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U.S. Treasury Security Rate:</w:t>
            </w: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r>
      <w:tr>
        <w:trPr>
          <w:trHeight w:val="176"/>
        </w:trPr>
        <w:tc>
          <w:tcPr>
            <w:tcW w:w="1700" w:type="dxa"/>
            <w:vAlign w:val="bottom"/>
            <w:gridSpan w:val="2"/>
          </w:tcPr>
          <w:p>
            <w:pPr>
              <w:ind w:left="120"/>
              <w:spacing w:after="0"/>
              <w:rPr>
                <w:sz w:val="20"/>
                <w:szCs w:val="20"/>
                <w:color w:val="auto"/>
              </w:rPr>
            </w:pPr>
            <w:r>
              <w:rPr>
                <w:rFonts w:ascii="Arial" w:cs="Arial" w:eastAsia="Arial" w:hAnsi="Arial"/>
                <w:sz w:val="10"/>
                <w:szCs w:val="10"/>
                <w:color w:val="auto"/>
              </w:rPr>
              <w:t>2-Year U.S. Treasury</w:t>
            </w: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0.64%</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1.06%</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0.73%</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0.59%</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91"/>
              </w:rPr>
              <w:t>0.76%</w:t>
            </w:r>
          </w:p>
        </w:tc>
        <w:tc>
          <w:tcPr>
            <w:tcW w:w="80" w:type="dxa"/>
            <w:vAlign w:val="bottom"/>
          </w:tcPr>
          <w:p>
            <w:pPr>
              <w:spacing w:after="0"/>
              <w:rPr>
                <w:sz w:val="15"/>
                <w:szCs w:val="15"/>
                <w:color w:val="auto"/>
              </w:rPr>
            </w:pPr>
          </w:p>
        </w:tc>
        <w:tc>
          <w:tcPr>
            <w:tcW w:w="400" w:type="dxa"/>
            <w:vAlign w:val="bottom"/>
          </w:tcPr>
          <w:p>
            <w:pPr>
              <w:jc w:val="right"/>
              <w:spacing w:after="0"/>
              <w:rPr>
                <w:sz w:val="20"/>
                <w:szCs w:val="20"/>
                <w:color w:val="auto"/>
              </w:rPr>
            </w:pPr>
            <w:r>
              <w:rPr>
                <w:rFonts w:ascii="Arial" w:cs="Arial" w:eastAsia="Arial" w:hAnsi="Arial"/>
                <w:sz w:val="10"/>
                <w:szCs w:val="10"/>
                <w:color w:val="auto"/>
              </w:rPr>
              <w:t>+0.17</w:t>
            </w:r>
          </w:p>
        </w:tc>
        <w:tc>
          <w:tcPr>
            <w:tcW w:w="480" w:type="dxa"/>
            <w:vAlign w:val="bottom"/>
            <w:gridSpan w:val="2"/>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tcPr>
          <w:p>
            <w:pPr>
              <w:jc w:val="right"/>
              <w:ind w:right="212"/>
              <w:spacing w:after="0"/>
              <w:rPr>
                <w:sz w:val="20"/>
                <w:szCs w:val="20"/>
                <w:color w:val="auto"/>
              </w:rPr>
            </w:pPr>
            <w:r>
              <w:rPr>
                <w:rFonts w:ascii="Arial" w:cs="Arial" w:eastAsia="Arial" w:hAnsi="Arial"/>
                <w:sz w:val="10"/>
                <w:szCs w:val="10"/>
                <w:color w:val="auto"/>
              </w:rPr>
              <w:t>-0.30 bps</w:t>
            </w:r>
          </w:p>
        </w:tc>
      </w:tr>
      <w:tr>
        <w:trPr>
          <w:trHeight w:val="184"/>
        </w:trPr>
        <w:tc>
          <w:tcPr>
            <w:tcW w:w="170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3-Year U.S. Treasury</w:t>
            </w: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0.92%</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1.32%</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0.86%</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0.70%</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0.87%</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+0.17</w:t>
            </w:r>
          </w:p>
        </w:tc>
        <w:tc>
          <w:tcPr>
            <w:tcW w:w="480" w:type="dxa"/>
            <w:vAlign w:val="bottom"/>
            <w:gridSpan w:val="2"/>
            <w:shd w:val="clear" w:color="auto" w:fill="CCEEFF"/>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shd w:val="clear" w:color="auto" w:fill="CCEEFF"/>
          </w:tcPr>
          <w:p>
            <w:pPr>
              <w:jc w:val="right"/>
              <w:ind w:right="212"/>
              <w:spacing w:after="0"/>
              <w:rPr>
                <w:sz w:val="20"/>
                <w:szCs w:val="20"/>
                <w:color w:val="auto"/>
              </w:rPr>
            </w:pPr>
            <w:r>
              <w:rPr>
                <w:rFonts w:ascii="Arial" w:cs="Arial" w:eastAsia="Arial" w:hAnsi="Arial"/>
                <w:sz w:val="10"/>
                <w:szCs w:val="10"/>
                <w:color w:val="auto"/>
              </w:rPr>
              <w:t>-0.45 bps</w:t>
            </w:r>
          </w:p>
        </w:tc>
      </w:tr>
      <w:tr>
        <w:trPr>
          <w:trHeight w:val="176"/>
        </w:trPr>
        <w:tc>
          <w:tcPr>
            <w:tcW w:w="1700" w:type="dxa"/>
            <w:vAlign w:val="bottom"/>
            <w:gridSpan w:val="2"/>
          </w:tcPr>
          <w:p>
            <w:pPr>
              <w:ind w:left="120"/>
              <w:spacing w:after="0"/>
              <w:rPr>
                <w:sz w:val="20"/>
                <w:szCs w:val="20"/>
                <w:color w:val="auto"/>
              </w:rPr>
            </w:pPr>
            <w:r>
              <w:rPr>
                <w:rFonts w:ascii="Arial" w:cs="Arial" w:eastAsia="Arial" w:hAnsi="Arial"/>
                <w:sz w:val="10"/>
                <w:szCs w:val="10"/>
                <w:color w:val="auto"/>
              </w:rPr>
              <w:t>5-Year U.S. Treasury</w:t>
            </w: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1.37%</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1.77%</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1.22%</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1.01%</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91"/>
              </w:rPr>
              <w:t>1.15%</w:t>
            </w:r>
          </w:p>
        </w:tc>
        <w:tc>
          <w:tcPr>
            <w:tcW w:w="80" w:type="dxa"/>
            <w:vAlign w:val="bottom"/>
          </w:tcPr>
          <w:p>
            <w:pPr>
              <w:spacing w:after="0"/>
              <w:rPr>
                <w:sz w:val="15"/>
                <w:szCs w:val="15"/>
                <w:color w:val="auto"/>
              </w:rPr>
            </w:pPr>
          </w:p>
        </w:tc>
        <w:tc>
          <w:tcPr>
            <w:tcW w:w="400" w:type="dxa"/>
            <w:vAlign w:val="bottom"/>
          </w:tcPr>
          <w:p>
            <w:pPr>
              <w:jc w:val="right"/>
              <w:spacing w:after="0"/>
              <w:rPr>
                <w:sz w:val="20"/>
                <w:szCs w:val="20"/>
                <w:color w:val="auto"/>
              </w:rPr>
            </w:pPr>
            <w:r>
              <w:rPr>
                <w:rFonts w:ascii="Arial" w:cs="Arial" w:eastAsia="Arial" w:hAnsi="Arial"/>
                <w:sz w:val="10"/>
                <w:szCs w:val="10"/>
                <w:color w:val="auto"/>
              </w:rPr>
              <w:t>+0.14</w:t>
            </w:r>
          </w:p>
        </w:tc>
        <w:tc>
          <w:tcPr>
            <w:tcW w:w="480" w:type="dxa"/>
            <w:vAlign w:val="bottom"/>
            <w:gridSpan w:val="2"/>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tcPr>
          <w:p>
            <w:pPr>
              <w:jc w:val="right"/>
              <w:ind w:right="212"/>
              <w:spacing w:after="0"/>
              <w:rPr>
                <w:sz w:val="20"/>
                <w:szCs w:val="20"/>
                <w:color w:val="auto"/>
              </w:rPr>
            </w:pPr>
            <w:r>
              <w:rPr>
                <w:rFonts w:ascii="Arial" w:cs="Arial" w:eastAsia="Arial" w:hAnsi="Arial"/>
                <w:sz w:val="10"/>
                <w:szCs w:val="10"/>
                <w:color w:val="auto"/>
              </w:rPr>
              <w:t>-0.62 bps</w:t>
            </w:r>
          </w:p>
        </w:tc>
      </w:tr>
      <w:tr>
        <w:trPr>
          <w:trHeight w:val="184"/>
        </w:trPr>
        <w:tc>
          <w:tcPr>
            <w:tcW w:w="170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10-Year U.S. Treasury</w:t>
            </w: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2.06%</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2.27%</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1.78%</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1.49%</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1.61%</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+0.12</w:t>
            </w:r>
          </w:p>
        </w:tc>
        <w:tc>
          <w:tcPr>
            <w:tcW w:w="480" w:type="dxa"/>
            <w:vAlign w:val="bottom"/>
            <w:gridSpan w:val="2"/>
            <w:shd w:val="clear" w:color="auto" w:fill="CCEEFF"/>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shd w:val="clear" w:color="auto" w:fill="CCEEFF"/>
          </w:tcPr>
          <w:p>
            <w:pPr>
              <w:jc w:val="right"/>
              <w:ind w:right="212"/>
              <w:spacing w:after="0"/>
              <w:rPr>
                <w:sz w:val="20"/>
                <w:szCs w:val="20"/>
                <w:color w:val="auto"/>
              </w:rPr>
            </w:pPr>
            <w:r>
              <w:rPr>
                <w:rFonts w:ascii="Arial" w:cs="Arial" w:eastAsia="Arial" w:hAnsi="Arial"/>
                <w:sz w:val="10"/>
                <w:szCs w:val="10"/>
                <w:color w:val="auto"/>
              </w:rPr>
              <w:t>-0.66 bps</w:t>
            </w:r>
          </w:p>
        </w:tc>
      </w:tr>
      <w:tr>
        <w:trPr>
          <w:trHeight w:val="176"/>
        </w:trPr>
        <w:tc>
          <w:tcPr>
            <w:tcW w:w="1700" w:type="dxa"/>
            <w:vAlign w:val="bottom"/>
            <w:gridSpan w:val="2"/>
          </w:tcPr>
          <w:p>
            <w:pPr>
              <w:ind w:left="120"/>
              <w:spacing w:after="0"/>
              <w:rPr>
                <w:sz w:val="20"/>
                <w:szCs w:val="20"/>
                <w:color w:val="auto"/>
              </w:rPr>
            </w:pPr>
            <w:r>
              <w:rPr>
                <w:rFonts w:ascii="Arial" w:cs="Arial" w:eastAsia="Arial" w:hAnsi="Arial"/>
                <w:sz w:val="10"/>
                <w:szCs w:val="10"/>
                <w:color w:val="auto"/>
              </w:rPr>
              <w:t>30-Year U.S. Treasury</w:t>
            </w: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2.88%</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3.01%</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2.62%</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2.31%</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91"/>
              </w:rPr>
              <w:t>2.33%</w:t>
            </w:r>
          </w:p>
        </w:tc>
        <w:tc>
          <w:tcPr>
            <w:tcW w:w="80" w:type="dxa"/>
            <w:vAlign w:val="bottom"/>
          </w:tcPr>
          <w:p>
            <w:pPr>
              <w:spacing w:after="0"/>
              <w:rPr>
                <w:sz w:val="15"/>
                <w:szCs w:val="15"/>
                <w:color w:val="auto"/>
              </w:rPr>
            </w:pPr>
          </w:p>
        </w:tc>
        <w:tc>
          <w:tcPr>
            <w:tcW w:w="400" w:type="dxa"/>
            <w:vAlign w:val="bottom"/>
          </w:tcPr>
          <w:p>
            <w:pPr>
              <w:jc w:val="right"/>
              <w:spacing w:after="0"/>
              <w:rPr>
                <w:sz w:val="20"/>
                <w:szCs w:val="20"/>
                <w:color w:val="auto"/>
              </w:rPr>
            </w:pPr>
            <w:r>
              <w:rPr>
                <w:rFonts w:ascii="Arial" w:cs="Arial" w:eastAsia="Arial" w:hAnsi="Arial"/>
                <w:sz w:val="10"/>
                <w:szCs w:val="10"/>
                <w:color w:val="auto"/>
              </w:rPr>
              <w:t>+0.02</w:t>
            </w:r>
          </w:p>
        </w:tc>
        <w:tc>
          <w:tcPr>
            <w:tcW w:w="480" w:type="dxa"/>
            <w:vAlign w:val="bottom"/>
            <w:gridSpan w:val="2"/>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tcPr>
          <w:p>
            <w:pPr>
              <w:jc w:val="right"/>
              <w:ind w:right="212"/>
              <w:spacing w:after="0"/>
              <w:rPr>
                <w:sz w:val="20"/>
                <w:szCs w:val="20"/>
                <w:color w:val="auto"/>
              </w:rPr>
            </w:pPr>
            <w:r>
              <w:rPr>
                <w:rFonts w:ascii="Arial" w:cs="Arial" w:eastAsia="Arial" w:hAnsi="Arial"/>
                <w:sz w:val="10"/>
                <w:szCs w:val="10"/>
                <w:color w:val="auto"/>
              </w:rPr>
              <w:t>-0.68 bps</w:t>
            </w:r>
          </w:p>
        </w:tc>
      </w:tr>
      <w:tr>
        <w:trPr>
          <w:trHeight w:val="184"/>
        </w:trPr>
        <w:tc>
          <w:tcPr>
            <w:tcW w:w="17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Interest Rate Swap Rate:</w:t>
            </w: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r>
      <w:tr>
        <w:trPr>
          <w:trHeight w:val="176"/>
        </w:trPr>
        <w:tc>
          <w:tcPr>
            <w:tcW w:w="1700" w:type="dxa"/>
            <w:vAlign w:val="bottom"/>
            <w:gridSpan w:val="2"/>
          </w:tcPr>
          <w:p>
            <w:pPr>
              <w:ind w:left="120"/>
              <w:spacing w:after="0"/>
              <w:rPr>
                <w:sz w:val="20"/>
                <w:szCs w:val="20"/>
                <w:color w:val="auto"/>
              </w:rPr>
            </w:pPr>
            <w:r>
              <w:rPr>
                <w:rFonts w:ascii="Arial" w:cs="Arial" w:eastAsia="Arial" w:hAnsi="Arial"/>
                <w:sz w:val="10"/>
                <w:szCs w:val="10"/>
                <w:color w:val="auto"/>
              </w:rPr>
              <w:t>2-Year Swap</w:t>
            </w: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0.76%</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1.17%</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0.85%</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0.74%</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91"/>
              </w:rPr>
              <w:t>1.01%</w:t>
            </w:r>
          </w:p>
        </w:tc>
        <w:tc>
          <w:tcPr>
            <w:tcW w:w="80" w:type="dxa"/>
            <w:vAlign w:val="bottom"/>
          </w:tcPr>
          <w:p>
            <w:pPr>
              <w:spacing w:after="0"/>
              <w:rPr>
                <w:sz w:val="15"/>
                <w:szCs w:val="15"/>
                <w:color w:val="auto"/>
              </w:rPr>
            </w:pPr>
          </w:p>
        </w:tc>
        <w:tc>
          <w:tcPr>
            <w:tcW w:w="400" w:type="dxa"/>
            <w:vAlign w:val="bottom"/>
          </w:tcPr>
          <w:p>
            <w:pPr>
              <w:jc w:val="right"/>
              <w:spacing w:after="0"/>
              <w:rPr>
                <w:sz w:val="20"/>
                <w:szCs w:val="20"/>
                <w:color w:val="auto"/>
              </w:rPr>
            </w:pPr>
            <w:r>
              <w:rPr>
                <w:rFonts w:ascii="Arial" w:cs="Arial" w:eastAsia="Arial" w:hAnsi="Arial"/>
                <w:sz w:val="10"/>
                <w:szCs w:val="10"/>
                <w:color w:val="auto"/>
              </w:rPr>
              <w:t>+0.27</w:t>
            </w:r>
          </w:p>
        </w:tc>
        <w:tc>
          <w:tcPr>
            <w:tcW w:w="480" w:type="dxa"/>
            <w:vAlign w:val="bottom"/>
            <w:gridSpan w:val="2"/>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tcPr>
          <w:p>
            <w:pPr>
              <w:jc w:val="right"/>
              <w:ind w:right="212"/>
              <w:spacing w:after="0"/>
              <w:rPr>
                <w:sz w:val="20"/>
                <w:szCs w:val="20"/>
                <w:color w:val="auto"/>
              </w:rPr>
            </w:pPr>
            <w:r>
              <w:rPr>
                <w:rFonts w:ascii="Arial" w:cs="Arial" w:eastAsia="Arial" w:hAnsi="Arial"/>
                <w:sz w:val="10"/>
                <w:szCs w:val="10"/>
                <w:color w:val="auto"/>
              </w:rPr>
              <w:t>-0.16 bps</w:t>
            </w:r>
          </w:p>
        </w:tc>
      </w:tr>
      <w:tr>
        <w:trPr>
          <w:trHeight w:val="184"/>
        </w:trPr>
        <w:tc>
          <w:tcPr>
            <w:tcW w:w="170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3-Year Swap</w:t>
            </w: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0.99%</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1.41%</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0.96%</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0.81%</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1.07%</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+0.26</w:t>
            </w:r>
          </w:p>
        </w:tc>
        <w:tc>
          <w:tcPr>
            <w:tcW w:w="480" w:type="dxa"/>
            <w:vAlign w:val="bottom"/>
            <w:gridSpan w:val="2"/>
            <w:shd w:val="clear" w:color="auto" w:fill="CCEEFF"/>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shd w:val="clear" w:color="auto" w:fill="CCEEFF"/>
          </w:tcPr>
          <w:p>
            <w:pPr>
              <w:jc w:val="right"/>
              <w:ind w:right="212"/>
              <w:spacing w:after="0"/>
              <w:rPr>
                <w:sz w:val="20"/>
                <w:szCs w:val="20"/>
                <w:color w:val="auto"/>
              </w:rPr>
            </w:pPr>
            <w:r>
              <w:rPr>
                <w:rFonts w:ascii="Arial" w:cs="Arial" w:eastAsia="Arial" w:hAnsi="Arial"/>
                <w:sz w:val="10"/>
                <w:szCs w:val="10"/>
                <w:color w:val="auto"/>
              </w:rPr>
              <w:t>-0.34 bps</w:t>
            </w:r>
          </w:p>
        </w:tc>
      </w:tr>
      <w:tr>
        <w:trPr>
          <w:trHeight w:val="176"/>
        </w:trPr>
        <w:tc>
          <w:tcPr>
            <w:tcW w:w="1700" w:type="dxa"/>
            <w:vAlign w:val="bottom"/>
            <w:gridSpan w:val="2"/>
          </w:tcPr>
          <w:p>
            <w:pPr>
              <w:ind w:left="120"/>
              <w:spacing w:after="0"/>
              <w:rPr>
                <w:sz w:val="20"/>
                <w:szCs w:val="20"/>
                <w:color w:val="auto"/>
              </w:rPr>
            </w:pPr>
            <w:r>
              <w:rPr>
                <w:rFonts w:ascii="Arial" w:cs="Arial" w:eastAsia="Arial" w:hAnsi="Arial"/>
                <w:sz w:val="10"/>
                <w:szCs w:val="10"/>
                <w:color w:val="auto"/>
              </w:rPr>
              <w:t>5-Year Swap</w:t>
            </w: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1.40%</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1.73%</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1.18%</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0.99%</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91"/>
              </w:rPr>
              <w:t>1.18%</w:t>
            </w:r>
          </w:p>
        </w:tc>
        <w:tc>
          <w:tcPr>
            <w:tcW w:w="80" w:type="dxa"/>
            <w:vAlign w:val="bottom"/>
          </w:tcPr>
          <w:p>
            <w:pPr>
              <w:spacing w:after="0"/>
              <w:rPr>
                <w:sz w:val="15"/>
                <w:szCs w:val="15"/>
                <w:color w:val="auto"/>
              </w:rPr>
            </w:pPr>
          </w:p>
        </w:tc>
        <w:tc>
          <w:tcPr>
            <w:tcW w:w="400" w:type="dxa"/>
            <w:vAlign w:val="bottom"/>
          </w:tcPr>
          <w:p>
            <w:pPr>
              <w:jc w:val="right"/>
              <w:spacing w:after="0"/>
              <w:rPr>
                <w:sz w:val="20"/>
                <w:szCs w:val="20"/>
                <w:color w:val="auto"/>
              </w:rPr>
            </w:pPr>
            <w:r>
              <w:rPr>
                <w:rFonts w:ascii="Arial" w:cs="Arial" w:eastAsia="Arial" w:hAnsi="Arial"/>
                <w:sz w:val="10"/>
                <w:szCs w:val="10"/>
                <w:color w:val="auto"/>
              </w:rPr>
              <w:t>+0.19</w:t>
            </w:r>
          </w:p>
        </w:tc>
        <w:tc>
          <w:tcPr>
            <w:tcW w:w="480" w:type="dxa"/>
            <w:vAlign w:val="bottom"/>
            <w:gridSpan w:val="2"/>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tcPr>
          <w:p>
            <w:pPr>
              <w:jc w:val="right"/>
              <w:ind w:right="212"/>
              <w:spacing w:after="0"/>
              <w:rPr>
                <w:sz w:val="20"/>
                <w:szCs w:val="20"/>
                <w:color w:val="auto"/>
              </w:rPr>
            </w:pPr>
            <w:r>
              <w:rPr>
                <w:rFonts w:ascii="Arial" w:cs="Arial" w:eastAsia="Arial" w:hAnsi="Arial"/>
                <w:sz w:val="10"/>
                <w:szCs w:val="10"/>
                <w:color w:val="auto"/>
              </w:rPr>
              <w:t>-0.55 bps</w:t>
            </w:r>
          </w:p>
        </w:tc>
      </w:tr>
      <w:tr>
        <w:trPr>
          <w:trHeight w:val="184"/>
        </w:trPr>
        <w:tc>
          <w:tcPr>
            <w:tcW w:w="170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10-Year Swap</w:t>
            </w: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2.01%</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2.19%</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1.64%</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1.38%</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1.46%</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+0.08</w:t>
            </w:r>
          </w:p>
        </w:tc>
        <w:tc>
          <w:tcPr>
            <w:tcW w:w="480" w:type="dxa"/>
            <w:vAlign w:val="bottom"/>
            <w:gridSpan w:val="2"/>
            <w:shd w:val="clear" w:color="auto" w:fill="CCEEFF"/>
          </w:tcPr>
          <w:p>
            <w:pPr>
              <w:jc w:val="right"/>
              <w:ind w:right="340"/>
              <w:spacing w:after="0"/>
              <w:rPr>
                <w:sz w:val="20"/>
                <w:szCs w:val="20"/>
                <w:color w:val="auto"/>
              </w:rPr>
            </w:pPr>
            <w:r>
              <w:rPr>
                <w:rFonts w:ascii="Arial" w:cs="Arial" w:eastAsia="Arial" w:hAnsi="Arial"/>
                <w:sz w:val="10"/>
                <w:szCs w:val="10"/>
                <w:color w:val="auto"/>
                <w:w w:val="74"/>
              </w:rPr>
              <w:t>bps</w:t>
            </w:r>
          </w:p>
        </w:tc>
        <w:tc>
          <w:tcPr>
            <w:tcW w:w="800" w:type="dxa"/>
            <w:vAlign w:val="bottom"/>
            <w:gridSpan w:val="2"/>
            <w:shd w:val="clear" w:color="auto" w:fill="CCEEFF"/>
          </w:tcPr>
          <w:p>
            <w:pPr>
              <w:jc w:val="right"/>
              <w:ind w:right="212"/>
              <w:spacing w:after="0"/>
              <w:rPr>
                <w:sz w:val="20"/>
                <w:szCs w:val="20"/>
                <w:color w:val="auto"/>
              </w:rPr>
            </w:pPr>
            <w:r>
              <w:rPr>
                <w:rFonts w:ascii="Arial" w:cs="Arial" w:eastAsia="Arial" w:hAnsi="Arial"/>
                <w:sz w:val="10"/>
                <w:szCs w:val="10"/>
                <w:color w:val="auto"/>
              </w:rPr>
              <w:t>-0.73 bps</w:t>
            </w:r>
          </w:p>
        </w:tc>
      </w:tr>
      <w:tr>
        <w:trPr>
          <w:trHeight w:val="176"/>
        </w:trPr>
        <w:tc>
          <w:tcPr>
            <w:tcW w:w="1700" w:type="dxa"/>
            <w:vAlign w:val="bottom"/>
            <w:gridSpan w:val="2"/>
          </w:tcPr>
          <w:p>
            <w:pPr>
              <w:ind w:left="120"/>
              <w:spacing w:after="0"/>
              <w:rPr>
                <w:sz w:val="20"/>
                <w:szCs w:val="20"/>
                <w:color w:val="auto"/>
              </w:rPr>
            </w:pPr>
            <w:r>
              <w:rPr>
                <w:rFonts w:ascii="Arial" w:cs="Arial" w:eastAsia="Arial" w:hAnsi="Arial"/>
                <w:sz w:val="10"/>
                <w:szCs w:val="10"/>
                <w:color w:val="auto"/>
              </w:rPr>
              <w:t>30-Year Swap</w:t>
            </w: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2.53%</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4"/>
              </w:rPr>
              <w:t>2.62%</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2.13%</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91"/>
              </w:rPr>
              <w:t>1.84%</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91"/>
              </w:rPr>
              <w:t>1.78%</w:t>
            </w:r>
          </w:p>
        </w:tc>
        <w:tc>
          <w:tcPr>
            <w:tcW w:w="80" w:type="dxa"/>
            <w:vAlign w:val="bottom"/>
          </w:tcPr>
          <w:p>
            <w:pPr>
              <w:spacing w:after="0"/>
              <w:rPr>
                <w:sz w:val="15"/>
                <w:szCs w:val="15"/>
                <w:color w:val="auto"/>
              </w:rPr>
            </w:pPr>
          </w:p>
        </w:tc>
        <w:tc>
          <w:tcPr>
            <w:tcW w:w="880" w:type="dxa"/>
            <w:vAlign w:val="bottom"/>
            <w:gridSpan w:val="3"/>
          </w:tcPr>
          <w:p>
            <w:pPr>
              <w:jc w:val="right"/>
              <w:ind w:right="340"/>
              <w:spacing w:after="0"/>
              <w:rPr>
                <w:sz w:val="20"/>
                <w:szCs w:val="20"/>
                <w:color w:val="auto"/>
              </w:rPr>
            </w:pPr>
            <w:r>
              <w:rPr>
                <w:rFonts w:ascii="Arial" w:cs="Arial" w:eastAsia="Arial" w:hAnsi="Arial"/>
                <w:sz w:val="10"/>
                <w:szCs w:val="10"/>
                <w:color w:val="auto"/>
              </w:rPr>
              <w:t>-0.06 bps</w:t>
            </w:r>
          </w:p>
        </w:tc>
        <w:tc>
          <w:tcPr>
            <w:tcW w:w="800" w:type="dxa"/>
            <w:vAlign w:val="bottom"/>
            <w:gridSpan w:val="2"/>
          </w:tcPr>
          <w:p>
            <w:pPr>
              <w:jc w:val="right"/>
              <w:ind w:right="212"/>
              <w:spacing w:after="0"/>
              <w:rPr>
                <w:sz w:val="20"/>
                <w:szCs w:val="20"/>
                <w:color w:val="auto"/>
              </w:rPr>
            </w:pPr>
            <w:r>
              <w:rPr>
                <w:rFonts w:ascii="Arial" w:cs="Arial" w:eastAsia="Arial" w:hAnsi="Arial"/>
                <w:sz w:val="10"/>
                <w:szCs w:val="10"/>
                <w:color w:val="auto"/>
              </w:rPr>
              <w:t>-0.84 bps</w:t>
            </w:r>
          </w:p>
        </w:tc>
      </w:tr>
      <w:tr>
        <w:trPr>
          <w:trHeight w:val="184"/>
        </w:trPr>
        <w:tc>
          <w:tcPr>
            <w:tcW w:w="17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30-Year Fixed Rate MBS Price:</w:t>
            </w: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r>
      <w:tr>
        <w:trPr>
          <w:trHeight w:val="176"/>
        </w:trPr>
        <w:tc>
          <w:tcPr>
            <w:tcW w:w="1620" w:type="dxa"/>
            <w:vAlign w:val="bottom"/>
          </w:tcPr>
          <w:p>
            <w:pPr>
              <w:ind w:left="120"/>
              <w:spacing w:after="0"/>
              <w:rPr>
                <w:sz w:val="20"/>
                <w:szCs w:val="20"/>
                <w:color w:val="auto"/>
              </w:rPr>
            </w:pPr>
            <w:r>
              <w:rPr>
                <w:rFonts w:ascii="Arial" w:cs="Arial" w:eastAsia="Arial" w:hAnsi="Arial"/>
                <w:sz w:val="10"/>
                <w:szCs w:val="10"/>
                <w:color w:val="auto"/>
              </w:rPr>
              <w:t>3.0%</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8"/>
              </w:rPr>
              <w:t>$101.34</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8"/>
              </w:rPr>
              <w:t>$100.01</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82"/>
              </w:rPr>
              <w:t>$102.59</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82"/>
              </w:rPr>
              <w:t>$103.75</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2"/>
              </w:rPr>
              <w:t>$103.95</w:t>
            </w:r>
          </w:p>
        </w:tc>
        <w:tc>
          <w:tcPr>
            <w:tcW w:w="80" w:type="dxa"/>
            <w:vAlign w:val="bottom"/>
          </w:tcPr>
          <w:p>
            <w:pPr>
              <w:spacing w:after="0"/>
              <w:rPr>
                <w:sz w:val="15"/>
                <w:szCs w:val="15"/>
                <w:color w:val="auto"/>
              </w:rPr>
            </w:pPr>
          </w:p>
        </w:tc>
        <w:tc>
          <w:tcPr>
            <w:tcW w:w="800" w:type="dxa"/>
            <w:vAlign w:val="bottom"/>
            <w:gridSpan w:val="2"/>
          </w:tcPr>
          <w:p>
            <w:pPr>
              <w:jc w:val="center"/>
              <w:spacing w:after="0"/>
              <w:rPr>
                <w:sz w:val="20"/>
                <w:szCs w:val="20"/>
                <w:color w:val="auto"/>
              </w:rPr>
            </w:pPr>
            <w:r>
              <w:rPr>
                <w:rFonts w:ascii="Arial" w:cs="Arial" w:eastAsia="Arial" w:hAnsi="Arial"/>
                <w:sz w:val="10"/>
                <w:szCs w:val="10"/>
                <w:color w:val="auto"/>
                <w:w w:val="84"/>
              </w:rPr>
              <w:t>+$0.20</w:t>
            </w:r>
          </w:p>
        </w:tc>
        <w:tc>
          <w:tcPr>
            <w:tcW w:w="80" w:type="dxa"/>
            <w:vAlign w:val="bottom"/>
          </w:tcPr>
          <w:p>
            <w:pPr>
              <w:spacing w:after="0"/>
              <w:rPr>
                <w:sz w:val="15"/>
                <w:szCs w:val="15"/>
                <w:color w:val="auto"/>
              </w:rPr>
            </w:pPr>
          </w:p>
        </w:tc>
        <w:tc>
          <w:tcPr>
            <w:tcW w:w="800" w:type="dxa"/>
            <w:vAlign w:val="bottom"/>
            <w:gridSpan w:val="2"/>
          </w:tcPr>
          <w:p>
            <w:pPr>
              <w:jc w:val="center"/>
              <w:spacing w:after="0"/>
              <w:rPr>
                <w:sz w:val="20"/>
                <w:szCs w:val="20"/>
                <w:color w:val="auto"/>
              </w:rPr>
            </w:pPr>
            <w:r>
              <w:rPr>
                <w:rFonts w:ascii="Arial" w:cs="Arial" w:eastAsia="Arial" w:hAnsi="Arial"/>
                <w:sz w:val="10"/>
                <w:szCs w:val="10"/>
                <w:color w:val="auto"/>
                <w:w w:val="90"/>
              </w:rPr>
              <w:t>+$3.94</w:t>
            </w:r>
          </w:p>
        </w:tc>
      </w:tr>
      <w:tr>
        <w:trPr>
          <w:trHeight w:val="184"/>
        </w:trPr>
        <w:tc>
          <w:tcPr>
            <w:tcW w:w="16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3.5%</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$104.31</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$103.18</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$104.86</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$105.50</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$105.53</w:t>
            </w:r>
          </w:p>
        </w:tc>
        <w:tc>
          <w:tcPr>
            <w:tcW w:w="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+$0.03</w:t>
            </w:r>
          </w:p>
        </w:tc>
        <w:tc>
          <w:tcPr>
            <w:tcW w:w="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90"/>
              </w:rPr>
              <w:t>+$2.35</w:t>
            </w:r>
          </w:p>
        </w:tc>
      </w:tr>
      <w:tr>
        <w:trPr>
          <w:trHeight w:val="176"/>
        </w:trPr>
        <w:tc>
          <w:tcPr>
            <w:tcW w:w="1620" w:type="dxa"/>
            <w:vAlign w:val="bottom"/>
          </w:tcPr>
          <w:p>
            <w:pPr>
              <w:ind w:left="120"/>
              <w:spacing w:after="0"/>
              <w:rPr>
                <w:sz w:val="20"/>
                <w:szCs w:val="20"/>
                <w:color w:val="auto"/>
              </w:rPr>
            </w:pPr>
            <w:r>
              <w:rPr>
                <w:rFonts w:ascii="Arial" w:cs="Arial" w:eastAsia="Arial" w:hAnsi="Arial"/>
                <w:sz w:val="10"/>
                <w:szCs w:val="10"/>
                <w:color w:val="auto"/>
              </w:rPr>
              <w:t>4.0%</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8"/>
              </w:rPr>
              <w:t>$106.67</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8"/>
              </w:rPr>
              <w:t>$105.83</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82"/>
              </w:rPr>
              <w:t>$106.86</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82"/>
              </w:rPr>
              <w:t>$107.23</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2"/>
              </w:rPr>
              <w:t>$107.41</w:t>
            </w:r>
          </w:p>
        </w:tc>
        <w:tc>
          <w:tcPr>
            <w:tcW w:w="80" w:type="dxa"/>
            <w:vAlign w:val="bottom"/>
          </w:tcPr>
          <w:p>
            <w:pPr>
              <w:spacing w:after="0"/>
              <w:rPr>
                <w:sz w:val="15"/>
                <w:szCs w:val="15"/>
                <w:color w:val="auto"/>
              </w:rPr>
            </w:pPr>
          </w:p>
        </w:tc>
        <w:tc>
          <w:tcPr>
            <w:tcW w:w="800" w:type="dxa"/>
            <w:vAlign w:val="bottom"/>
            <w:gridSpan w:val="2"/>
          </w:tcPr>
          <w:p>
            <w:pPr>
              <w:jc w:val="center"/>
              <w:spacing w:after="0"/>
              <w:rPr>
                <w:sz w:val="20"/>
                <w:szCs w:val="20"/>
                <w:color w:val="auto"/>
              </w:rPr>
            </w:pPr>
            <w:r>
              <w:rPr>
                <w:rFonts w:ascii="Arial" w:cs="Arial" w:eastAsia="Arial" w:hAnsi="Arial"/>
                <w:sz w:val="10"/>
                <w:szCs w:val="10"/>
                <w:color w:val="auto"/>
                <w:w w:val="84"/>
              </w:rPr>
              <w:t>+$0.18</w:t>
            </w:r>
          </w:p>
        </w:tc>
        <w:tc>
          <w:tcPr>
            <w:tcW w:w="80" w:type="dxa"/>
            <w:vAlign w:val="bottom"/>
          </w:tcPr>
          <w:p>
            <w:pPr>
              <w:spacing w:after="0"/>
              <w:rPr>
                <w:sz w:val="15"/>
                <w:szCs w:val="15"/>
                <w:color w:val="auto"/>
              </w:rPr>
            </w:pPr>
          </w:p>
        </w:tc>
        <w:tc>
          <w:tcPr>
            <w:tcW w:w="800" w:type="dxa"/>
            <w:vAlign w:val="bottom"/>
            <w:gridSpan w:val="2"/>
          </w:tcPr>
          <w:p>
            <w:pPr>
              <w:jc w:val="center"/>
              <w:spacing w:after="0"/>
              <w:rPr>
                <w:sz w:val="20"/>
                <w:szCs w:val="20"/>
                <w:color w:val="auto"/>
              </w:rPr>
            </w:pPr>
            <w:r>
              <w:rPr>
                <w:rFonts w:ascii="Arial" w:cs="Arial" w:eastAsia="Arial" w:hAnsi="Arial"/>
                <w:sz w:val="10"/>
                <w:szCs w:val="10"/>
                <w:color w:val="auto"/>
                <w:w w:val="90"/>
              </w:rPr>
              <w:t>+$1.58</w:t>
            </w:r>
          </w:p>
        </w:tc>
      </w:tr>
      <w:tr>
        <w:trPr>
          <w:trHeight w:val="184"/>
        </w:trPr>
        <w:tc>
          <w:tcPr>
            <w:tcW w:w="16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4.5%</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$108.41</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$108.00</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$108.82</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$109.17</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$109.52</w:t>
            </w:r>
          </w:p>
        </w:tc>
        <w:tc>
          <w:tcPr>
            <w:tcW w:w="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+$0.35</w:t>
            </w:r>
          </w:p>
        </w:tc>
        <w:tc>
          <w:tcPr>
            <w:tcW w:w="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90"/>
              </w:rPr>
              <w:t>+$1.52</w:t>
            </w:r>
          </w:p>
        </w:tc>
      </w:tr>
      <w:tr>
        <w:trPr>
          <w:trHeight w:val="176"/>
        </w:trPr>
        <w:tc>
          <w:tcPr>
            <w:tcW w:w="1700" w:type="dxa"/>
            <w:vAlign w:val="bottom"/>
            <w:gridSpan w:val="2"/>
          </w:tcPr>
          <w:p>
            <w:pPr>
              <w:ind w:left="20"/>
              <w:spacing w:after="0"/>
              <w:rPr>
                <w:sz w:val="20"/>
                <w:szCs w:val="20"/>
                <w:color w:val="auto"/>
              </w:rPr>
            </w:pPr>
            <w:r>
              <w:rPr>
                <w:rFonts w:ascii="Arial" w:cs="Arial" w:eastAsia="Arial" w:hAnsi="Arial"/>
                <w:sz w:val="10"/>
                <w:szCs w:val="10"/>
                <w:b w:val="1"/>
                <w:bCs w:val="1"/>
                <w:color w:val="auto"/>
              </w:rPr>
              <w:t>15-Year Fixed Rate MBS Price:</w:t>
            </w:r>
          </w:p>
        </w:tc>
        <w:tc>
          <w:tcPr>
            <w:tcW w:w="4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20" w:type="dxa"/>
            <w:vAlign w:val="bottom"/>
          </w:tcPr>
          <w:p>
            <w:pPr>
              <w:spacing w:after="0"/>
              <w:rPr>
                <w:sz w:val="15"/>
                <w:szCs w:val="15"/>
                <w:color w:val="auto"/>
              </w:rPr>
            </w:pPr>
          </w:p>
        </w:tc>
      </w:tr>
      <w:tr>
        <w:trPr>
          <w:trHeight w:val="184"/>
        </w:trPr>
        <w:tc>
          <w:tcPr>
            <w:tcW w:w="16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2.5%</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$101.94</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$100.80</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$102.66</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$103.48</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$103.56</w:t>
            </w:r>
          </w:p>
        </w:tc>
        <w:tc>
          <w:tcPr>
            <w:tcW w:w="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+$0.08</w:t>
            </w:r>
          </w:p>
        </w:tc>
        <w:tc>
          <w:tcPr>
            <w:tcW w:w="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90"/>
              </w:rPr>
              <w:t>+$2.76</w:t>
            </w:r>
          </w:p>
        </w:tc>
      </w:tr>
      <w:tr>
        <w:trPr>
          <w:trHeight w:val="176"/>
        </w:trPr>
        <w:tc>
          <w:tcPr>
            <w:tcW w:w="1620" w:type="dxa"/>
            <w:vAlign w:val="bottom"/>
          </w:tcPr>
          <w:p>
            <w:pPr>
              <w:ind w:left="120"/>
              <w:spacing w:after="0"/>
              <w:rPr>
                <w:sz w:val="20"/>
                <w:szCs w:val="20"/>
                <w:color w:val="auto"/>
              </w:rPr>
            </w:pPr>
            <w:r>
              <w:rPr>
                <w:rFonts w:ascii="Arial" w:cs="Arial" w:eastAsia="Arial" w:hAnsi="Arial"/>
                <w:sz w:val="10"/>
                <w:szCs w:val="10"/>
                <w:color w:val="auto"/>
              </w:rPr>
              <w:t>3.0%</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8"/>
              </w:rPr>
              <w:t>$104.11</w:t>
            </w:r>
          </w:p>
        </w:tc>
        <w:tc>
          <w:tcPr>
            <w:tcW w:w="8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8"/>
              </w:rPr>
              <w:t>$103.02</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82"/>
              </w:rPr>
              <w:t>$104.47</w:t>
            </w:r>
          </w:p>
        </w:tc>
        <w:tc>
          <w:tcPr>
            <w:tcW w:w="60" w:type="dxa"/>
            <w:vAlign w:val="bottom"/>
          </w:tcPr>
          <w:p>
            <w:pPr>
              <w:spacing w:after="0"/>
              <w:rPr>
                <w:sz w:val="15"/>
                <w:szCs w:val="15"/>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82"/>
              </w:rPr>
              <w:t>$104.84</w:t>
            </w:r>
          </w:p>
        </w:tc>
        <w:tc>
          <w:tcPr>
            <w:tcW w:w="60" w:type="dxa"/>
            <w:vAlign w:val="bottom"/>
          </w:tcPr>
          <w:p>
            <w:pPr>
              <w:spacing w:after="0"/>
              <w:rPr>
                <w:sz w:val="15"/>
                <w:szCs w:val="15"/>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2"/>
              </w:rPr>
              <w:t>$104.99</w:t>
            </w:r>
          </w:p>
        </w:tc>
        <w:tc>
          <w:tcPr>
            <w:tcW w:w="80" w:type="dxa"/>
            <w:vAlign w:val="bottom"/>
          </w:tcPr>
          <w:p>
            <w:pPr>
              <w:spacing w:after="0"/>
              <w:rPr>
                <w:sz w:val="15"/>
                <w:szCs w:val="15"/>
                <w:color w:val="auto"/>
              </w:rPr>
            </w:pPr>
          </w:p>
        </w:tc>
        <w:tc>
          <w:tcPr>
            <w:tcW w:w="800" w:type="dxa"/>
            <w:vAlign w:val="bottom"/>
            <w:gridSpan w:val="2"/>
          </w:tcPr>
          <w:p>
            <w:pPr>
              <w:jc w:val="center"/>
              <w:spacing w:after="0"/>
              <w:rPr>
                <w:sz w:val="20"/>
                <w:szCs w:val="20"/>
                <w:color w:val="auto"/>
              </w:rPr>
            </w:pPr>
            <w:r>
              <w:rPr>
                <w:rFonts w:ascii="Arial" w:cs="Arial" w:eastAsia="Arial" w:hAnsi="Arial"/>
                <w:sz w:val="10"/>
                <w:szCs w:val="10"/>
                <w:color w:val="auto"/>
                <w:w w:val="84"/>
              </w:rPr>
              <w:t>+$0.15</w:t>
            </w:r>
          </w:p>
        </w:tc>
        <w:tc>
          <w:tcPr>
            <w:tcW w:w="80" w:type="dxa"/>
            <w:vAlign w:val="bottom"/>
          </w:tcPr>
          <w:p>
            <w:pPr>
              <w:spacing w:after="0"/>
              <w:rPr>
                <w:sz w:val="15"/>
                <w:szCs w:val="15"/>
                <w:color w:val="auto"/>
              </w:rPr>
            </w:pPr>
          </w:p>
        </w:tc>
        <w:tc>
          <w:tcPr>
            <w:tcW w:w="800" w:type="dxa"/>
            <w:vAlign w:val="bottom"/>
            <w:gridSpan w:val="2"/>
          </w:tcPr>
          <w:p>
            <w:pPr>
              <w:jc w:val="center"/>
              <w:spacing w:after="0"/>
              <w:rPr>
                <w:sz w:val="20"/>
                <w:szCs w:val="20"/>
                <w:color w:val="auto"/>
              </w:rPr>
            </w:pPr>
            <w:r>
              <w:rPr>
                <w:rFonts w:ascii="Arial" w:cs="Arial" w:eastAsia="Arial" w:hAnsi="Arial"/>
                <w:sz w:val="10"/>
                <w:szCs w:val="10"/>
                <w:color w:val="auto"/>
                <w:w w:val="90"/>
              </w:rPr>
              <w:t>+$1.97</w:t>
            </w:r>
          </w:p>
        </w:tc>
      </w:tr>
      <w:tr>
        <w:trPr>
          <w:trHeight w:val="184"/>
        </w:trPr>
        <w:tc>
          <w:tcPr>
            <w:tcW w:w="16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3.5%</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$105.61</w:t>
            </w: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$104.72</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$105.59</w:t>
            </w:r>
          </w:p>
        </w:tc>
        <w:tc>
          <w:tcPr>
            <w:tcW w:w="60" w:type="dxa"/>
            <w:vAlign w:val="bottom"/>
            <w:shd w:val="clear" w:color="auto" w:fill="CCEEFF"/>
          </w:tcPr>
          <w:p>
            <w:pPr>
              <w:spacing w:after="0"/>
              <w:rPr>
                <w:sz w:val="16"/>
                <w:szCs w:val="16"/>
                <w:color w:val="auto"/>
              </w:rPr>
            </w:pPr>
          </w:p>
        </w:tc>
        <w:tc>
          <w:tcPr>
            <w:tcW w:w="4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$105.97</w:t>
            </w:r>
          </w:p>
        </w:tc>
        <w:tc>
          <w:tcPr>
            <w:tcW w:w="60" w:type="dxa"/>
            <w:vAlign w:val="bottom"/>
            <w:shd w:val="clear" w:color="auto" w:fill="CCEEFF"/>
          </w:tcPr>
          <w:p>
            <w:pPr>
              <w:spacing w:after="0"/>
              <w:rPr>
                <w:sz w:val="16"/>
                <w:szCs w:val="16"/>
                <w:color w:val="auto"/>
              </w:rPr>
            </w:pPr>
          </w:p>
        </w:tc>
        <w:tc>
          <w:tcPr>
            <w:tcW w:w="4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$105.41</w:t>
            </w:r>
          </w:p>
        </w:tc>
        <w:tc>
          <w:tcPr>
            <w:tcW w:w="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91"/>
              </w:rPr>
              <w:t>-$0.56</w:t>
            </w:r>
          </w:p>
        </w:tc>
        <w:tc>
          <w:tcPr>
            <w:tcW w:w="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90"/>
              </w:rPr>
              <w:t>+$0.69</w:t>
            </w:r>
          </w:p>
        </w:tc>
      </w:tr>
      <w:tr>
        <w:trPr>
          <w:trHeight w:val="171"/>
        </w:trPr>
        <w:tc>
          <w:tcPr>
            <w:tcW w:w="1620" w:type="dxa"/>
            <w:vAlign w:val="bottom"/>
          </w:tcPr>
          <w:p>
            <w:pPr>
              <w:ind w:left="120"/>
              <w:spacing w:after="0"/>
              <w:rPr>
                <w:sz w:val="20"/>
                <w:szCs w:val="20"/>
                <w:color w:val="auto"/>
              </w:rPr>
            </w:pPr>
            <w:r>
              <w:rPr>
                <w:rFonts w:ascii="Arial" w:cs="Arial" w:eastAsia="Arial" w:hAnsi="Arial"/>
                <w:sz w:val="10"/>
                <w:szCs w:val="10"/>
                <w:color w:val="auto"/>
              </w:rPr>
              <w:t>4.0%</w:t>
            </w:r>
          </w:p>
        </w:tc>
        <w:tc>
          <w:tcPr>
            <w:tcW w:w="80" w:type="dxa"/>
            <w:vAlign w:val="bottom"/>
          </w:tcPr>
          <w:p>
            <w:pPr>
              <w:spacing w:after="0"/>
              <w:rPr>
                <w:sz w:val="14"/>
                <w:szCs w:val="14"/>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8"/>
              </w:rPr>
              <w:t>$104.77</w:t>
            </w:r>
          </w:p>
        </w:tc>
        <w:tc>
          <w:tcPr>
            <w:tcW w:w="80" w:type="dxa"/>
            <w:vAlign w:val="bottom"/>
          </w:tcPr>
          <w:p>
            <w:pPr>
              <w:spacing w:after="0"/>
              <w:rPr>
                <w:sz w:val="14"/>
                <w:szCs w:val="14"/>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8"/>
              </w:rPr>
              <w:t>$104.41</w:t>
            </w:r>
          </w:p>
        </w:tc>
        <w:tc>
          <w:tcPr>
            <w:tcW w:w="60" w:type="dxa"/>
            <w:vAlign w:val="bottom"/>
          </w:tcPr>
          <w:p>
            <w:pPr>
              <w:spacing w:after="0"/>
              <w:rPr>
                <w:sz w:val="14"/>
                <w:szCs w:val="14"/>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82"/>
              </w:rPr>
              <w:t>$104.31</w:t>
            </w:r>
          </w:p>
        </w:tc>
        <w:tc>
          <w:tcPr>
            <w:tcW w:w="60" w:type="dxa"/>
            <w:vAlign w:val="bottom"/>
          </w:tcPr>
          <w:p>
            <w:pPr>
              <w:spacing w:after="0"/>
              <w:rPr>
                <w:sz w:val="14"/>
                <w:szCs w:val="14"/>
                <w:color w:val="auto"/>
              </w:rPr>
            </w:pPr>
          </w:p>
        </w:tc>
        <w:tc>
          <w:tcPr>
            <w:tcW w:w="420" w:type="dxa"/>
            <w:vAlign w:val="bottom"/>
          </w:tcPr>
          <w:p>
            <w:pPr>
              <w:jc w:val="center"/>
              <w:spacing w:after="0"/>
              <w:rPr>
                <w:sz w:val="20"/>
                <w:szCs w:val="20"/>
                <w:color w:val="auto"/>
              </w:rPr>
            </w:pPr>
            <w:r>
              <w:rPr>
                <w:rFonts w:ascii="Arial" w:cs="Arial" w:eastAsia="Arial" w:hAnsi="Arial"/>
                <w:sz w:val="10"/>
                <w:szCs w:val="10"/>
                <w:color w:val="auto"/>
                <w:w w:val="82"/>
              </w:rPr>
              <w:t>$103.81</w:t>
            </w:r>
          </w:p>
        </w:tc>
        <w:tc>
          <w:tcPr>
            <w:tcW w:w="60" w:type="dxa"/>
            <w:vAlign w:val="bottom"/>
          </w:tcPr>
          <w:p>
            <w:pPr>
              <w:spacing w:after="0"/>
              <w:rPr>
                <w:sz w:val="14"/>
                <w:szCs w:val="14"/>
                <w:color w:val="auto"/>
              </w:rPr>
            </w:pPr>
          </w:p>
        </w:tc>
        <w:tc>
          <w:tcPr>
            <w:tcW w:w="400" w:type="dxa"/>
            <w:vAlign w:val="bottom"/>
          </w:tcPr>
          <w:p>
            <w:pPr>
              <w:jc w:val="center"/>
              <w:spacing w:after="0"/>
              <w:rPr>
                <w:sz w:val="20"/>
                <w:szCs w:val="20"/>
                <w:color w:val="auto"/>
              </w:rPr>
            </w:pPr>
            <w:r>
              <w:rPr>
                <w:rFonts w:ascii="Arial" w:cs="Arial" w:eastAsia="Arial" w:hAnsi="Arial"/>
                <w:sz w:val="10"/>
                <w:szCs w:val="10"/>
                <w:color w:val="auto"/>
                <w:w w:val="82"/>
              </w:rPr>
              <w:t>$103.73</w:t>
            </w:r>
          </w:p>
        </w:tc>
        <w:tc>
          <w:tcPr>
            <w:tcW w:w="80" w:type="dxa"/>
            <w:vAlign w:val="bottom"/>
          </w:tcPr>
          <w:p>
            <w:pPr>
              <w:spacing w:after="0"/>
              <w:rPr>
                <w:sz w:val="14"/>
                <w:szCs w:val="14"/>
                <w:color w:val="auto"/>
              </w:rPr>
            </w:pPr>
          </w:p>
        </w:tc>
        <w:tc>
          <w:tcPr>
            <w:tcW w:w="800" w:type="dxa"/>
            <w:vAlign w:val="bottom"/>
            <w:gridSpan w:val="2"/>
          </w:tcPr>
          <w:p>
            <w:pPr>
              <w:jc w:val="center"/>
              <w:spacing w:after="0"/>
              <w:rPr>
                <w:sz w:val="20"/>
                <w:szCs w:val="20"/>
                <w:color w:val="auto"/>
              </w:rPr>
            </w:pPr>
            <w:r>
              <w:rPr>
                <w:rFonts w:ascii="Arial" w:cs="Arial" w:eastAsia="Arial" w:hAnsi="Arial"/>
                <w:sz w:val="10"/>
                <w:szCs w:val="10"/>
                <w:color w:val="auto"/>
                <w:w w:val="91"/>
              </w:rPr>
              <w:t>-$0.08</w:t>
            </w:r>
          </w:p>
        </w:tc>
        <w:tc>
          <w:tcPr>
            <w:tcW w:w="80" w:type="dxa"/>
            <w:vAlign w:val="bottom"/>
          </w:tcPr>
          <w:p>
            <w:pPr>
              <w:spacing w:after="0"/>
              <w:rPr>
                <w:sz w:val="14"/>
                <w:szCs w:val="14"/>
                <w:color w:val="auto"/>
              </w:rPr>
            </w:pPr>
          </w:p>
        </w:tc>
        <w:tc>
          <w:tcPr>
            <w:tcW w:w="800" w:type="dxa"/>
            <w:vAlign w:val="bottom"/>
            <w:gridSpan w:val="2"/>
          </w:tcPr>
          <w:p>
            <w:pPr>
              <w:jc w:val="center"/>
              <w:spacing w:after="0"/>
              <w:rPr>
                <w:sz w:val="20"/>
                <w:szCs w:val="20"/>
                <w:color w:val="auto"/>
              </w:rPr>
            </w:pPr>
            <w:r>
              <w:rPr>
                <w:rFonts w:ascii="Arial" w:cs="Arial" w:eastAsia="Arial" w:hAnsi="Arial"/>
                <w:sz w:val="10"/>
                <w:szCs w:val="10"/>
                <w:color w:val="auto"/>
                <w:w w:val="84"/>
              </w:rPr>
              <w:t>-$0.68</w:t>
            </w:r>
          </w:p>
        </w:tc>
      </w:tr>
      <w:tr>
        <w:trPr>
          <w:trHeight w:val="149"/>
        </w:trPr>
        <w:tc>
          <w:tcPr>
            <w:tcW w:w="1620" w:type="dxa"/>
            <w:vAlign w:val="bottom"/>
          </w:tcPr>
          <w:p>
            <w:pPr>
              <w:spacing w:after="0"/>
              <w:rPr>
                <w:sz w:val="20"/>
                <w:szCs w:val="20"/>
                <w:color w:val="auto"/>
              </w:rPr>
            </w:pPr>
            <w:r>
              <w:rPr>
                <w:rFonts w:ascii="Arial" w:cs="Arial" w:eastAsia="Arial" w:hAnsi="Arial"/>
                <w:sz w:val="12"/>
                <w:szCs w:val="12"/>
                <w:color w:val="auto"/>
              </w:rPr>
              <w:t>_______________________</w:t>
            </w: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420" w:type="dxa"/>
            <w:vAlign w:val="bottom"/>
          </w:tcPr>
          <w:p>
            <w:pPr>
              <w:spacing w:after="0"/>
              <w:rPr>
                <w:sz w:val="12"/>
                <w:szCs w:val="12"/>
                <w:color w:val="auto"/>
              </w:rPr>
            </w:pPr>
          </w:p>
        </w:tc>
      </w:tr>
    </w:tbl>
    <w:p>
      <w:pPr>
        <w:ind w:left="420" w:hanging="212"/>
        <w:spacing w:after="0" w:line="231" w:lineRule="auto"/>
        <w:tabs>
          <w:tab w:leader="none" w:pos="420" w:val="left"/>
        </w:tabs>
        <w:numPr>
          <w:ilvl w:val="0"/>
          <w:numId w:val="19"/>
        </w:numPr>
        <w:rPr>
          <w:rFonts w:ascii="Arial" w:cs="Arial" w:eastAsia="Arial" w:hAnsi="Arial"/>
          <w:sz w:val="10"/>
          <w:szCs w:val="10"/>
          <w:color w:val="auto"/>
        </w:rPr>
      </w:pPr>
      <w:r>
        <w:rPr>
          <w:rFonts w:ascii="Arial" w:cs="Arial" w:eastAsia="Arial" w:hAnsi="Arial"/>
          <w:sz w:val="10"/>
          <w:szCs w:val="10"/>
          <w:color w:val="auto"/>
        </w:rPr>
        <w:t>Price information is for generic instruments only and is not reflective of our specific portfolio holdings. Price information is as of 3:00 p.m. (EST) on such date and can vary by source. Prices and interest rates in the table above were obtained from Barclays. LIBOR rates were obtained from Bloomberg.</w:t>
      </w:r>
    </w:p>
    <w:p>
      <w:pPr>
        <w:spacing w:after="0" w:line="98"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the weighted average actual one-month annualized constant prepayment rates on our investment portfolio for the nine months ended September 30, 2016.</w:t>
      </w:r>
    </w:p>
    <w:p>
      <w:pPr>
        <w:spacing w:after="0" w:line="262" w:lineRule="exact"/>
        <w:rPr>
          <w:sz w:val="20"/>
          <w:szCs w:val="20"/>
          <w:color w:val="auto"/>
        </w:rPr>
      </w:pPr>
    </w:p>
    <w:tbl>
      <w:tblPr>
        <w:tblLayout w:type="fixed"/>
        <w:tblInd w:w="560" w:type="dxa"/>
        <w:tblCellMar>
          <w:top w:w="0" w:type="dxa"/>
          <w:left w:w="0" w:type="dxa"/>
          <w:bottom w:w="0" w:type="dxa"/>
          <w:right w:w="0" w:type="dxa"/>
        </w:tblCellMar>
      </w:tblPr>
      <w:tr>
        <w:trPr>
          <w:trHeight w:val="128"/>
        </w:trPr>
        <w:tc>
          <w:tcPr>
            <w:tcW w:w="48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 xml:space="preserve">Annualized Monthly Constant Prepayment Rates </w:t>
            </w:r>
            <w:r>
              <w:rPr>
                <w:rFonts w:ascii="Arial" w:cs="Arial" w:eastAsia="Arial" w:hAnsi="Arial"/>
                <w:sz w:val="5"/>
                <w:szCs w:val="5"/>
                <w:b w:val="1"/>
                <w:bCs w:val="1"/>
                <w:color w:val="auto"/>
              </w:rPr>
              <w:t>1</w:t>
            </w:r>
          </w:p>
        </w:tc>
        <w:tc>
          <w:tcPr>
            <w:tcW w:w="100" w:type="dxa"/>
            <w:vAlign w:val="bottom"/>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8"/>
              </w:rPr>
              <w:t>Jan. 2016</w:t>
            </w:r>
          </w:p>
        </w:tc>
        <w:tc>
          <w:tcPr>
            <w:tcW w:w="100" w:type="dxa"/>
            <w:vAlign w:val="bottom"/>
          </w:tcPr>
          <w:p>
            <w:pPr>
              <w:spacing w:after="0"/>
              <w:rPr>
                <w:sz w:val="11"/>
                <w:szCs w:val="11"/>
                <w:color w:val="auto"/>
              </w:rPr>
            </w:pP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7"/>
              </w:rPr>
              <w:t>Feb. 2016</w:t>
            </w:r>
          </w:p>
        </w:tc>
        <w:tc>
          <w:tcPr>
            <w:tcW w:w="100" w:type="dxa"/>
            <w:vAlign w:val="bottom"/>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7"/>
              </w:rPr>
              <w:t>Mar. 2016</w:t>
            </w:r>
          </w:p>
        </w:tc>
        <w:tc>
          <w:tcPr>
            <w:tcW w:w="120" w:type="dxa"/>
            <w:vAlign w:val="bottom"/>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8"/>
              </w:rPr>
              <w:t>Apr. 2016</w:t>
            </w:r>
          </w:p>
        </w:tc>
        <w:tc>
          <w:tcPr>
            <w:tcW w:w="100" w:type="dxa"/>
            <w:vAlign w:val="bottom"/>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May 2016</w:t>
            </w:r>
          </w:p>
        </w:tc>
        <w:tc>
          <w:tcPr>
            <w:tcW w:w="120" w:type="dxa"/>
            <w:vAlign w:val="bottom"/>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6"/>
              </w:rPr>
              <w:t>June 2016</w:t>
            </w:r>
          </w:p>
        </w:tc>
        <w:tc>
          <w:tcPr>
            <w:tcW w:w="100" w:type="dxa"/>
            <w:vAlign w:val="bottom"/>
          </w:tcPr>
          <w:p>
            <w:pPr>
              <w:spacing w:after="0"/>
              <w:rPr>
                <w:sz w:val="11"/>
                <w:szCs w:val="11"/>
                <w:color w:val="auto"/>
              </w:rPr>
            </w:pPr>
          </w:p>
        </w:tc>
        <w:tc>
          <w:tcPr>
            <w:tcW w:w="5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8"/>
              </w:rPr>
              <w:t>July 2016</w:t>
            </w:r>
          </w:p>
        </w:tc>
        <w:tc>
          <w:tcPr>
            <w:tcW w:w="100" w:type="dxa"/>
            <w:vAlign w:val="bottom"/>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4"/>
              </w:rPr>
              <w:t>Aug. 2016</w:t>
            </w:r>
          </w:p>
        </w:tc>
        <w:tc>
          <w:tcPr>
            <w:tcW w:w="100" w:type="dxa"/>
            <w:vAlign w:val="bottom"/>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Sep. 2016</w:t>
            </w:r>
          </w:p>
        </w:tc>
      </w:tr>
      <w:tr>
        <w:trPr>
          <w:trHeight w:val="156"/>
        </w:trPr>
        <w:tc>
          <w:tcPr>
            <w:tcW w:w="4900" w:type="dxa"/>
            <w:vAlign w:val="bottom"/>
            <w:gridSpan w:val="2"/>
          </w:tcPr>
          <w:p>
            <w:pPr>
              <w:ind w:left="20"/>
              <w:spacing w:after="0"/>
              <w:rPr>
                <w:sz w:val="20"/>
                <w:szCs w:val="20"/>
                <w:color w:val="auto"/>
              </w:rPr>
            </w:pPr>
            <w:r>
              <w:rPr>
                <w:rFonts w:ascii="Arial" w:cs="Arial" w:eastAsia="Arial" w:hAnsi="Arial"/>
                <w:sz w:val="10"/>
                <w:szCs w:val="10"/>
                <w:color w:val="auto"/>
              </w:rPr>
              <w:t>AGNC portfolio</w:t>
            </w:r>
          </w:p>
        </w:tc>
        <w:tc>
          <w:tcPr>
            <w:tcW w:w="520" w:type="dxa"/>
            <w:vAlign w:val="bottom"/>
          </w:tcPr>
          <w:p>
            <w:pPr>
              <w:jc w:val="right"/>
              <w:ind w:right="132"/>
              <w:spacing w:after="0"/>
              <w:rPr>
                <w:sz w:val="20"/>
                <w:szCs w:val="20"/>
                <w:color w:val="auto"/>
              </w:rPr>
            </w:pPr>
            <w:r>
              <w:rPr>
                <w:rFonts w:ascii="Arial" w:cs="Arial" w:eastAsia="Arial" w:hAnsi="Arial"/>
                <w:sz w:val="10"/>
                <w:szCs w:val="10"/>
                <w:color w:val="auto"/>
              </w:rPr>
              <w:t>10%</w:t>
            </w:r>
          </w:p>
        </w:tc>
        <w:tc>
          <w:tcPr>
            <w:tcW w:w="100" w:type="dxa"/>
            <w:vAlign w:val="bottom"/>
          </w:tcPr>
          <w:p>
            <w:pPr>
              <w:spacing w:after="0"/>
              <w:rPr>
                <w:sz w:val="13"/>
                <w:szCs w:val="13"/>
                <w:color w:val="auto"/>
              </w:rPr>
            </w:pPr>
          </w:p>
        </w:tc>
        <w:tc>
          <w:tcPr>
            <w:tcW w:w="540" w:type="dxa"/>
            <w:vAlign w:val="bottom"/>
          </w:tcPr>
          <w:p>
            <w:pPr>
              <w:jc w:val="right"/>
              <w:ind w:right="152"/>
              <w:spacing w:after="0"/>
              <w:rPr>
                <w:sz w:val="20"/>
                <w:szCs w:val="20"/>
                <w:color w:val="auto"/>
              </w:rPr>
            </w:pPr>
            <w:r>
              <w:rPr>
                <w:rFonts w:ascii="Arial" w:cs="Arial" w:eastAsia="Arial" w:hAnsi="Arial"/>
                <w:sz w:val="10"/>
                <w:szCs w:val="10"/>
                <w:color w:val="auto"/>
              </w:rPr>
              <w:t>8%</w:t>
            </w:r>
          </w:p>
        </w:tc>
        <w:tc>
          <w:tcPr>
            <w:tcW w:w="100" w:type="dxa"/>
            <w:vAlign w:val="bottom"/>
          </w:tcPr>
          <w:p>
            <w:pPr>
              <w:spacing w:after="0"/>
              <w:rPr>
                <w:sz w:val="13"/>
                <w:szCs w:val="13"/>
                <w:color w:val="auto"/>
              </w:rPr>
            </w:pPr>
          </w:p>
        </w:tc>
        <w:tc>
          <w:tcPr>
            <w:tcW w:w="520" w:type="dxa"/>
            <w:vAlign w:val="bottom"/>
          </w:tcPr>
          <w:p>
            <w:pPr>
              <w:jc w:val="right"/>
              <w:ind w:right="152"/>
              <w:spacing w:after="0"/>
              <w:rPr>
                <w:sz w:val="20"/>
                <w:szCs w:val="20"/>
                <w:color w:val="auto"/>
              </w:rPr>
            </w:pPr>
            <w:r>
              <w:rPr>
                <w:rFonts w:ascii="Arial" w:cs="Arial" w:eastAsia="Arial" w:hAnsi="Arial"/>
                <w:sz w:val="10"/>
                <w:szCs w:val="10"/>
                <w:color w:val="auto"/>
              </w:rPr>
              <w:t>9%</w:t>
            </w:r>
          </w:p>
        </w:tc>
        <w:tc>
          <w:tcPr>
            <w:tcW w:w="120" w:type="dxa"/>
            <w:vAlign w:val="bottom"/>
          </w:tcPr>
          <w:p>
            <w:pPr>
              <w:spacing w:after="0"/>
              <w:rPr>
                <w:sz w:val="13"/>
                <w:szCs w:val="13"/>
                <w:color w:val="auto"/>
              </w:rPr>
            </w:pPr>
          </w:p>
        </w:tc>
        <w:tc>
          <w:tcPr>
            <w:tcW w:w="520" w:type="dxa"/>
            <w:vAlign w:val="bottom"/>
          </w:tcPr>
          <w:p>
            <w:pPr>
              <w:jc w:val="right"/>
              <w:ind w:right="132"/>
              <w:spacing w:after="0"/>
              <w:rPr>
                <w:sz w:val="20"/>
                <w:szCs w:val="20"/>
                <w:color w:val="auto"/>
              </w:rPr>
            </w:pPr>
            <w:r>
              <w:rPr>
                <w:rFonts w:ascii="Arial" w:cs="Arial" w:eastAsia="Arial" w:hAnsi="Arial"/>
                <w:sz w:val="10"/>
                <w:szCs w:val="10"/>
                <w:color w:val="auto"/>
              </w:rPr>
              <w:t>12%</w:t>
            </w:r>
          </w:p>
        </w:tc>
        <w:tc>
          <w:tcPr>
            <w:tcW w:w="100" w:type="dxa"/>
            <w:vAlign w:val="bottom"/>
          </w:tcPr>
          <w:p>
            <w:pPr>
              <w:spacing w:after="0"/>
              <w:rPr>
                <w:sz w:val="13"/>
                <w:szCs w:val="13"/>
                <w:color w:val="auto"/>
              </w:rPr>
            </w:pPr>
          </w:p>
        </w:tc>
        <w:tc>
          <w:tcPr>
            <w:tcW w:w="520" w:type="dxa"/>
            <w:vAlign w:val="bottom"/>
          </w:tcPr>
          <w:p>
            <w:pPr>
              <w:jc w:val="right"/>
              <w:ind w:right="132"/>
              <w:spacing w:after="0"/>
              <w:rPr>
                <w:sz w:val="20"/>
                <w:szCs w:val="20"/>
                <w:color w:val="auto"/>
              </w:rPr>
            </w:pPr>
            <w:r>
              <w:rPr>
                <w:rFonts w:ascii="Arial" w:cs="Arial" w:eastAsia="Arial" w:hAnsi="Arial"/>
                <w:sz w:val="10"/>
                <w:szCs w:val="10"/>
                <w:color w:val="auto"/>
              </w:rPr>
              <w:t>11%</w:t>
            </w:r>
          </w:p>
        </w:tc>
        <w:tc>
          <w:tcPr>
            <w:tcW w:w="120" w:type="dxa"/>
            <w:vAlign w:val="bottom"/>
          </w:tcPr>
          <w:p>
            <w:pPr>
              <w:spacing w:after="0"/>
              <w:rPr>
                <w:sz w:val="13"/>
                <w:szCs w:val="13"/>
                <w:color w:val="auto"/>
              </w:rPr>
            </w:pPr>
          </w:p>
        </w:tc>
        <w:tc>
          <w:tcPr>
            <w:tcW w:w="520" w:type="dxa"/>
            <w:vAlign w:val="bottom"/>
          </w:tcPr>
          <w:p>
            <w:pPr>
              <w:jc w:val="right"/>
              <w:ind w:right="132"/>
              <w:spacing w:after="0"/>
              <w:rPr>
                <w:sz w:val="20"/>
                <w:szCs w:val="20"/>
                <w:color w:val="auto"/>
              </w:rPr>
            </w:pPr>
            <w:r>
              <w:rPr>
                <w:rFonts w:ascii="Arial" w:cs="Arial" w:eastAsia="Arial" w:hAnsi="Arial"/>
                <w:sz w:val="10"/>
                <w:szCs w:val="10"/>
                <w:color w:val="auto"/>
              </w:rPr>
              <w:t>13%</w:t>
            </w:r>
          </w:p>
        </w:tc>
        <w:tc>
          <w:tcPr>
            <w:tcW w:w="100" w:type="dxa"/>
            <w:vAlign w:val="bottom"/>
          </w:tcPr>
          <w:p>
            <w:pPr>
              <w:spacing w:after="0"/>
              <w:rPr>
                <w:sz w:val="13"/>
                <w:szCs w:val="13"/>
                <w:color w:val="auto"/>
              </w:rPr>
            </w:pPr>
          </w:p>
        </w:tc>
        <w:tc>
          <w:tcPr>
            <w:tcW w:w="500" w:type="dxa"/>
            <w:vAlign w:val="bottom"/>
          </w:tcPr>
          <w:p>
            <w:pPr>
              <w:jc w:val="right"/>
              <w:ind w:right="112"/>
              <w:spacing w:after="0"/>
              <w:rPr>
                <w:sz w:val="20"/>
                <w:szCs w:val="20"/>
                <w:color w:val="auto"/>
              </w:rPr>
            </w:pPr>
            <w:r>
              <w:rPr>
                <w:rFonts w:ascii="Arial" w:cs="Arial" w:eastAsia="Arial" w:hAnsi="Arial"/>
                <w:sz w:val="10"/>
                <w:szCs w:val="10"/>
                <w:color w:val="auto"/>
              </w:rPr>
              <w:t>14%</w:t>
            </w:r>
          </w:p>
        </w:tc>
        <w:tc>
          <w:tcPr>
            <w:tcW w:w="100" w:type="dxa"/>
            <w:vAlign w:val="bottom"/>
          </w:tcPr>
          <w:p>
            <w:pPr>
              <w:spacing w:after="0"/>
              <w:rPr>
                <w:sz w:val="13"/>
                <w:szCs w:val="13"/>
                <w:color w:val="auto"/>
              </w:rPr>
            </w:pPr>
          </w:p>
        </w:tc>
        <w:tc>
          <w:tcPr>
            <w:tcW w:w="520" w:type="dxa"/>
            <w:vAlign w:val="bottom"/>
          </w:tcPr>
          <w:p>
            <w:pPr>
              <w:jc w:val="right"/>
              <w:ind w:right="132"/>
              <w:spacing w:after="0"/>
              <w:rPr>
                <w:sz w:val="20"/>
                <w:szCs w:val="20"/>
                <w:color w:val="auto"/>
              </w:rPr>
            </w:pPr>
            <w:r>
              <w:rPr>
                <w:rFonts w:ascii="Arial" w:cs="Arial" w:eastAsia="Arial" w:hAnsi="Arial"/>
                <w:sz w:val="10"/>
                <w:szCs w:val="10"/>
                <w:color w:val="auto"/>
              </w:rPr>
              <w:t>13%</w:t>
            </w:r>
          </w:p>
        </w:tc>
        <w:tc>
          <w:tcPr>
            <w:tcW w:w="100" w:type="dxa"/>
            <w:vAlign w:val="bottom"/>
          </w:tcPr>
          <w:p>
            <w:pPr>
              <w:spacing w:after="0"/>
              <w:rPr>
                <w:sz w:val="13"/>
                <w:szCs w:val="13"/>
                <w:color w:val="auto"/>
              </w:rPr>
            </w:pPr>
          </w:p>
        </w:tc>
        <w:tc>
          <w:tcPr>
            <w:tcW w:w="520" w:type="dxa"/>
            <w:vAlign w:val="bottom"/>
          </w:tcPr>
          <w:p>
            <w:pPr>
              <w:jc w:val="right"/>
              <w:ind w:right="132"/>
              <w:spacing w:after="0"/>
              <w:rPr>
                <w:sz w:val="20"/>
                <w:szCs w:val="20"/>
                <w:color w:val="auto"/>
              </w:rPr>
            </w:pPr>
            <w:r>
              <w:rPr>
                <w:rFonts w:ascii="Arial" w:cs="Arial" w:eastAsia="Arial" w:hAnsi="Arial"/>
                <w:sz w:val="10"/>
                <w:szCs w:val="10"/>
                <w:color w:val="auto"/>
              </w:rPr>
              <w:t>16%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354965</wp:posOffset>
            </wp:positionH>
            <wp:positionV relativeFrom="paragraph">
              <wp:posOffset>-108585</wp:posOffset>
            </wp:positionV>
            <wp:extent cx="6611620" cy="1143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611620" cy="114300"/>
                    </a:xfrm>
                    <a:prstGeom prst="rect">
                      <a:avLst/>
                    </a:prstGeom>
                    <a:noFill/>
                  </pic:spPr>
                </pic:pic>
              </a:graphicData>
            </a:graphic>
          </wp:anchor>
        </w:drawing>
      </w:r>
    </w:p>
    <w:p>
      <w:pPr>
        <w:ind w:left="20"/>
        <w:spacing w:after="0" w:line="232" w:lineRule="auto"/>
        <w:rPr>
          <w:sz w:val="20"/>
          <w:szCs w:val="20"/>
          <w:color w:val="auto"/>
        </w:rPr>
      </w:pPr>
      <w:r>
        <w:rPr>
          <w:rFonts w:ascii="Arial" w:cs="Arial" w:eastAsia="Arial" w:hAnsi="Arial"/>
          <w:sz w:val="10"/>
          <w:szCs w:val="10"/>
          <w:color w:val="auto"/>
        </w:rPr>
        <w:t>________________________</w:t>
      </w:r>
    </w:p>
    <w:p>
      <w:pPr>
        <w:ind w:left="420" w:hanging="212"/>
        <w:spacing w:after="0"/>
        <w:tabs>
          <w:tab w:leader="none" w:pos="420" w:val="left"/>
        </w:tabs>
        <w:numPr>
          <w:ilvl w:val="0"/>
          <w:numId w:val="20"/>
        </w:numPr>
        <w:rPr>
          <w:rFonts w:ascii="Arial" w:cs="Arial" w:eastAsia="Arial" w:hAnsi="Arial"/>
          <w:sz w:val="10"/>
          <w:szCs w:val="10"/>
          <w:color w:val="auto"/>
        </w:rPr>
      </w:pPr>
      <w:r>
        <w:rPr>
          <w:rFonts w:ascii="Arial" w:cs="Arial" w:eastAsia="Arial" w:hAnsi="Arial"/>
          <w:sz w:val="10"/>
          <w:szCs w:val="10"/>
          <w:color w:val="auto"/>
        </w:rPr>
        <w:t>Weighted average actual one-month annualized CPR released at the beginning of the month based on securities held/outstanding as of the preceding month-end.</w:t>
      </w:r>
    </w:p>
    <w:p>
      <w:pPr>
        <w:spacing w:after="0" w:line="25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32</w:t>
      </w:r>
    </w:p>
    <w:p>
      <w:pPr>
        <w:sectPr>
          <w:pgSz w:w="11900" w:h="16838" w:orient="portrait"/>
          <w:cols w:equalWidth="0" w:num="1">
            <w:col w:w="11460"/>
          </w:cols>
          <w:pgMar w:left="220" w:top="545" w:right="219" w:bottom="1440" w:gutter="0" w:footer="0" w:header="0"/>
        </w:sectPr>
      </w:pPr>
    </w:p>
    <w:bookmarkStart w:id="33" w:name="page34"/>
    <w:bookmarkEnd w:id="33"/>
    <w:p>
      <w:pPr>
        <w:spacing w:after="0"/>
        <w:rPr>
          <w:sz w:val="20"/>
          <w:szCs w:val="20"/>
          <w:color w:val="auto"/>
        </w:rPr>
      </w:pPr>
      <w:r>
        <w:rPr>
          <w:rFonts w:ascii="Arial" w:cs="Arial" w:eastAsia="Arial" w:hAnsi="Arial"/>
          <w:sz w:val="12"/>
          <w:szCs w:val="12"/>
          <w:b w:val="1"/>
          <w:bCs w:val="1"/>
          <w:color w:val="auto"/>
        </w:rPr>
        <w:t>FINANCIAL CONDITION</w:t>
      </w:r>
    </w:p>
    <w:p>
      <w:pPr>
        <w:spacing w:after="0" w:line="118" w:lineRule="exact"/>
        <w:rPr>
          <w:sz w:val="20"/>
          <w:szCs w:val="20"/>
          <w:color w:val="auto"/>
        </w:rPr>
      </w:pPr>
    </w:p>
    <w:p>
      <w:pPr>
        <w:ind w:firstLine="288"/>
        <w:spacing w:after="0" w:line="276" w:lineRule="auto"/>
        <w:rPr>
          <w:sz w:val="20"/>
          <w:szCs w:val="20"/>
          <w:color w:val="auto"/>
        </w:rPr>
      </w:pPr>
      <w:r>
        <w:rPr>
          <w:rFonts w:ascii="Arial" w:cs="Arial" w:eastAsia="Arial" w:hAnsi="Arial"/>
          <w:sz w:val="12"/>
          <w:szCs w:val="12"/>
          <w:color w:val="auto"/>
        </w:rPr>
        <w:t>As of September 30, 2016 and December 31, 2015, our investment portfolio consisted of $47.4 billion and $52.5 billion of investment securities, at fair value, respectively, and a $15.6 billion and $7.4 billion net long TBA position, at fair value, respectively. The following table is a summary of our investment portfolio as of September 30, 2016 and December 31, 2015 (dollars in millions):</w:t>
      </w:r>
    </w:p>
    <w:p>
      <w:pPr>
        <w:spacing w:after="0" w:line="226"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34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gridSpan w:val="3"/>
          </w:tcPr>
          <w:p>
            <w:pPr>
              <w:ind w:left="200"/>
              <w:spacing w:after="0"/>
              <w:rPr>
                <w:sz w:val="20"/>
                <w:szCs w:val="20"/>
                <w:color w:val="auto"/>
              </w:rPr>
            </w:pPr>
            <w:r>
              <w:rPr>
                <w:rFonts w:ascii="Arial" w:cs="Arial" w:eastAsia="Arial" w:hAnsi="Arial"/>
                <w:sz w:val="10"/>
                <w:szCs w:val="10"/>
                <w:b w:val="1"/>
                <w:bCs w:val="1"/>
                <w:color w:val="auto"/>
                <w:w w:val="83"/>
              </w:rPr>
              <w:t>September 30, 2016</w:t>
            </w:r>
          </w:p>
        </w:tc>
        <w:tc>
          <w:tcPr>
            <w:tcW w:w="8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600" w:type="dxa"/>
            <w:vAlign w:val="bottom"/>
            <w:tcBorders>
              <w:bottom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860" w:type="dxa"/>
            <w:vAlign w:val="bottom"/>
            <w:tcBorders>
              <w:bottom w:val="single" w:sz="8" w:color="auto"/>
            </w:tcBorders>
            <w:gridSpan w:val="4"/>
          </w:tcPr>
          <w:p>
            <w:pPr>
              <w:ind w:left="200"/>
              <w:spacing w:after="0"/>
              <w:rPr>
                <w:sz w:val="20"/>
                <w:szCs w:val="20"/>
                <w:color w:val="auto"/>
              </w:rPr>
            </w:pPr>
            <w:r>
              <w:rPr>
                <w:rFonts w:ascii="Arial" w:cs="Arial" w:eastAsia="Arial" w:hAnsi="Arial"/>
                <w:sz w:val="10"/>
                <w:szCs w:val="10"/>
                <w:b w:val="1"/>
                <w:bCs w:val="1"/>
                <w:color w:val="auto"/>
              </w:rPr>
              <w:t>December 31, 2015</w:t>
            </w:r>
          </w:p>
        </w:tc>
        <w:tc>
          <w:tcPr>
            <w:tcW w:w="580" w:type="dxa"/>
            <w:vAlign w:val="bottom"/>
            <w:tcBorders>
              <w:bottom w:val="single" w:sz="8" w:color="auto"/>
            </w:tcBorders>
          </w:tcPr>
          <w:p>
            <w:pPr>
              <w:spacing w:after="0"/>
              <w:rPr>
                <w:sz w:val="11"/>
                <w:szCs w:val="11"/>
                <w:color w:val="auto"/>
              </w:rPr>
            </w:pPr>
          </w:p>
        </w:tc>
      </w:tr>
      <w:tr>
        <w:trPr>
          <w:trHeight w:val="169"/>
        </w:trPr>
        <w:tc>
          <w:tcPr>
            <w:tcW w:w="344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Investment Portfolio</w:t>
            </w:r>
          </w:p>
        </w:tc>
        <w:tc>
          <w:tcPr>
            <w:tcW w:w="24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b w:val="1"/>
                <w:bCs w:val="1"/>
                <w:color w:val="auto"/>
                <w:w w:val="94"/>
              </w:rPr>
              <w:t>Amortized Cost</w:t>
            </w:r>
          </w:p>
        </w:tc>
        <w:tc>
          <w:tcPr>
            <w:tcW w:w="1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Fair Value</w:t>
            </w:r>
          </w:p>
        </w:tc>
        <w:tc>
          <w:tcPr>
            <w:tcW w:w="12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b w:val="1"/>
                <w:bCs w:val="1"/>
                <w:color w:val="auto"/>
                <w:w w:val="82"/>
              </w:rPr>
              <w:t>Average Coupon</w:t>
            </w:r>
          </w:p>
        </w:tc>
        <w:tc>
          <w:tcPr>
            <w:tcW w:w="100" w:type="dxa"/>
            <w:vAlign w:val="bottom"/>
            <w:tcBorders>
              <w:bottom w:val="single" w:sz="8" w:color="CCEEFF"/>
            </w:tcBorders>
          </w:tcPr>
          <w:p>
            <w:pPr>
              <w:spacing w:after="0"/>
              <w:rPr>
                <w:sz w:val="14"/>
                <w:szCs w:val="14"/>
                <w:color w:val="auto"/>
              </w:rPr>
            </w:pPr>
          </w:p>
        </w:tc>
        <w:tc>
          <w:tcPr>
            <w:tcW w:w="600" w:type="dxa"/>
            <w:vAlign w:val="bottom"/>
            <w:tcBorders>
              <w:bottom w:val="single" w:sz="8" w:color="auto"/>
            </w:tcBorders>
          </w:tcPr>
          <w:p>
            <w:pPr>
              <w:jc w:val="right"/>
              <w:ind w:right="212"/>
              <w:spacing w:after="0"/>
              <w:rPr>
                <w:sz w:val="20"/>
                <w:szCs w:val="20"/>
                <w:color w:val="auto"/>
              </w:rPr>
            </w:pPr>
            <w:r>
              <w:rPr>
                <w:rFonts w:ascii="Arial" w:cs="Arial" w:eastAsia="Arial" w:hAnsi="Arial"/>
                <w:sz w:val="10"/>
                <w:szCs w:val="10"/>
                <w:b w:val="1"/>
                <w:bCs w:val="1"/>
                <w:color w:val="auto"/>
              </w:rPr>
              <w:t>%</w:t>
            </w:r>
          </w:p>
        </w:tc>
        <w:tc>
          <w:tcPr>
            <w:tcW w:w="22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b w:val="1"/>
                <w:bCs w:val="1"/>
                <w:color w:val="auto"/>
                <w:w w:val="91"/>
              </w:rPr>
              <w:t>Amortized Cost</w:t>
            </w:r>
          </w:p>
        </w:tc>
        <w:tc>
          <w:tcPr>
            <w:tcW w:w="10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Fair Value</w:t>
            </w:r>
          </w:p>
        </w:tc>
        <w:tc>
          <w:tcPr>
            <w:tcW w:w="120" w:type="dxa"/>
            <w:vAlign w:val="bottom"/>
            <w:tcBorders>
              <w:bottom w:val="single" w:sz="8" w:color="CCEEFF"/>
            </w:tcBorders>
          </w:tcPr>
          <w:p>
            <w:pPr>
              <w:spacing w:after="0"/>
              <w:rPr>
                <w:sz w:val="14"/>
                <w:szCs w:val="14"/>
                <w:color w:val="auto"/>
              </w:rPr>
            </w:pPr>
          </w:p>
        </w:tc>
        <w:tc>
          <w:tcPr>
            <w:tcW w:w="90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b w:val="1"/>
                <w:bCs w:val="1"/>
                <w:color w:val="auto"/>
                <w:w w:val="94"/>
              </w:rPr>
              <w:t>Average Coupon</w:t>
            </w:r>
          </w:p>
        </w:tc>
        <w:tc>
          <w:tcPr>
            <w:tcW w:w="100" w:type="dxa"/>
            <w:vAlign w:val="bottom"/>
            <w:tcBorders>
              <w:bottom w:val="single" w:sz="8" w:color="CCEEFF"/>
            </w:tcBorders>
          </w:tcPr>
          <w:p>
            <w:pPr>
              <w:spacing w:after="0"/>
              <w:rPr>
                <w:sz w:val="14"/>
                <w:szCs w:val="14"/>
                <w:color w:val="auto"/>
              </w:rPr>
            </w:pPr>
          </w:p>
        </w:tc>
        <w:tc>
          <w:tcPr>
            <w:tcW w:w="58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w:t>
            </w:r>
          </w:p>
        </w:tc>
      </w:tr>
      <w:tr>
        <w:trPr>
          <w:trHeight w:val="173"/>
        </w:trPr>
        <w:tc>
          <w:tcPr>
            <w:tcW w:w="36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Fixed rate agency MBS and TBA securities:</w:t>
            </w:r>
          </w:p>
        </w:tc>
        <w:tc>
          <w:tcPr>
            <w:tcW w:w="120" w:type="dxa"/>
            <w:vAlign w:val="bottom"/>
            <w:shd w:val="clear" w:color="auto" w:fill="CCEEFF"/>
          </w:tcPr>
          <w:p>
            <w:pPr>
              <w:spacing w:after="0"/>
              <w:rPr>
                <w:sz w:val="15"/>
                <w:szCs w:val="15"/>
                <w:color w:val="auto"/>
              </w:rPr>
            </w:pPr>
          </w:p>
        </w:tc>
        <w:tc>
          <w:tcPr>
            <w:tcW w:w="9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7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8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9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7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r>
      <w:tr>
        <w:trPr>
          <w:trHeight w:val="176"/>
        </w:trPr>
        <w:tc>
          <w:tcPr>
            <w:tcW w:w="3680" w:type="dxa"/>
            <w:vAlign w:val="bottom"/>
            <w:gridSpan w:val="2"/>
          </w:tcPr>
          <w:p>
            <w:pPr>
              <w:ind w:left="80"/>
              <w:spacing w:after="0"/>
              <w:rPr>
                <w:sz w:val="20"/>
                <w:szCs w:val="20"/>
                <w:color w:val="auto"/>
              </w:rPr>
            </w:pPr>
            <w:r>
              <w:rPr>
                <w:rFonts w:ascii="Arial" w:cs="Arial" w:eastAsia="Arial" w:hAnsi="Arial"/>
                <w:sz w:val="10"/>
                <w:szCs w:val="10"/>
                <w:color w:val="auto"/>
              </w:rPr>
              <w:t>≤ 15-year</w:t>
            </w:r>
          </w:p>
        </w:tc>
        <w:tc>
          <w:tcPr>
            <w:tcW w:w="12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80" w:type="dxa"/>
            <w:vAlign w:val="bottom"/>
          </w:tcPr>
          <w:p>
            <w:pPr>
              <w:spacing w:after="0"/>
              <w:rPr>
                <w:sz w:val="15"/>
                <w:szCs w:val="15"/>
                <w:color w:val="auto"/>
              </w:rPr>
            </w:pPr>
          </w:p>
        </w:tc>
      </w:tr>
      <w:tr>
        <w:trPr>
          <w:trHeight w:val="184"/>
        </w:trPr>
        <w:tc>
          <w:tcPr>
            <w:tcW w:w="3680" w:type="dxa"/>
            <w:vAlign w:val="bottom"/>
            <w:gridSpan w:val="2"/>
            <w:shd w:val="clear" w:color="auto" w:fill="CCEEFF"/>
          </w:tcPr>
          <w:p>
            <w:pPr>
              <w:ind w:left="200"/>
              <w:spacing w:after="0"/>
              <w:rPr>
                <w:sz w:val="20"/>
                <w:szCs w:val="20"/>
                <w:color w:val="auto"/>
              </w:rPr>
            </w:pPr>
            <w:r>
              <w:rPr>
                <w:rFonts w:ascii="Arial" w:cs="Arial" w:eastAsia="Arial" w:hAnsi="Arial"/>
                <w:sz w:val="10"/>
                <w:szCs w:val="10"/>
                <w:color w:val="auto"/>
              </w:rPr>
              <w:t>≤ 15-year</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13,599</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13,942</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3.26%</w:t>
            </w:r>
          </w:p>
        </w:tc>
        <w:tc>
          <w:tcPr>
            <w:tcW w:w="10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22%</w:t>
            </w:r>
          </w:p>
        </w:tc>
        <w:tc>
          <w:tcPr>
            <w:tcW w:w="220" w:type="dxa"/>
            <w:vAlign w:val="bottom"/>
            <w:shd w:val="clear" w:color="auto" w:fill="CCEEFF"/>
          </w:tcPr>
          <w:p>
            <w:pPr>
              <w:spacing w:after="0"/>
              <w:rPr>
                <w:sz w:val="16"/>
                <w:szCs w:val="16"/>
                <w:color w:val="auto"/>
              </w:rPr>
            </w:pP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9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16,725</w:t>
            </w: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16,865</w:t>
            </w:r>
          </w:p>
        </w:tc>
        <w:tc>
          <w:tcPr>
            <w:tcW w:w="120" w:type="dxa"/>
            <w:vAlign w:val="bottom"/>
            <w:shd w:val="clear" w:color="auto" w:fill="CCEEFF"/>
          </w:tcPr>
          <w:p>
            <w:pPr>
              <w:spacing w:after="0"/>
              <w:rPr>
                <w:sz w:val="16"/>
                <w:szCs w:val="16"/>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3.25%</w:t>
            </w: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28%</w:t>
            </w:r>
          </w:p>
        </w:tc>
      </w:tr>
      <w:tr>
        <w:trPr>
          <w:trHeight w:val="176"/>
        </w:trPr>
        <w:tc>
          <w:tcPr>
            <w:tcW w:w="3680" w:type="dxa"/>
            <w:vAlign w:val="bottom"/>
            <w:tcBorders>
              <w:bottom w:val="single" w:sz="8" w:color="CCEEFF"/>
            </w:tcBorders>
            <w:gridSpan w:val="2"/>
          </w:tcPr>
          <w:p>
            <w:pPr>
              <w:ind w:left="180"/>
              <w:spacing w:after="0"/>
              <w:rPr>
                <w:sz w:val="20"/>
                <w:szCs w:val="20"/>
                <w:color w:val="auto"/>
              </w:rPr>
            </w:pPr>
            <w:r>
              <w:rPr>
                <w:rFonts w:ascii="Arial" w:cs="Arial" w:eastAsia="Arial" w:hAnsi="Arial"/>
                <w:sz w:val="10"/>
                <w:szCs w:val="10"/>
                <w:color w:val="auto"/>
              </w:rPr>
              <w:t>15-year TBA securities</w:t>
            </w:r>
          </w:p>
        </w:tc>
        <w:tc>
          <w:tcPr>
            <w:tcW w:w="120" w:type="dxa"/>
            <w:vAlign w:val="bottom"/>
            <w:tcBorders>
              <w:bottom w:val="single" w:sz="8" w:color="auto"/>
            </w:tcBorders>
          </w:tcPr>
          <w:p>
            <w:pPr>
              <w:spacing w:after="0"/>
              <w:rPr>
                <w:sz w:val="15"/>
                <w:szCs w:val="15"/>
                <w:color w:val="auto"/>
              </w:rPr>
            </w:pPr>
          </w:p>
        </w:tc>
        <w:tc>
          <w:tcPr>
            <w:tcW w:w="92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2,297</w:t>
            </w:r>
          </w:p>
        </w:tc>
        <w:tc>
          <w:tcPr>
            <w:tcW w:w="12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2,306</w:t>
            </w:r>
          </w:p>
        </w:tc>
        <w:tc>
          <w:tcPr>
            <w:tcW w:w="120" w:type="dxa"/>
            <w:vAlign w:val="bottom"/>
            <w:tcBorders>
              <w:bottom w:val="single" w:sz="8" w:color="CCEEFF"/>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2.61%</w:t>
            </w:r>
          </w:p>
        </w:tc>
        <w:tc>
          <w:tcPr>
            <w:tcW w:w="100" w:type="dxa"/>
            <w:vAlign w:val="bottom"/>
            <w:tcBorders>
              <w:bottom w:val="single" w:sz="8" w:color="CCEEFF"/>
            </w:tcBorders>
          </w:tcPr>
          <w:p>
            <w:pPr>
              <w:spacing w:after="0"/>
              <w:rPr>
                <w:sz w:val="15"/>
                <w:szCs w:val="15"/>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w:t>
            </w:r>
          </w:p>
        </w:tc>
        <w:tc>
          <w:tcPr>
            <w:tcW w:w="2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90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295</w:t>
            </w:r>
          </w:p>
        </w:tc>
        <w:tc>
          <w:tcPr>
            <w:tcW w:w="100" w:type="dxa"/>
            <w:vAlign w:val="bottom"/>
            <w:tcBorders>
              <w:bottom w:val="single" w:sz="8" w:color="CCEEFF"/>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293</w:t>
            </w:r>
          </w:p>
        </w:tc>
        <w:tc>
          <w:tcPr>
            <w:tcW w:w="120" w:type="dxa"/>
            <w:vAlign w:val="bottom"/>
            <w:tcBorders>
              <w:bottom w:val="single" w:sz="8" w:color="CCEEFF"/>
            </w:tcBorders>
          </w:tcPr>
          <w:p>
            <w:pPr>
              <w:spacing w:after="0"/>
              <w:rPr>
                <w:sz w:val="15"/>
                <w:szCs w:val="15"/>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3.38%</w:t>
            </w:r>
          </w:p>
        </w:tc>
        <w:tc>
          <w:tcPr>
            <w:tcW w:w="100" w:type="dxa"/>
            <w:vAlign w:val="bottom"/>
            <w:tcBorders>
              <w:bottom w:val="single" w:sz="8" w:color="CCEEFF"/>
            </w:tcBorders>
          </w:tcPr>
          <w:p>
            <w:pPr>
              <w:spacing w:after="0"/>
              <w:rPr>
                <w:sz w:val="15"/>
                <w:szCs w:val="15"/>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w:t>
            </w:r>
          </w:p>
        </w:tc>
      </w:tr>
      <w:tr>
        <w:trPr>
          <w:trHeight w:val="164"/>
        </w:trPr>
        <w:tc>
          <w:tcPr>
            <w:tcW w:w="368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Total ≤ 15-year</w:t>
            </w:r>
          </w:p>
        </w:tc>
        <w:tc>
          <w:tcPr>
            <w:tcW w:w="120" w:type="dxa"/>
            <w:vAlign w:val="bottom"/>
            <w:shd w:val="clear" w:color="auto" w:fill="CCEEFF"/>
          </w:tcPr>
          <w:p>
            <w:pPr>
              <w:spacing w:after="0"/>
              <w:rPr>
                <w:sz w:val="14"/>
                <w:szCs w:val="14"/>
                <w:color w:val="auto"/>
              </w:rPr>
            </w:pP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15,896</w:t>
            </w: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7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16,248</w:t>
            </w:r>
          </w:p>
        </w:tc>
        <w:tc>
          <w:tcPr>
            <w:tcW w:w="12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3.17%</w:t>
            </w:r>
          </w:p>
        </w:tc>
        <w:tc>
          <w:tcPr>
            <w:tcW w:w="100" w:type="dxa"/>
            <w:vAlign w:val="bottom"/>
            <w:shd w:val="clear" w:color="auto" w:fill="CCEEFF"/>
          </w:tcPr>
          <w:p>
            <w:pPr>
              <w:spacing w:after="0"/>
              <w:rPr>
                <w:sz w:val="14"/>
                <w:szCs w:val="14"/>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w:t>
            </w: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9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17,020</w:t>
            </w:r>
          </w:p>
        </w:tc>
        <w:tc>
          <w:tcPr>
            <w:tcW w:w="1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17,158</w:t>
            </w:r>
          </w:p>
        </w:tc>
        <w:tc>
          <w:tcPr>
            <w:tcW w:w="120" w:type="dxa"/>
            <w:vAlign w:val="bottom"/>
            <w:shd w:val="clear" w:color="auto" w:fill="CCEEFF"/>
          </w:tcPr>
          <w:p>
            <w:pPr>
              <w:spacing w:after="0"/>
              <w:rPr>
                <w:sz w:val="14"/>
                <w:szCs w:val="14"/>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3.25%</w:t>
            </w: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29%</w:t>
            </w:r>
          </w:p>
        </w:tc>
      </w:tr>
      <w:tr>
        <w:trPr>
          <w:trHeight w:val="176"/>
        </w:trPr>
        <w:tc>
          <w:tcPr>
            <w:tcW w:w="3680" w:type="dxa"/>
            <w:vAlign w:val="bottom"/>
            <w:gridSpan w:val="2"/>
          </w:tcPr>
          <w:p>
            <w:pPr>
              <w:ind w:left="60"/>
              <w:spacing w:after="0"/>
              <w:rPr>
                <w:sz w:val="20"/>
                <w:szCs w:val="20"/>
                <w:color w:val="auto"/>
              </w:rPr>
            </w:pPr>
            <w:r>
              <w:rPr>
                <w:rFonts w:ascii="Arial" w:cs="Arial" w:eastAsia="Arial" w:hAnsi="Arial"/>
                <w:sz w:val="10"/>
                <w:szCs w:val="10"/>
                <w:color w:val="auto"/>
              </w:rPr>
              <w:t>20-year</w:t>
            </w:r>
          </w:p>
        </w:tc>
        <w:tc>
          <w:tcPr>
            <w:tcW w:w="120" w:type="dxa"/>
            <w:vAlign w:val="bottom"/>
          </w:tcPr>
          <w:p>
            <w:pPr>
              <w:spacing w:after="0"/>
              <w:rPr>
                <w:sz w:val="15"/>
                <w:szCs w:val="15"/>
                <w:color w:val="auto"/>
              </w:rPr>
            </w:pPr>
          </w:p>
        </w:tc>
        <w:tc>
          <w:tcPr>
            <w:tcW w:w="920" w:type="dxa"/>
            <w:vAlign w:val="bottom"/>
          </w:tcPr>
          <w:p>
            <w:pPr>
              <w:jc w:val="right"/>
              <w:ind w:right="72"/>
              <w:spacing w:after="0"/>
              <w:rPr>
                <w:sz w:val="20"/>
                <w:szCs w:val="20"/>
                <w:color w:val="auto"/>
              </w:rPr>
            </w:pPr>
            <w:r>
              <w:rPr>
                <w:rFonts w:ascii="Arial" w:cs="Arial" w:eastAsia="Arial" w:hAnsi="Arial"/>
                <w:sz w:val="10"/>
                <w:szCs w:val="10"/>
                <w:color w:val="auto"/>
              </w:rPr>
              <w:t>839</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jc w:val="right"/>
              <w:ind w:right="72"/>
              <w:spacing w:after="0"/>
              <w:rPr>
                <w:sz w:val="20"/>
                <w:szCs w:val="20"/>
                <w:color w:val="auto"/>
              </w:rPr>
            </w:pPr>
            <w:r>
              <w:rPr>
                <w:rFonts w:ascii="Arial" w:cs="Arial" w:eastAsia="Arial" w:hAnsi="Arial"/>
                <w:sz w:val="10"/>
                <w:szCs w:val="10"/>
                <w:color w:val="auto"/>
              </w:rPr>
              <w:t>881</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20" w:type="dxa"/>
            <w:vAlign w:val="bottom"/>
          </w:tcPr>
          <w:p>
            <w:pPr>
              <w:jc w:val="right"/>
              <w:spacing w:after="0"/>
              <w:rPr>
                <w:sz w:val="20"/>
                <w:szCs w:val="20"/>
                <w:color w:val="auto"/>
              </w:rPr>
            </w:pPr>
            <w:r>
              <w:rPr>
                <w:rFonts w:ascii="Arial" w:cs="Arial" w:eastAsia="Arial" w:hAnsi="Arial"/>
                <w:sz w:val="10"/>
                <w:szCs w:val="10"/>
                <w:color w:val="auto"/>
              </w:rPr>
              <w:t>3.49%</w:t>
            </w:r>
          </w:p>
        </w:tc>
        <w:tc>
          <w:tcPr>
            <w:tcW w:w="10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1%</w:t>
            </w: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tcPr>
          <w:p>
            <w:pPr>
              <w:jc w:val="right"/>
              <w:ind w:right="72"/>
              <w:spacing w:after="0"/>
              <w:rPr>
                <w:sz w:val="20"/>
                <w:szCs w:val="20"/>
                <w:color w:val="auto"/>
              </w:rPr>
            </w:pPr>
            <w:r>
              <w:rPr>
                <w:rFonts w:ascii="Arial" w:cs="Arial" w:eastAsia="Arial" w:hAnsi="Arial"/>
                <w:sz w:val="10"/>
                <w:szCs w:val="10"/>
                <w:color w:val="auto"/>
              </w:rPr>
              <w:t>1,061</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tcPr>
          <w:p>
            <w:pPr>
              <w:jc w:val="right"/>
              <w:ind w:right="52"/>
              <w:spacing w:after="0"/>
              <w:rPr>
                <w:sz w:val="20"/>
                <w:szCs w:val="20"/>
                <w:color w:val="auto"/>
              </w:rPr>
            </w:pPr>
            <w:r>
              <w:rPr>
                <w:rFonts w:ascii="Arial" w:cs="Arial" w:eastAsia="Arial" w:hAnsi="Arial"/>
                <w:sz w:val="10"/>
                <w:szCs w:val="10"/>
                <w:color w:val="auto"/>
              </w:rPr>
              <w:t>1,088</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3.48%</w:t>
            </w:r>
          </w:p>
        </w:tc>
        <w:tc>
          <w:tcPr>
            <w:tcW w:w="100" w:type="dxa"/>
            <w:vAlign w:val="bottom"/>
          </w:tcPr>
          <w:p>
            <w:pPr>
              <w:spacing w:after="0"/>
              <w:rPr>
                <w:sz w:val="15"/>
                <w:szCs w:val="15"/>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auto"/>
              </w:rPr>
              <w:t>2%</w:t>
            </w:r>
          </w:p>
        </w:tc>
      </w:tr>
      <w:tr>
        <w:trPr>
          <w:trHeight w:val="184"/>
        </w:trPr>
        <w:tc>
          <w:tcPr>
            <w:tcW w:w="368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30-year</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r>
      <w:tr>
        <w:trPr>
          <w:trHeight w:val="176"/>
        </w:trPr>
        <w:tc>
          <w:tcPr>
            <w:tcW w:w="3680" w:type="dxa"/>
            <w:vAlign w:val="bottom"/>
            <w:gridSpan w:val="2"/>
          </w:tcPr>
          <w:p>
            <w:pPr>
              <w:ind w:left="180"/>
              <w:spacing w:after="0"/>
              <w:rPr>
                <w:sz w:val="20"/>
                <w:szCs w:val="20"/>
                <w:color w:val="auto"/>
              </w:rPr>
            </w:pPr>
            <w:r>
              <w:rPr>
                <w:rFonts w:ascii="Arial" w:cs="Arial" w:eastAsia="Arial" w:hAnsi="Arial"/>
                <w:sz w:val="10"/>
                <w:szCs w:val="10"/>
                <w:color w:val="auto"/>
              </w:rPr>
              <w:t>30-year</w:t>
            </w:r>
          </w:p>
        </w:tc>
        <w:tc>
          <w:tcPr>
            <w:tcW w:w="120" w:type="dxa"/>
            <w:vAlign w:val="bottom"/>
          </w:tcPr>
          <w:p>
            <w:pPr>
              <w:spacing w:after="0"/>
              <w:rPr>
                <w:sz w:val="15"/>
                <w:szCs w:val="15"/>
                <w:color w:val="auto"/>
              </w:rPr>
            </w:pPr>
          </w:p>
        </w:tc>
        <w:tc>
          <w:tcPr>
            <w:tcW w:w="920" w:type="dxa"/>
            <w:vAlign w:val="bottom"/>
          </w:tcPr>
          <w:p>
            <w:pPr>
              <w:jc w:val="right"/>
              <w:ind w:right="72"/>
              <w:spacing w:after="0"/>
              <w:rPr>
                <w:sz w:val="20"/>
                <w:szCs w:val="20"/>
                <w:color w:val="auto"/>
              </w:rPr>
            </w:pPr>
            <w:r>
              <w:rPr>
                <w:rFonts w:ascii="Arial" w:cs="Arial" w:eastAsia="Arial" w:hAnsi="Arial"/>
                <w:sz w:val="10"/>
                <w:szCs w:val="10"/>
                <w:color w:val="auto"/>
              </w:rPr>
              <w:t>30,205</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jc w:val="right"/>
              <w:ind w:right="72"/>
              <w:spacing w:after="0"/>
              <w:rPr>
                <w:sz w:val="20"/>
                <w:szCs w:val="20"/>
                <w:color w:val="auto"/>
              </w:rPr>
            </w:pPr>
            <w:r>
              <w:rPr>
                <w:rFonts w:ascii="Arial" w:cs="Arial" w:eastAsia="Arial" w:hAnsi="Arial"/>
                <w:sz w:val="10"/>
                <w:szCs w:val="10"/>
                <w:color w:val="auto"/>
              </w:rPr>
              <w:t>30,788</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20" w:type="dxa"/>
            <w:vAlign w:val="bottom"/>
          </w:tcPr>
          <w:p>
            <w:pPr>
              <w:jc w:val="right"/>
              <w:spacing w:after="0"/>
              <w:rPr>
                <w:sz w:val="20"/>
                <w:szCs w:val="20"/>
                <w:color w:val="auto"/>
              </w:rPr>
            </w:pPr>
            <w:r>
              <w:rPr>
                <w:rFonts w:ascii="Arial" w:cs="Arial" w:eastAsia="Arial" w:hAnsi="Arial"/>
                <w:sz w:val="10"/>
                <w:szCs w:val="10"/>
                <w:color w:val="auto"/>
              </w:rPr>
              <w:t>3.68%</w:t>
            </w:r>
          </w:p>
        </w:tc>
        <w:tc>
          <w:tcPr>
            <w:tcW w:w="10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49%</w:t>
            </w: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tcPr>
          <w:p>
            <w:pPr>
              <w:jc w:val="right"/>
              <w:ind w:right="72"/>
              <w:spacing w:after="0"/>
              <w:rPr>
                <w:sz w:val="20"/>
                <w:szCs w:val="20"/>
                <w:color w:val="auto"/>
              </w:rPr>
            </w:pPr>
            <w:r>
              <w:rPr>
                <w:rFonts w:ascii="Arial" w:cs="Arial" w:eastAsia="Arial" w:hAnsi="Arial"/>
                <w:sz w:val="10"/>
                <w:szCs w:val="10"/>
                <w:color w:val="auto"/>
              </w:rPr>
              <w:t>32,790</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tcPr>
          <w:p>
            <w:pPr>
              <w:jc w:val="right"/>
              <w:ind w:right="52"/>
              <w:spacing w:after="0"/>
              <w:rPr>
                <w:sz w:val="20"/>
                <w:szCs w:val="20"/>
                <w:color w:val="auto"/>
              </w:rPr>
            </w:pPr>
            <w:r>
              <w:rPr>
                <w:rFonts w:ascii="Arial" w:cs="Arial" w:eastAsia="Arial" w:hAnsi="Arial"/>
                <w:sz w:val="10"/>
                <w:szCs w:val="10"/>
                <w:color w:val="auto"/>
              </w:rPr>
              <w:t>32,570</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3.70%</w:t>
            </w:r>
          </w:p>
        </w:tc>
        <w:tc>
          <w:tcPr>
            <w:tcW w:w="100" w:type="dxa"/>
            <w:vAlign w:val="bottom"/>
          </w:tcPr>
          <w:p>
            <w:pPr>
              <w:spacing w:after="0"/>
              <w:rPr>
                <w:sz w:val="15"/>
                <w:szCs w:val="15"/>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auto"/>
              </w:rPr>
              <w:t>54%</w:t>
            </w:r>
          </w:p>
        </w:tc>
      </w:tr>
      <w:tr>
        <w:trPr>
          <w:trHeight w:val="180"/>
        </w:trPr>
        <w:tc>
          <w:tcPr>
            <w:tcW w:w="3680" w:type="dxa"/>
            <w:vAlign w:val="bottom"/>
            <w:gridSpan w:val="2"/>
            <w:shd w:val="clear" w:color="auto" w:fill="CCEEFF"/>
          </w:tcPr>
          <w:p>
            <w:pPr>
              <w:ind w:left="180"/>
              <w:spacing w:after="0"/>
              <w:rPr>
                <w:sz w:val="20"/>
                <w:szCs w:val="20"/>
                <w:color w:val="auto"/>
              </w:rPr>
            </w:pPr>
            <w:r>
              <w:rPr>
                <w:rFonts w:ascii="Arial" w:cs="Arial" w:eastAsia="Arial" w:hAnsi="Arial"/>
                <w:sz w:val="10"/>
                <w:szCs w:val="10"/>
                <w:color w:val="auto"/>
              </w:rPr>
              <w:t xml:space="preserve">30-year TBA securities </w:t>
            </w:r>
            <w:r>
              <w:rPr>
                <w:rFonts w:ascii="Arial" w:cs="Arial" w:eastAsia="Arial" w:hAnsi="Arial"/>
                <w:sz w:val="5"/>
                <w:szCs w:val="5"/>
                <w:color w:val="auto"/>
              </w:rPr>
              <w:t>1</w:t>
            </w:r>
          </w:p>
        </w:tc>
        <w:tc>
          <w:tcPr>
            <w:tcW w:w="120" w:type="dxa"/>
            <w:vAlign w:val="bottom"/>
            <w:tcBorders>
              <w:bottom w:val="single" w:sz="8" w:color="auto"/>
            </w:tcBorders>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13,243</w:t>
            </w:r>
          </w:p>
        </w:tc>
        <w:tc>
          <w:tcPr>
            <w:tcW w:w="120" w:type="dxa"/>
            <w:vAlign w:val="bottom"/>
            <w:shd w:val="clear" w:color="auto" w:fill="CCEEFF"/>
          </w:tcPr>
          <w:p>
            <w:pPr>
              <w:spacing w:after="0"/>
              <w:rPr>
                <w:sz w:val="15"/>
                <w:szCs w:val="15"/>
                <w:color w:val="auto"/>
              </w:rPr>
            </w:pPr>
          </w:p>
        </w:tc>
        <w:tc>
          <w:tcPr>
            <w:tcW w:w="16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13,280</w:t>
            </w:r>
          </w:p>
        </w:tc>
        <w:tc>
          <w:tcPr>
            <w:tcW w:w="12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3.32%</w:t>
            </w:r>
          </w:p>
        </w:tc>
        <w:tc>
          <w:tcPr>
            <w:tcW w:w="100" w:type="dxa"/>
            <w:vAlign w:val="bottom"/>
            <w:shd w:val="clear" w:color="auto" w:fill="CCEEFF"/>
          </w:tcPr>
          <w:p>
            <w:pPr>
              <w:spacing w:after="0"/>
              <w:rPr>
                <w:sz w:val="15"/>
                <w:szCs w:val="15"/>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21%</w:t>
            </w:r>
          </w:p>
        </w:tc>
        <w:tc>
          <w:tcPr>
            <w:tcW w:w="2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90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7,135</w:t>
            </w:r>
          </w:p>
        </w:tc>
        <w:tc>
          <w:tcPr>
            <w:tcW w:w="100" w:type="dxa"/>
            <w:vAlign w:val="bottom"/>
            <w:shd w:val="clear" w:color="auto" w:fill="CCEEFF"/>
          </w:tcPr>
          <w:p>
            <w:pPr>
              <w:spacing w:after="0"/>
              <w:rPr>
                <w:sz w:val="15"/>
                <w:szCs w:val="15"/>
                <w:color w:val="auto"/>
              </w:rPr>
            </w:pPr>
          </w:p>
        </w:tc>
        <w:tc>
          <w:tcPr>
            <w:tcW w:w="160" w:type="dxa"/>
            <w:vAlign w:val="bottom"/>
            <w:tcBorders>
              <w:bottom w:val="single" w:sz="8" w:color="auto"/>
            </w:tcBorders>
            <w:shd w:val="clear" w:color="auto" w:fill="CCEEFF"/>
          </w:tcPr>
          <w:p>
            <w:pPr>
              <w:spacing w:after="0"/>
              <w:rPr>
                <w:sz w:val="15"/>
                <w:szCs w:val="15"/>
                <w:color w:val="auto"/>
              </w:rPr>
            </w:pPr>
          </w:p>
        </w:tc>
        <w:tc>
          <w:tcPr>
            <w:tcW w:w="74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7,150</w:t>
            </w:r>
          </w:p>
        </w:tc>
        <w:tc>
          <w:tcPr>
            <w:tcW w:w="120" w:type="dxa"/>
            <w:vAlign w:val="bottom"/>
            <w:shd w:val="clear" w:color="auto" w:fill="CCEEFF"/>
          </w:tcPr>
          <w:p>
            <w:pPr>
              <w:spacing w:after="0"/>
              <w:rPr>
                <w:sz w:val="15"/>
                <w:szCs w:val="15"/>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3.34%</w:t>
            </w:r>
          </w:p>
        </w:tc>
        <w:tc>
          <w:tcPr>
            <w:tcW w:w="100" w:type="dxa"/>
            <w:vAlign w:val="bottom"/>
            <w:shd w:val="clear" w:color="auto" w:fill="CCEEFF"/>
          </w:tcPr>
          <w:p>
            <w:pPr>
              <w:spacing w:after="0"/>
              <w:rPr>
                <w:sz w:val="15"/>
                <w:szCs w:val="15"/>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w:t>
            </w:r>
          </w:p>
        </w:tc>
      </w:tr>
      <w:tr>
        <w:trPr>
          <w:trHeight w:val="160"/>
        </w:trPr>
        <w:tc>
          <w:tcPr>
            <w:tcW w:w="3680" w:type="dxa"/>
            <w:vAlign w:val="bottom"/>
            <w:tcBorders>
              <w:bottom w:val="single" w:sz="8" w:color="CCEEFF"/>
            </w:tcBorders>
            <w:gridSpan w:val="2"/>
          </w:tcPr>
          <w:p>
            <w:pPr>
              <w:ind w:left="60"/>
              <w:spacing w:after="0"/>
              <w:rPr>
                <w:sz w:val="20"/>
                <w:szCs w:val="20"/>
                <w:color w:val="auto"/>
              </w:rPr>
            </w:pPr>
            <w:r>
              <w:rPr>
                <w:rFonts w:ascii="Arial" w:cs="Arial" w:eastAsia="Arial" w:hAnsi="Arial"/>
                <w:sz w:val="10"/>
                <w:szCs w:val="10"/>
                <w:color w:val="auto"/>
              </w:rPr>
              <w:t>Total 30-year</w:t>
            </w:r>
          </w:p>
        </w:tc>
        <w:tc>
          <w:tcPr>
            <w:tcW w:w="120" w:type="dxa"/>
            <w:vAlign w:val="bottom"/>
            <w:tcBorders>
              <w:bottom w:val="single" w:sz="8" w:color="auto"/>
            </w:tcBorders>
          </w:tcPr>
          <w:p>
            <w:pPr>
              <w:spacing w:after="0"/>
              <w:rPr>
                <w:sz w:val="13"/>
                <w:szCs w:val="13"/>
                <w:color w:val="auto"/>
              </w:rPr>
            </w:pPr>
          </w:p>
        </w:tc>
        <w:tc>
          <w:tcPr>
            <w:tcW w:w="92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43,448</w:t>
            </w:r>
          </w:p>
        </w:tc>
        <w:tc>
          <w:tcPr>
            <w:tcW w:w="12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76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44,068</w:t>
            </w:r>
          </w:p>
        </w:tc>
        <w:tc>
          <w:tcPr>
            <w:tcW w:w="12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3.57%</w:t>
            </w:r>
          </w:p>
        </w:tc>
        <w:tc>
          <w:tcPr>
            <w:tcW w:w="100" w:type="dxa"/>
            <w:vAlign w:val="bottom"/>
            <w:tcBorders>
              <w:bottom w:val="single" w:sz="8" w:color="CCEEFF"/>
            </w:tcBorders>
          </w:tcPr>
          <w:p>
            <w:pPr>
              <w:spacing w:after="0"/>
              <w:rPr>
                <w:sz w:val="13"/>
                <w:szCs w:val="13"/>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70%</w:t>
            </w:r>
          </w:p>
        </w:tc>
        <w:tc>
          <w:tcPr>
            <w:tcW w:w="220" w:type="dxa"/>
            <w:vAlign w:val="bottom"/>
            <w:tcBorders>
              <w:bottom w:val="single" w:sz="8" w:color="CCEEFF"/>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90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39,925</w:t>
            </w:r>
          </w:p>
        </w:tc>
        <w:tc>
          <w:tcPr>
            <w:tcW w:w="10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7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39,720</w:t>
            </w:r>
          </w:p>
        </w:tc>
        <w:tc>
          <w:tcPr>
            <w:tcW w:w="120" w:type="dxa"/>
            <w:vAlign w:val="bottom"/>
            <w:tcBorders>
              <w:bottom w:val="single" w:sz="8" w:color="CCEEFF"/>
            </w:tcBorders>
          </w:tcPr>
          <w:p>
            <w:pPr>
              <w:spacing w:after="0"/>
              <w:rPr>
                <w:sz w:val="13"/>
                <w:szCs w:val="13"/>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3.63%</w:t>
            </w:r>
          </w:p>
        </w:tc>
        <w:tc>
          <w:tcPr>
            <w:tcW w:w="100" w:type="dxa"/>
            <w:vAlign w:val="bottom"/>
            <w:tcBorders>
              <w:bottom w:val="single" w:sz="8" w:color="CCEEFF"/>
            </w:tcBorders>
          </w:tcPr>
          <w:p>
            <w:pPr>
              <w:spacing w:after="0"/>
              <w:rPr>
                <w:sz w:val="13"/>
                <w:szCs w:val="13"/>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66%</w:t>
            </w:r>
          </w:p>
        </w:tc>
      </w:tr>
      <w:tr>
        <w:trPr>
          <w:trHeight w:val="164"/>
        </w:trPr>
        <w:tc>
          <w:tcPr>
            <w:tcW w:w="36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Total fixed rate agency MBS and TBA securities</w:t>
            </w:r>
          </w:p>
        </w:tc>
        <w:tc>
          <w:tcPr>
            <w:tcW w:w="120" w:type="dxa"/>
            <w:vAlign w:val="bottom"/>
            <w:shd w:val="clear" w:color="auto" w:fill="CCEEFF"/>
          </w:tcPr>
          <w:p>
            <w:pPr>
              <w:spacing w:after="0"/>
              <w:rPr>
                <w:sz w:val="14"/>
                <w:szCs w:val="14"/>
                <w:color w:val="auto"/>
              </w:rPr>
            </w:pP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60,183</w:t>
            </w: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7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61,197</w:t>
            </w:r>
          </w:p>
        </w:tc>
        <w:tc>
          <w:tcPr>
            <w:tcW w:w="12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3.46%</w:t>
            </w:r>
          </w:p>
        </w:tc>
        <w:tc>
          <w:tcPr>
            <w:tcW w:w="100" w:type="dxa"/>
            <w:vAlign w:val="bottom"/>
            <w:shd w:val="clear" w:color="auto" w:fill="CCEEFF"/>
          </w:tcPr>
          <w:p>
            <w:pPr>
              <w:spacing w:after="0"/>
              <w:rPr>
                <w:sz w:val="14"/>
                <w:szCs w:val="14"/>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97%</w:t>
            </w: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9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58,006</w:t>
            </w:r>
          </w:p>
        </w:tc>
        <w:tc>
          <w:tcPr>
            <w:tcW w:w="1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57,966</w:t>
            </w:r>
          </w:p>
        </w:tc>
        <w:tc>
          <w:tcPr>
            <w:tcW w:w="120" w:type="dxa"/>
            <w:vAlign w:val="bottom"/>
            <w:shd w:val="clear" w:color="auto" w:fill="CCEEFF"/>
          </w:tcPr>
          <w:p>
            <w:pPr>
              <w:spacing w:after="0"/>
              <w:rPr>
                <w:sz w:val="14"/>
                <w:szCs w:val="14"/>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3.52%</w:t>
            </w: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97%</w:t>
            </w:r>
          </w:p>
        </w:tc>
      </w:tr>
      <w:tr>
        <w:trPr>
          <w:trHeight w:val="176"/>
        </w:trPr>
        <w:tc>
          <w:tcPr>
            <w:tcW w:w="3680" w:type="dxa"/>
            <w:vAlign w:val="bottom"/>
            <w:gridSpan w:val="2"/>
          </w:tcPr>
          <w:p>
            <w:pPr>
              <w:ind w:left="20"/>
              <w:spacing w:after="0"/>
              <w:rPr>
                <w:sz w:val="20"/>
                <w:szCs w:val="20"/>
                <w:color w:val="auto"/>
              </w:rPr>
            </w:pPr>
            <w:r>
              <w:rPr>
                <w:rFonts w:ascii="Arial" w:cs="Arial" w:eastAsia="Arial" w:hAnsi="Arial"/>
                <w:sz w:val="10"/>
                <w:szCs w:val="10"/>
                <w:color w:val="auto"/>
              </w:rPr>
              <w:t>Adjustable rate agency securities</w:t>
            </w:r>
          </w:p>
        </w:tc>
        <w:tc>
          <w:tcPr>
            <w:tcW w:w="120" w:type="dxa"/>
            <w:vAlign w:val="bottom"/>
          </w:tcPr>
          <w:p>
            <w:pPr>
              <w:spacing w:after="0"/>
              <w:rPr>
                <w:sz w:val="15"/>
                <w:szCs w:val="15"/>
                <w:color w:val="auto"/>
              </w:rPr>
            </w:pPr>
          </w:p>
        </w:tc>
        <w:tc>
          <w:tcPr>
            <w:tcW w:w="920" w:type="dxa"/>
            <w:vAlign w:val="bottom"/>
          </w:tcPr>
          <w:p>
            <w:pPr>
              <w:jc w:val="right"/>
              <w:ind w:right="72"/>
              <w:spacing w:after="0"/>
              <w:rPr>
                <w:sz w:val="20"/>
                <w:szCs w:val="20"/>
                <w:color w:val="auto"/>
              </w:rPr>
            </w:pPr>
            <w:r>
              <w:rPr>
                <w:rFonts w:ascii="Arial" w:cs="Arial" w:eastAsia="Arial" w:hAnsi="Arial"/>
                <w:sz w:val="10"/>
                <w:szCs w:val="10"/>
                <w:color w:val="auto"/>
              </w:rPr>
              <w:t>401</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jc w:val="right"/>
              <w:ind w:right="72"/>
              <w:spacing w:after="0"/>
              <w:rPr>
                <w:sz w:val="20"/>
                <w:szCs w:val="20"/>
                <w:color w:val="auto"/>
              </w:rPr>
            </w:pPr>
            <w:r>
              <w:rPr>
                <w:rFonts w:ascii="Arial" w:cs="Arial" w:eastAsia="Arial" w:hAnsi="Arial"/>
                <w:sz w:val="10"/>
                <w:szCs w:val="10"/>
                <w:color w:val="auto"/>
              </w:rPr>
              <w:t>415</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20" w:type="dxa"/>
            <w:vAlign w:val="bottom"/>
          </w:tcPr>
          <w:p>
            <w:pPr>
              <w:jc w:val="right"/>
              <w:spacing w:after="0"/>
              <w:rPr>
                <w:sz w:val="20"/>
                <w:szCs w:val="20"/>
                <w:color w:val="auto"/>
              </w:rPr>
            </w:pPr>
            <w:r>
              <w:rPr>
                <w:rFonts w:ascii="Arial" w:cs="Arial" w:eastAsia="Arial" w:hAnsi="Arial"/>
                <w:sz w:val="10"/>
                <w:szCs w:val="10"/>
                <w:color w:val="auto"/>
              </w:rPr>
              <w:t>2.98%</w:t>
            </w:r>
          </w:p>
        </w:tc>
        <w:tc>
          <w:tcPr>
            <w:tcW w:w="10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1%</w:t>
            </w: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tcPr>
          <w:p>
            <w:pPr>
              <w:jc w:val="right"/>
              <w:ind w:right="72"/>
              <w:spacing w:after="0"/>
              <w:rPr>
                <w:sz w:val="20"/>
                <w:szCs w:val="20"/>
                <w:color w:val="auto"/>
              </w:rPr>
            </w:pPr>
            <w:r>
              <w:rPr>
                <w:rFonts w:ascii="Arial" w:cs="Arial" w:eastAsia="Arial" w:hAnsi="Arial"/>
                <w:sz w:val="10"/>
                <w:szCs w:val="10"/>
                <w:color w:val="auto"/>
              </w:rPr>
              <w:t>484</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tcPr>
          <w:p>
            <w:pPr>
              <w:jc w:val="right"/>
              <w:ind w:right="52"/>
              <w:spacing w:after="0"/>
              <w:rPr>
                <w:sz w:val="20"/>
                <w:szCs w:val="20"/>
                <w:color w:val="auto"/>
              </w:rPr>
            </w:pPr>
            <w:r>
              <w:rPr>
                <w:rFonts w:ascii="Arial" w:cs="Arial" w:eastAsia="Arial" w:hAnsi="Arial"/>
                <w:sz w:val="10"/>
                <w:szCs w:val="10"/>
                <w:color w:val="auto"/>
              </w:rPr>
              <w:t>495</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3.05%</w:t>
            </w:r>
          </w:p>
        </w:tc>
        <w:tc>
          <w:tcPr>
            <w:tcW w:w="100" w:type="dxa"/>
            <w:vAlign w:val="bottom"/>
          </w:tcPr>
          <w:p>
            <w:pPr>
              <w:spacing w:after="0"/>
              <w:rPr>
                <w:sz w:val="15"/>
                <w:szCs w:val="15"/>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auto"/>
              </w:rPr>
              <w:t>1%</w:t>
            </w:r>
          </w:p>
        </w:tc>
      </w:tr>
      <w:tr>
        <w:trPr>
          <w:trHeight w:val="184"/>
        </w:trPr>
        <w:tc>
          <w:tcPr>
            <w:tcW w:w="36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CMO agency securities:</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r>
      <w:tr>
        <w:trPr>
          <w:trHeight w:val="176"/>
        </w:trPr>
        <w:tc>
          <w:tcPr>
            <w:tcW w:w="3680" w:type="dxa"/>
            <w:vAlign w:val="bottom"/>
            <w:gridSpan w:val="2"/>
          </w:tcPr>
          <w:p>
            <w:pPr>
              <w:ind w:left="180"/>
              <w:spacing w:after="0"/>
              <w:rPr>
                <w:sz w:val="20"/>
                <w:szCs w:val="20"/>
                <w:color w:val="auto"/>
              </w:rPr>
            </w:pPr>
            <w:r>
              <w:rPr>
                <w:rFonts w:ascii="Arial" w:cs="Arial" w:eastAsia="Arial" w:hAnsi="Arial"/>
                <w:sz w:val="10"/>
                <w:szCs w:val="10"/>
                <w:color w:val="auto"/>
              </w:rPr>
              <w:t>CMO</w:t>
            </w:r>
          </w:p>
        </w:tc>
        <w:tc>
          <w:tcPr>
            <w:tcW w:w="120" w:type="dxa"/>
            <w:vAlign w:val="bottom"/>
          </w:tcPr>
          <w:p>
            <w:pPr>
              <w:spacing w:after="0"/>
              <w:rPr>
                <w:sz w:val="15"/>
                <w:szCs w:val="15"/>
                <w:color w:val="auto"/>
              </w:rPr>
            </w:pPr>
          </w:p>
        </w:tc>
        <w:tc>
          <w:tcPr>
            <w:tcW w:w="920" w:type="dxa"/>
            <w:vAlign w:val="bottom"/>
          </w:tcPr>
          <w:p>
            <w:pPr>
              <w:jc w:val="right"/>
              <w:ind w:right="72"/>
              <w:spacing w:after="0"/>
              <w:rPr>
                <w:sz w:val="20"/>
                <w:szCs w:val="20"/>
                <w:color w:val="auto"/>
              </w:rPr>
            </w:pPr>
            <w:r>
              <w:rPr>
                <w:rFonts w:ascii="Arial" w:cs="Arial" w:eastAsia="Arial" w:hAnsi="Arial"/>
                <w:sz w:val="10"/>
                <w:szCs w:val="10"/>
                <w:color w:val="auto"/>
              </w:rPr>
              <w:t>840</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jc w:val="right"/>
              <w:ind w:right="72"/>
              <w:spacing w:after="0"/>
              <w:rPr>
                <w:sz w:val="20"/>
                <w:szCs w:val="20"/>
                <w:color w:val="auto"/>
              </w:rPr>
            </w:pPr>
            <w:r>
              <w:rPr>
                <w:rFonts w:ascii="Arial" w:cs="Arial" w:eastAsia="Arial" w:hAnsi="Arial"/>
                <w:sz w:val="10"/>
                <w:szCs w:val="10"/>
                <w:color w:val="auto"/>
              </w:rPr>
              <w:t>865</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20" w:type="dxa"/>
            <w:vAlign w:val="bottom"/>
          </w:tcPr>
          <w:p>
            <w:pPr>
              <w:jc w:val="right"/>
              <w:spacing w:after="0"/>
              <w:rPr>
                <w:sz w:val="20"/>
                <w:szCs w:val="20"/>
                <w:color w:val="auto"/>
              </w:rPr>
            </w:pPr>
            <w:r>
              <w:rPr>
                <w:rFonts w:ascii="Arial" w:cs="Arial" w:eastAsia="Arial" w:hAnsi="Arial"/>
                <w:sz w:val="10"/>
                <w:szCs w:val="10"/>
                <w:color w:val="auto"/>
              </w:rPr>
              <w:t>3.41%</w:t>
            </w:r>
          </w:p>
        </w:tc>
        <w:tc>
          <w:tcPr>
            <w:tcW w:w="10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1%</w:t>
            </w: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tcPr>
          <w:p>
            <w:pPr>
              <w:jc w:val="right"/>
              <w:ind w:right="72"/>
              <w:spacing w:after="0"/>
              <w:rPr>
                <w:sz w:val="20"/>
                <w:szCs w:val="20"/>
                <w:color w:val="auto"/>
              </w:rPr>
            </w:pPr>
            <w:r>
              <w:rPr>
                <w:rFonts w:ascii="Arial" w:cs="Arial" w:eastAsia="Arial" w:hAnsi="Arial"/>
                <w:sz w:val="10"/>
                <w:szCs w:val="10"/>
                <w:color w:val="auto"/>
              </w:rPr>
              <w:t>973</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tcPr>
          <w:p>
            <w:pPr>
              <w:jc w:val="right"/>
              <w:ind w:right="52"/>
              <w:spacing w:after="0"/>
              <w:rPr>
                <w:sz w:val="20"/>
                <w:szCs w:val="20"/>
                <w:color w:val="auto"/>
              </w:rPr>
            </w:pPr>
            <w:r>
              <w:rPr>
                <w:rFonts w:ascii="Arial" w:cs="Arial" w:eastAsia="Arial" w:hAnsi="Arial"/>
                <w:sz w:val="10"/>
                <w:szCs w:val="10"/>
                <w:color w:val="auto"/>
              </w:rPr>
              <w:t>990</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3.40%</w:t>
            </w:r>
          </w:p>
        </w:tc>
        <w:tc>
          <w:tcPr>
            <w:tcW w:w="100" w:type="dxa"/>
            <w:vAlign w:val="bottom"/>
          </w:tcPr>
          <w:p>
            <w:pPr>
              <w:spacing w:after="0"/>
              <w:rPr>
                <w:sz w:val="15"/>
                <w:szCs w:val="15"/>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auto"/>
              </w:rPr>
              <w:t>2%</w:t>
            </w:r>
          </w:p>
        </w:tc>
      </w:tr>
      <w:tr>
        <w:trPr>
          <w:trHeight w:val="184"/>
        </w:trPr>
        <w:tc>
          <w:tcPr>
            <w:tcW w:w="3680" w:type="dxa"/>
            <w:vAlign w:val="bottom"/>
            <w:gridSpan w:val="2"/>
            <w:shd w:val="clear" w:color="auto" w:fill="CCEEFF"/>
          </w:tcPr>
          <w:p>
            <w:pPr>
              <w:ind w:left="180"/>
              <w:spacing w:after="0"/>
              <w:rPr>
                <w:sz w:val="20"/>
                <w:szCs w:val="20"/>
                <w:color w:val="auto"/>
              </w:rPr>
            </w:pPr>
            <w:r>
              <w:rPr>
                <w:rFonts w:ascii="Arial" w:cs="Arial" w:eastAsia="Arial" w:hAnsi="Arial"/>
                <w:sz w:val="10"/>
                <w:szCs w:val="10"/>
                <w:color w:val="auto"/>
              </w:rPr>
              <w:t>Interest-only strips</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142</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166</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5.22%</w:t>
            </w:r>
          </w:p>
        </w:tc>
        <w:tc>
          <w:tcPr>
            <w:tcW w:w="10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152</w:t>
            </w: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179</w:t>
            </w:r>
          </w:p>
        </w:tc>
        <w:tc>
          <w:tcPr>
            <w:tcW w:w="120" w:type="dxa"/>
            <w:vAlign w:val="bottom"/>
            <w:shd w:val="clear" w:color="auto" w:fill="CCEEFF"/>
          </w:tcPr>
          <w:p>
            <w:pPr>
              <w:spacing w:after="0"/>
              <w:rPr>
                <w:sz w:val="16"/>
                <w:szCs w:val="16"/>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5.28%</w:t>
            </w: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r>
      <w:tr>
        <w:trPr>
          <w:trHeight w:val="176"/>
        </w:trPr>
        <w:tc>
          <w:tcPr>
            <w:tcW w:w="3680" w:type="dxa"/>
            <w:vAlign w:val="bottom"/>
            <w:gridSpan w:val="2"/>
          </w:tcPr>
          <w:p>
            <w:pPr>
              <w:ind w:left="180"/>
              <w:spacing w:after="0"/>
              <w:rPr>
                <w:sz w:val="20"/>
                <w:szCs w:val="20"/>
                <w:color w:val="auto"/>
              </w:rPr>
            </w:pPr>
            <w:r>
              <w:rPr>
                <w:rFonts w:ascii="Arial" w:cs="Arial" w:eastAsia="Arial" w:hAnsi="Arial"/>
                <w:sz w:val="10"/>
                <w:szCs w:val="10"/>
                <w:color w:val="auto"/>
              </w:rPr>
              <w:t>Principal-only strips</w:t>
            </w:r>
          </w:p>
        </w:tc>
        <w:tc>
          <w:tcPr>
            <w:tcW w:w="120" w:type="dxa"/>
            <w:vAlign w:val="bottom"/>
          </w:tcPr>
          <w:p>
            <w:pPr>
              <w:spacing w:after="0"/>
              <w:rPr>
                <w:sz w:val="15"/>
                <w:szCs w:val="15"/>
                <w:color w:val="auto"/>
              </w:rPr>
            </w:pPr>
          </w:p>
        </w:tc>
        <w:tc>
          <w:tcPr>
            <w:tcW w:w="920" w:type="dxa"/>
            <w:vAlign w:val="bottom"/>
          </w:tcPr>
          <w:p>
            <w:pPr>
              <w:jc w:val="right"/>
              <w:ind w:right="72"/>
              <w:spacing w:after="0"/>
              <w:rPr>
                <w:sz w:val="20"/>
                <w:szCs w:val="20"/>
                <w:color w:val="auto"/>
              </w:rPr>
            </w:pPr>
            <w:r>
              <w:rPr>
                <w:rFonts w:ascii="Arial" w:cs="Arial" w:eastAsia="Arial" w:hAnsi="Arial"/>
                <w:sz w:val="10"/>
                <w:szCs w:val="10"/>
                <w:color w:val="auto"/>
              </w:rPr>
              <w:t>144</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jc w:val="right"/>
              <w:ind w:right="72"/>
              <w:spacing w:after="0"/>
              <w:rPr>
                <w:sz w:val="20"/>
                <w:szCs w:val="20"/>
                <w:color w:val="auto"/>
              </w:rPr>
            </w:pPr>
            <w:r>
              <w:rPr>
                <w:rFonts w:ascii="Arial" w:cs="Arial" w:eastAsia="Arial" w:hAnsi="Arial"/>
                <w:sz w:val="10"/>
                <w:szCs w:val="10"/>
                <w:color w:val="auto"/>
              </w:rPr>
              <w:t>161</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2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20" w:type="dxa"/>
            <w:vAlign w:val="bottom"/>
            <w:gridSpan w:val="2"/>
          </w:tcPr>
          <w:p>
            <w:pPr>
              <w:jc w:val="right"/>
              <w:ind w:right="26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5"/>
                <w:szCs w:val="15"/>
                <w:color w:val="auto"/>
              </w:rPr>
            </w:pPr>
          </w:p>
        </w:tc>
        <w:tc>
          <w:tcPr>
            <w:tcW w:w="900" w:type="dxa"/>
            <w:vAlign w:val="bottom"/>
          </w:tcPr>
          <w:p>
            <w:pPr>
              <w:jc w:val="right"/>
              <w:ind w:right="72"/>
              <w:spacing w:after="0"/>
              <w:rPr>
                <w:sz w:val="20"/>
                <w:szCs w:val="20"/>
                <w:color w:val="auto"/>
              </w:rPr>
            </w:pPr>
            <w:r>
              <w:rPr>
                <w:rFonts w:ascii="Arial" w:cs="Arial" w:eastAsia="Arial" w:hAnsi="Arial"/>
                <w:sz w:val="10"/>
                <w:szCs w:val="10"/>
                <w:color w:val="auto"/>
              </w:rPr>
              <w:t>165</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tcPr>
          <w:p>
            <w:pPr>
              <w:jc w:val="right"/>
              <w:ind w:right="52"/>
              <w:spacing w:after="0"/>
              <w:rPr>
                <w:sz w:val="20"/>
                <w:szCs w:val="20"/>
                <w:color w:val="auto"/>
              </w:rPr>
            </w:pPr>
            <w:r>
              <w:rPr>
                <w:rFonts w:ascii="Arial" w:cs="Arial" w:eastAsia="Arial" w:hAnsi="Arial"/>
                <w:sz w:val="10"/>
                <w:szCs w:val="10"/>
                <w:color w:val="auto"/>
              </w:rPr>
              <w:t>174</w:t>
            </w:r>
          </w:p>
        </w:tc>
        <w:tc>
          <w:tcPr>
            <w:tcW w:w="120" w:type="dxa"/>
            <w:vAlign w:val="bottom"/>
          </w:tcPr>
          <w:p>
            <w:pPr>
              <w:spacing w:after="0"/>
              <w:rPr>
                <w:sz w:val="15"/>
                <w:szCs w:val="15"/>
                <w:color w:val="auto"/>
              </w:rPr>
            </w:pPr>
          </w:p>
        </w:tc>
        <w:tc>
          <w:tcPr>
            <w:tcW w:w="10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580" w:type="dxa"/>
            <w:vAlign w:val="bottom"/>
          </w:tcPr>
          <w:p>
            <w:pPr>
              <w:jc w:val="right"/>
              <w:spacing w:after="0"/>
              <w:rPr>
                <w:sz w:val="20"/>
                <w:szCs w:val="20"/>
                <w:color w:val="auto"/>
              </w:rPr>
            </w:pPr>
            <w:r>
              <w:rPr>
                <w:rFonts w:ascii="Arial" w:cs="Arial" w:eastAsia="Arial" w:hAnsi="Arial"/>
                <w:sz w:val="10"/>
                <w:szCs w:val="10"/>
                <w:color w:val="auto"/>
              </w:rPr>
              <w:t>—%</w:t>
            </w:r>
          </w:p>
        </w:tc>
      </w:tr>
      <w:tr>
        <w:trPr>
          <w:trHeight w:val="160"/>
        </w:trPr>
        <w:tc>
          <w:tcPr>
            <w:tcW w:w="3680" w:type="dxa"/>
            <w:vAlign w:val="bottom"/>
            <w:tcBorders>
              <w:top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Total CMO agency securities</w:t>
            </w:r>
          </w:p>
        </w:tc>
        <w:tc>
          <w:tcPr>
            <w:tcW w:w="120" w:type="dxa"/>
            <w:vAlign w:val="bottom"/>
            <w:tcBorders>
              <w:top w:val="single" w:sz="8" w:color="auto"/>
              <w:bottom w:val="single" w:sz="8" w:color="auto"/>
            </w:tcBorders>
            <w:shd w:val="clear" w:color="auto" w:fill="CCEEFF"/>
          </w:tcPr>
          <w:p>
            <w:pPr>
              <w:spacing w:after="0"/>
              <w:rPr>
                <w:sz w:val="13"/>
                <w:szCs w:val="13"/>
                <w:color w:val="auto"/>
              </w:rPr>
            </w:pPr>
          </w:p>
        </w:tc>
        <w:tc>
          <w:tcPr>
            <w:tcW w:w="920" w:type="dxa"/>
            <w:vAlign w:val="bottom"/>
            <w:tcBorders>
              <w:top w:val="single" w:sz="8" w:color="auto"/>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1,126</w:t>
            </w:r>
          </w:p>
        </w:tc>
        <w:tc>
          <w:tcPr>
            <w:tcW w:w="120" w:type="dxa"/>
            <w:vAlign w:val="bottom"/>
            <w:tcBorders>
              <w:top w:val="single" w:sz="8" w:color="CCEEFF"/>
            </w:tcBorders>
            <w:shd w:val="clear" w:color="auto" w:fill="CCEEFF"/>
          </w:tcPr>
          <w:p>
            <w:pPr>
              <w:spacing w:after="0"/>
              <w:rPr>
                <w:sz w:val="13"/>
                <w:szCs w:val="13"/>
                <w:color w:val="auto"/>
              </w:rPr>
            </w:pPr>
          </w:p>
        </w:tc>
        <w:tc>
          <w:tcPr>
            <w:tcW w:w="160" w:type="dxa"/>
            <w:vAlign w:val="bottom"/>
            <w:tcBorders>
              <w:top w:val="single" w:sz="8" w:color="auto"/>
              <w:bottom w:val="single" w:sz="8" w:color="auto"/>
            </w:tcBorders>
            <w:shd w:val="clear" w:color="auto" w:fill="CCEEFF"/>
          </w:tcPr>
          <w:p>
            <w:pPr>
              <w:spacing w:after="0"/>
              <w:rPr>
                <w:sz w:val="13"/>
                <w:szCs w:val="13"/>
                <w:color w:val="auto"/>
              </w:rPr>
            </w:pPr>
          </w:p>
        </w:tc>
        <w:tc>
          <w:tcPr>
            <w:tcW w:w="760" w:type="dxa"/>
            <w:vAlign w:val="bottom"/>
            <w:tcBorders>
              <w:top w:val="single" w:sz="8" w:color="auto"/>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1,192</w:t>
            </w:r>
          </w:p>
        </w:tc>
        <w:tc>
          <w:tcPr>
            <w:tcW w:w="120" w:type="dxa"/>
            <w:vAlign w:val="bottom"/>
            <w:tcBorders>
              <w:top w:val="single" w:sz="8" w:color="CCEEFF"/>
            </w:tcBorders>
            <w:shd w:val="clear" w:color="auto" w:fill="CCEEFF"/>
          </w:tcPr>
          <w:p>
            <w:pPr>
              <w:spacing w:after="0"/>
              <w:rPr>
                <w:sz w:val="13"/>
                <w:szCs w:val="13"/>
                <w:color w:val="auto"/>
              </w:rPr>
            </w:pPr>
          </w:p>
        </w:tc>
        <w:tc>
          <w:tcPr>
            <w:tcW w:w="120" w:type="dxa"/>
            <w:vAlign w:val="bottom"/>
            <w:tcBorders>
              <w:top w:val="single" w:sz="8" w:color="auto"/>
              <w:bottom w:val="single" w:sz="8" w:color="auto"/>
            </w:tcBorders>
            <w:shd w:val="clear" w:color="auto" w:fill="CCEEFF"/>
          </w:tcPr>
          <w:p>
            <w:pPr>
              <w:spacing w:after="0"/>
              <w:rPr>
                <w:sz w:val="13"/>
                <w:szCs w:val="13"/>
                <w:color w:val="auto"/>
              </w:rPr>
            </w:pP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3.99%</w:t>
            </w:r>
          </w:p>
        </w:tc>
        <w:tc>
          <w:tcPr>
            <w:tcW w:w="100" w:type="dxa"/>
            <w:vAlign w:val="bottom"/>
            <w:tcBorders>
              <w:top w:val="single" w:sz="8" w:color="CCEEFF"/>
            </w:tcBorders>
            <w:shd w:val="clear" w:color="auto" w:fill="CCEEFF"/>
          </w:tcPr>
          <w:p>
            <w:pPr>
              <w:spacing w:after="0"/>
              <w:rPr>
                <w:sz w:val="13"/>
                <w:szCs w:val="13"/>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w:t>
            </w:r>
          </w:p>
        </w:tc>
        <w:tc>
          <w:tcPr>
            <w:tcW w:w="220" w:type="dxa"/>
            <w:vAlign w:val="bottom"/>
            <w:tcBorders>
              <w:top w:val="single" w:sz="8" w:color="CCEEFF"/>
            </w:tcBorders>
            <w:shd w:val="clear" w:color="auto" w:fill="CCEEFF"/>
          </w:tcPr>
          <w:p>
            <w:pPr>
              <w:spacing w:after="0"/>
              <w:rPr>
                <w:sz w:val="13"/>
                <w:szCs w:val="13"/>
                <w:color w:val="auto"/>
              </w:rPr>
            </w:pPr>
          </w:p>
        </w:tc>
        <w:tc>
          <w:tcPr>
            <w:tcW w:w="140" w:type="dxa"/>
            <w:vAlign w:val="bottom"/>
            <w:tcBorders>
              <w:top w:val="single" w:sz="8" w:color="auto"/>
              <w:bottom w:val="single" w:sz="8" w:color="auto"/>
            </w:tcBorders>
            <w:shd w:val="clear" w:color="auto" w:fill="CCEEFF"/>
          </w:tcPr>
          <w:p>
            <w:pPr>
              <w:spacing w:after="0"/>
              <w:rPr>
                <w:sz w:val="13"/>
                <w:szCs w:val="13"/>
                <w:color w:val="auto"/>
              </w:rPr>
            </w:pPr>
          </w:p>
        </w:tc>
        <w:tc>
          <w:tcPr>
            <w:tcW w:w="900" w:type="dxa"/>
            <w:vAlign w:val="bottom"/>
            <w:tcBorders>
              <w:top w:val="single" w:sz="8" w:color="auto"/>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1,290</w:t>
            </w:r>
          </w:p>
        </w:tc>
        <w:tc>
          <w:tcPr>
            <w:tcW w:w="100" w:type="dxa"/>
            <w:vAlign w:val="bottom"/>
            <w:tcBorders>
              <w:top w:val="single" w:sz="8" w:color="CCEEFF"/>
            </w:tcBorders>
            <w:shd w:val="clear" w:color="auto" w:fill="CCEEFF"/>
          </w:tcPr>
          <w:p>
            <w:pPr>
              <w:spacing w:after="0"/>
              <w:rPr>
                <w:sz w:val="13"/>
                <w:szCs w:val="13"/>
                <w:color w:val="auto"/>
              </w:rPr>
            </w:pPr>
          </w:p>
        </w:tc>
        <w:tc>
          <w:tcPr>
            <w:tcW w:w="160" w:type="dxa"/>
            <w:vAlign w:val="bottom"/>
            <w:tcBorders>
              <w:top w:val="single" w:sz="8" w:color="auto"/>
              <w:bottom w:val="single" w:sz="8" w:color="auto"/>
            </w:tcBorders>
            <w:shd w:val="clear" w:color="auto" w:fill="CCEEFF"/>
          </w:tcPr>
          <w:p>
            <w:pPr>
              <w:spacing w:after="0"/>
              <w:rPr>
                <w:sz w:val="13"/>
                <w:szCs w:val="13"/>
                <w:color w:val="auto"/>
              </w:rPr>
            </w:pPr>
          </w:p>
        </w:tc>
        <w:tc>
          <w:tcPr>
            <w:tcW w:w="74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1,343</w:t>
            </w:r>
          </w:p>
        </w:tc>
        <w:tc>
          <w:tcPr>
            <w:tcW w:w="120" w:type="dxa"/>
            <w:vAlign w:val="bottom"/>
            <w:tcBorders>
              <w:top w:val="single" w:sz="8" w:color="CCEEFF"/>
            </w:tcBorders>
            <w:shd w:val="clear" w:color="auto" w:fill="CCEEFF"/>
          </w:tcPr>
          <w:p>
            <w:pPr>
              <w:spacing w:after="0"/>
              <w:rPr>
                <w:sz w:val="13"/>
                <w:szCs w:val="13"/>
                <w:color w:val="auto"/>
              </w:rPr>
            </w:pP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3.97%</w:t>
            </w:r>
          </w:p>
        </w:tc>
        <w:tc>
          <w:tcPr>
            <w:tcW w:w="100" w:type="dxa"/>
            <w:vAlign w:val="bottom"/>
            <w:tcBorders>
              <w:top w:val="single" w:sz="8" w:color="CCEEFF"/>
            </w:tcBorders>
            <w:shd w:val="clear" w:color="auto" w:fill="CCEEFF"/>
          </w:tcPr>
          <w:p>
            <w:pPr>
              <w:spacing w:after="0"/>
              <w:rPr>
                <w:sz w:val="13"/>
                <w:szCs w:val="13"/>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w:t>
            </w:r>
          </w:p>
        </w:tc>
      </w:tr>
      <w:tr>
        <w:trPr>
          <w:trHeight w:val="160"/>
        </w:trPr>
        <w:tc>
          <w:tcPr>
            <w:tcW w:w="3680" w:type="dxa"/>
            <w:vAlign w:val="bottom"/>
            <w:gridSpan w:val="2"/>
          </w:tcPr>
          <w:p>
            <w:pPr>
              <w:ind w:left="20"/>
              <w:spacing w:after="0"/>
              <w:rPr>
                <w:sz w:val="20"/>
                <w:szCs w:val="20"/>
                <w:color w:val="auto"/>
              </w:rPr>
            </w:pPr>
            <w:r>
              <w:rPr>
                <w:rFonts w:ascii="Arial" w:cs="Arial" w:eastAsia="Arial" w:hAnsi="Arial"/>
                <w:sz w:val="10"/>
                <w:szCs w:val="10"/>
                <w:color w:val="auto"/>
              </w:rPr>
              <w:t>Total agency MBS and TBA securities</w:t>
            </w:r>
          </w:p>
        </w:tc>
        <w:tc>
          <w:tcPr>
            <w:tcW w:w="120" w:type="dxa"/>
            <w:vAlign w:val="bottom"/>
          </w:tcPr>
          <w:p>
            <w:pPr>
              <w:spacing w:after="0"/>
              <w:rPr>
                <w:sz w:val="13"/>
                <w:szCs w:val="13"/>
                <w:color w:val="auto"/>
              </w:rPr>
            </w:pPr>
          </w:p>
        </w:tc>
        <w:tc>
          <w:tcPr>
            <w:tcW w:w="920" w:type="dxa"/>
            <w:vAlign w:val="bottom"/>
          </w:tcPr>
          <w:p>
            <w:pPr>
              <w:jc w:val="right"/>
              <w:ind w:right="72"/>
              <w:spacing w:after="0"/>
              <w:rPr>
                <w:sz w:val="20"/>
                <w:szCs w:val="20"/>
                <w:color w:val="auto"/>
              </w:rPr>
            </w:pPr>
            <w:r>
              <w:rPr>
                <w:rFonts w:ascii="Arial" w:cs="Arial" w:eastAsia="Arial" w:hAnsi="Arial"/>
                <w:sz w:val="10"/>
                <w:szCs w:val="10"/>
                <w:color w:val="auto"/>
              </w:rPr>
              <w:t>61,710</w:t>
            </w:r>
          </w:p>
        </w:tc>
        <w:tc>
          <w:tcPr>
            <w:tcW w:w="1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60" w:type="dxa"/>
            <w:vAlign w:val="bottom"/>
          </w:tcPr>
          <w:p>
            <w:pPr>
              <w:jc w:val="right"/>
              <w:ind w:right="72"/>
              <w:spacing w:after="0"/>
              <w:rPr>
                <w:sz w:val="20"/>
                <w:szCs w:val="20"/>
                <w:color w:val="auto"/>
              </w:rPr>
            </w:pPr>
            <w:r>
              <w:rPr>
                <w:rFonts w:ascii="Arial" w:cs="Arial" w:eastAsia="Arial" w:hAnsi="Arial"/>
                <w:sz w:val="10"/>
                <w:szCs w:val="10"/>
                <w:color w:val="auto"/>
              </w:rPr>
              <w:t>62,804</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20" w:type="dxa"/>
            <w:vAlign w:val="bottom"/>
          </w:tcPr>
          <w:p>
            <w:pPr>
              <w:jc w:val="right"/>
              <w:spacing w:after="0"/>
              <w:rPr>
                <w:sz w:val="20"/>
                <w:szCs w:val="20"/>
                <w:color w:val="auto"/>
              </w:rPr>
            </w:pPr>
            <w:r>
              <w:rPr>
                <w:rFonts w:ascii="Arial" w:cs="Arial" w:eastAsia="Arial" w:hAnsi="Arial"/>
                <w:sz w:val="10"/>
                <w:szCs w:val="10"/>
                <w:color w:val="auto"/>
              </w:rPr>
              <w:t>3.48%</w:t>
            </w:r>
          </w:p>
        </w:tc>
        <w:tc>
          <w:tcPr>
            <w:tcW w:w="10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100%</w:t>
            </w:r>
          </w:p>
        </w:tc>
        <w:tc>
          <w:tcPr>
            <w:tcW w:w="2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00" w:type="dxa"/>
            <w:vAlign w:val="bottom"/>
          </w:tcPr>
          <w:p>
            <w:pPr>
              <w:jc w:val="right"/>
              <w:ind w:right="72"/>
              <w:spacing w:after="0"/>
              <w:rPr>
                <w:sz w:val="20"/>
                <w:szCs w:val="20"/>
                <w:color w:val="auto"/>
              </w:rPr>
            </w:pPr>
            <w:r>
              <w:rPr>
                <w:rFonts w:ascii="Arial" w:cs="Arial" w:eastAsia="Arial" w:hAnsi="Arial"/>
                <w:sz w:val="10"/>
                <w:szCs w:val="10"/>
                <w:color w:val="auto"/>
              </w:rPr>
              <w:t>59,780</w:t>
            </w: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40" w:type="dxa"/>
            <w:vAlign w:val="bottom"/>
          </w:tcPr>
          <w:p>
            <w:pPr>
              <w:jc w:val="right"/>
              <w:ind w:right="52"/>
              <w:spacing w:after="0"/>
              <w:rPr>
                <w:sz w:val="20"/>
                <w:szCs w:val="20"/>
                <w:color w:val="auto"/>
              </w:rPr>
            </w:pPr>
            <w:r>
              <w:rPr>
                <w:rFonts w:ascii="Arial" w:cs="Arial" w:eastAsia="Arial" w:hAnsi="Arial"/>
                <w:sz w:val="10"/>
                <w:szCs w:val="10"/>
                <w:color w:val="auto"/>
              </w:rPr>
              <w:t>59,804</w:t>
            </w:r>
          </w:p>
        </w:tc>
        <w:tc>
          <w:tcPr>
            <w:tcW w:w="120" w:type="dxa"/>
            <w:vAlign w:val="bottom"/>
          </w:tcPr>
          <w:p>
            <w:pPr>
              <w:spacing w:after="0"/>
              <w:rPr>
                <w:sz w:val="13"/>
                <w:szCs w:val="13"/>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3.53%</w:t>
            </w:r>
          </w:p>
        </w:tc>
        <w:tc>
          <w:tcPr>
            <w:tcW w:w="100" w:type="dxa"/>
            <w:vAlign w:val="bottom"/>
          </w:tcPr>
          <w:p>
            <w:pPr>
              <w:spacing w:after="0"/>
              <w:rPr>
                <w:sz w:val="13"/>
                <w:szCs w:val="13"/>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auto"/>
              </w:rPr>
              <w:t>100%</w:t>
            </w:r>
          </w:p>
        </w:tc>
      </w:tr>
      <w:tr>
        <w:trPr>
          <w:trHeight w:val="184"/>
        </w:trPr>
        <w:tc>
          <w:tcPr>
            <w:tcW w:w="36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AAA non-agency securities</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100</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102</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3.50%</w:t>
            </w:r>
          </w:p>
        </w:tc>
        <w:tc>
          <w:tcPr>
            <w:tcW w:w="10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6"/>
                <w:szCs w:val="16"/>
                <w:color w:val="auto"/>
              </w:rPr>
            </w:pPr>
          </w:p>
        </w:tc>
        <w:tc>
          <w:tcPr>
            <w:tcW w:w="9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114</w:t>
            </w: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113</w:t>
            </w:r>
          </w:p>
        </w:tc>
        <w:tc>
          <w:tcPr>
            <w:tcW w:w="120" w:type="dxa"/>
            <w:vAlign w:val="bottom"/>
            <w:shd w:val="clear" w:color="auto" w:fill="CCEEFF"/>
          </w:tcPr>
          <w:p>
            <w:pPr>
              <w:spacing w:after="0"/>
              <w:rPr>
                <w:sz w:val="16"/>
                <w:szCs w:val="16"/>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3.50%</w:t>
            </w: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r>
      <w:tr>
        <w:trPr>
          <w:trHeight w:val="176"/>
        </w:trPr>
        <w:tc>
          <w:tcPr>
            <w:tcW w:w="3680" w:type="dxa"/>
            <w:vAlign w:val="bottom"/>
            <w:gridSpan w:val="2"/>
          </w:tcPr>
          <w:p>
            <w:pPr>
              <w:ind w:left="20"/>
              <w:spacing w:after="0"/>
              <w:rPr>
                <w:sz w:val="20"/>
                <w:szCs w:val="20"/>
                <w:color w:val="auto"/>
              </w:rPr>
            </w:pPr>
            <w:r>
              <w:rPr>
                <w:rFonts w:ascii="Arial" w:cs="Arial" w:eastAsia="Arial" w:hAnsi="Arial"/>
                <w:sz w:val="10"/>
                <w:szCs w:val="10"/>
                <w:color w:val="auto"/>
              </w:rPr>
              <w:t>GSE credit risk transfer securities</w:t>
            </w:r>
          </w:p>
        </w:tc>
        <w:tc>
          <w:tcPr>
            <w:tcW w:w="120" w:type="dxa"/>
            <w:vAlign w:val="bottom"/>
          </w:tcPr>
          <w:p>
            <w:pPr>
              <w:spacing w:after="0"/>
              <w:rPr>
                <w:sz w:val="15"/>
                <w:szCs w:val="15"/>
                <w:color w:val="auto"/>
              </w:rPr>
            </w:pPr>
          </w:p>
        </w:tc>
        <w:tc>
          <w:tcPr>
            <w:tcW w:w="920" w:type="dxa"/>
            <w:vAlign w:val="bottom"/>
          </w:tcPr>
          <w:p>
            <w:pPr>
              <w:jc w:val="right"/>
              <w:ind w:right="72"/>
              <w:spacing w:after="0"/>
              <w:rPr>
                <w:sz w:val="20"/>
                <w:szCs w:val="20"/>
                <w:color w:val="auto"/>
              </w:rPr>
            </w:pPr>
            <w:r>
              <w:rPr>
                <w:rFonts w:ascii="Arial" w:cs="Arial" w:eastAsia="Arial" w:hAnsi="Arial"/>
                <w:sz w:val="10"/>
                <w:szCs w:val="10"/>
                <w:color w:val="auto"/>
              </w:rPr>
              <w:t>36</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tcPr>
          <w:p>
            <w:pPr>
              <w:jc w:val="right"/>
              <w:ind w:right="72"/>
              <w:spacing w:after="0"/>
              <w:rPr>
                <w:sz w:val="20"/>
                <w:szCs w:val="20"/>
                <w:color w:val="auto"/>
              </w:rPr>
            </w:pPr>
            <w:r>
              <w:rPr>
                <w:rFonts w:ascii="Arial" w:cs="Arial" w:eastAsia="Arial" w:hAnsi="Arial"/>
                <w:sz w:val="10"/>
                <w:szCs w:val="10"/>
                <w:color w:val="auto"/>
              </w:rPr>
              <w:t>36</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20" w:type="dxa"/>
            <w:vAlign w:val="bottom"/>
          </w:tcPr>
          <w:p>
            <w:pPr>
              <w:jc w:val="right"/>
              <w:spacing w:after="0"/>
              <w:rPr>
                <w:sz w:val="20"/>
                <w:szCs w:val="20"/>
                <w:color w:val="auto"/>
              </w:rPr>
            </w:pPr>
            <w:r>
              <w:rPr>
                <w:rFonts w:ascii="Arial" w:cs="Arial" w:eastAsia="Arial" w:hAnsi="Arial"/>
                <w:sz w:val="10"/>
                <w:szCs w:val="10"/>
                <w:color w:val="auto"/>
              </w:rPr>
              <w:t>4.91%</w:t>
            </w:r>
          </w:p>
        </w:tc>
        <w:tc>
          <w:tcPr>
            <w:tcW w:w="100" w:type="dxa"/>
            <w:vAlign w:val="bottom"/>
          </w:tcPr>
          <w:p>
            <w:pPr>
              <w:spacing w:after="0"/>
              <w:rPr>
                <w:sz w:val="15"/>
                <w:szCs w:val="15"/>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5"/>
                <w:szCs w:val="15"/>
                <w:color w:val="auto"/>
              </w:rPr>
            </w:pPr>
          </w:p>
        </w:tc>
        <w:tc>
          <w:tcPr>
            <w:tcW w:w="100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5"/>
                <w:szCs w:val="15"/>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580" w:type="dxa"/>
            <w:vAlign w:val="bottom"/>
          </w:tcPr>
          <w:p>
            <w:pPr>
              <w:jc w:val="right"/>
              <w:spacing w:after="0"/>
              <w:rPr>
                <w:sz w:val="20"/>
                <w:szCs w:val="20"/>
                <w:color w:val="auto"/>
              </w:rPr>
            </w:pPr>
            <w:r>
              <w:rPr>
                <w:rFonts w:ascii="Arial" w:cs="Arial" w:eastAsia="Arial" w:hAnsi="Arial"/>
                <w:sz w:val="10"/>
                <w:szCs w:val="10"/>
                <w:color w:val="auto"/>
              </w:rPr>
              <w:t>—%</w:t>
            </w:r>
          </w:p>
        </w:tc>
      </w:tr>
      <w:tr>
        <w:trPr>
          <w:trHeight w:val="175"/>
        </w:trPr>
        <w:tc>
          <w:tcPr>
            <w:tcW w:w="3680" w:type="dxa"/>
            <w:vAlign w:val="bottom"/>
            <w:tcBorders>
              <w:top w:val="single" w:sz="8" w:color="CCEEFF"/>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Total investment portfolio</w:t>
            </w:r>
          </w:p>
        </w:tc>
        <w:tc>
          <w:tcPr>
            <w:tcW w:w="12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920" w:type="dxa"/>
            <w:vAlign w:val="bottom"/>
            <w:tcBorders>
              <w:top w:val="single" w:sz="8" w:color="auto"/>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61,846</w:t>
            </w:r>
          </w:p>
        </w:tc>
        <w:tc>
          <w:tcPr>
            <w:tcW w:w="120" w:type="dxa"/>
            <w:vAlign w:val="bottom"/>
            <w:tcBorders>
              <w:top w:val="single" w:sz="8" w:color="CCEEFF"/>
              <w:bottom w:val="single" w:sz="8" w:color="CCEEFF"/>
            </w:tcBorders>
            <w:shd w:val="clear" w:color="auto" w:fill="CCEEFF"/>
          </w:tcPr>
          <w:p>
            <w:pPr>
              <w:spacing w:after="0"/>
              <w:rPr>
                <w:sz w:val="15"/>
                <w:szCs w:val="15"/>
                <w:color w:val="auto"/>
              </w:rPr>
            </w:pP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62,942</w:t>
            </w:r>
          </w:p>
        </w:tc>
        <w:tc>
          <w:tcPr>
            <w:tcW w:w="120" w:type="dxa"/>
            <w:vAlign w:val="bottom"/>
            <w:tcBorders>
              <w:top w:val="single" w:sz="8" w:color="CCEEFF"/>
              <w:bottom w:val="single" w:sz="8" w:color="CCEEFF"/>
            </w:tcBorders>
            <w:shd w:val="clear" w:color="auto" w:fill="CCEEFF"/>
          </w:tcPr>
          <w:p>
            <w:pPr>
              <w:spacing w:after="0"/>
              <w:rPr>
                <w:sz w:val="15"/>
                <w:szCs w:val="15"/>
                <w:color w:val="auto"/>
              </w:rPr>
            </w:pPr>
          </w:p>
        </w:tc>
        <w:tc>
          <w:tcPr>
            <w:tcW w:w="120" w:type="dxa"/>
            <w:vAlign w:val="bottom"/>
            <w:tcBorders>
              <w:top w:val="single" w:sz="8" w:color="auto"/>
              <w:bottom w:val="single" w:sz="8" w:color="auto"/>
            </w:tcBorders>
            <w:shd w:val="clear" w:color="auto" w:fill="CCEEFF"/>
          </w:tcPr>
          <w:p>
            <w:pPr>
              <w:spacing w:after="0"/>
              <w:rPr>
                <w:sz w:val="15"/>
                <w:szCs w:val="15"/>
                <w:color w:val="auto"/>
              </w:rPr>
            </w:pP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3.48%</w:t>
            </w:r>
          </w:p>
        </w:tc>
        <w:tc>
          <w:tcPr>
            <w:tcW w:w="100" w:type="dxa"/>
            <w:vAlign w:val="bottom"/>
            <w:tcBorders>
              <w:top w:val="single" w:sz="8" w:color="CCEEFF"/>
              <w:bottom w:val="single" w:sz="8" w:color="CCEEFF"/>
            </w:tcBorders>
            <w:shd w:val="clear" w:color="auto" w:fill="CCEEFF"/>
          </w:tcPr>
          <w:p>
            <w:pPr>
              <w:spacing w:after="0"/>
              <w:rPr>
                <w:sz w:val="15"/>
                <w:szCs w:val="15"/>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100%</w:t>
            </w:r>
          </w:p>
        </w:tc>
        <w:tc>
          <w:tcPr>
            <w:tcW w:w="220" w:type="dxa"/>
            <w:vAlign w:val="bottom"/>
            <w:tcBorders>
              <w:top w:val="single" w:sz="8" w:color="CCEEFF"/>
              <w:bottom w:val="single" w:sz="8" w:color="CCEEFF"/>
            </w:tcBorders>
            <w:shd w:val="clear" w:color="auto" w:fill="CCEEFF"/>
          </w:tcPr>
          <w:p>
            <w:pPr>
              <w:spacing w:after="0"/>
              <w:rPr>
                <w:sz w:val="15"/>
                <w:szCs w:val="15"/>
                <w:color w:val="auto"/>
              </w:rPr>
            </w:pPr>
          </w:p>
        </w:tc>
        <w:tc>
          <w:tcPr>
            <w:tcW w:w="14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900" w:type="dxa"/>
            <w:vAlign w:val="bottom"/>
            <w:tcBorders>
              <w:top w:val="single" w:sz="8" w:color="auto"/>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59,894</w:t>
            </w:r>
          </w:p>
        </w:tc>
        <w:tc>
          <w:tcPr>
            <w:tcW w:w="100" w:type="dxa"/>
            <w:vAlign w:val="bottom"/>
            <w:tcBorders>
              <w:top w:val="single" w:sz="8" w:color="CCEEFF"/>
              <w:bottom w:val="single" w:sz="8" w:color="CCEEFF"/>
            </w:tcBorders>
            <w:shd w:val="clear" w:color="auto" w:fill="CCEEFF"/>
          </w:tcPr>
          <w:p>
            <w:pPr>
              <w:spacing w:after="0"/>
              <w:rPr>
                <w:sz w:val="15"/>
                <w:szCs w:val="15"/>
                <w:color w:val="auto"/>
              </w:rPr>
            </w:pP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59,917</w:t>
            </w:r>
          </w:p>
        </w:tc>
        <w:tc>
          <w:tcPr>
            <w:tcW w:w="120" w:type="dxa"/>
            <w:vAlign w:val="bottom"/>
            <w:tcBorders>
              <w:top w:val="single" w:sz="8" w:color="CCEEFF"/>
              <w:bottom w:val="single" w:sz="8" w:color="CCEEFF"/>
            </w:tcBorders>
            <w:shd w:val="clear" w:color="auto" w:fill="CCEEFF"/>
          </w:tcPr>
          <w:p>
            <w:pPr>
              <w:spacing w:after="0"/>
              <w:rPr>
                <w:sz w:val="15"/>
                <w:szCs w:val="15"/>
                <w:color w:val="auto"/>
              </w:rPr>
            </w:pP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3.53%</w:t>
            </w:r>
          </w:p>
        </w:tc>
        <w:tc>
          <w:tcPr>
            <w:tcW w:w="100" w:type="dxa"/>
            <w:vAlign w:val="bottom"/>
            <w:tcBorders>
              <w:top w:val="single" w:sz="8" w:color="CCEEFF"/>
              <w:bottom w:val="single" w:sz="8" w:color="CCEEFF"/>
            </w:tcBorders>
            <w:shd w:val="clear" w:color="auto" w:fill="CCEEFF"/>
          </w:tcPr>
          <w:p>
            <w:pPr>
              <w:spacing w:after="0"/>
              <w:rPr>
                <w:sz w:val="15"/>
                <w:szCs w:val="15"/>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100%</w:t>
            </w:r>
          </w:p>
        </w:tc>
      </w:tr>
      <w:tr>
        <w:trPr>
          <w:trHeight w:val="127"/>
        </w:trPr>
        <w:tc>
          <w:tcPr>
            <w:tcW w:w="3440" w:type="dxa"/>
            <w:vAlign w:val="bottom"/>
          </w:tcPr>
          <w:p>
            <w:pPr>
              <w:spacing w:after="0" w:line="127" w:lineRule="exact"/>
              <w:rPr>
                <w:sz w:val="20"/>
                <w:szCs w:val="20"/>
                <w:color w:val="auto"/>
              </w:rPr>
            </w:pPr>
            <w:r>
              <w:rPr>
                <w:rFonts w:ascii="Arial" w:cs="Arial" w:eastAsia="Arial" w:hAnsi="Arial"/>
                <w:sz w:val="12"/>
                <w:szCs w:val="12"/>
                <w:color w:val="auto"/>
              </w:rPr>
              <w:t>_______________________</w:t>
            </w:r>
          </w:p>
        </w:tc>
        <w:tc>
          <w:tcPr>
            <w:tcW w:w="2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r>
    </w:tbl>
    <w:p>
      <w:pPr>
        <w:ind w:left="420" w:hanging="212"/>
        <w:spacing w:after="0" w:line="236" w:lineRule="auto"/>
        <w:tabs>
          <w:tab w:leader="none" w:pos="420" w:val="left"/>
        </w:tabs>
        <w:numPr>
          <w:ilvl w:val="0"/>
          <w:numId w:val="21"/>
        </w:numPr>
        <w:rPr>
          <w:rFonts w:ascii="Arial" w:cs="Arial" w:eastAsia="Arial" w:hAnsi="Arial"/>
          <w:sz w:val="10"/>
          <w:szCs w:val="10"/>
          <w:color w:val="auto"/>
        </w:rPr>
      </w:pPr>
      <w:r>
        <w:rPr>
          <w:rFonts w:ascii="Arial" w:cs="Arial" w:eastAsia="Arial" w:hAnsi="Arial"/>
          <w:sz w:val="10"/>
          <w:szCs w:val="10"/>
          <w:color w:val="auto"/>
        </w:rPr>
        <w:t>Includes $2.6 billion of forward purchases of agency MBS specified pools as of September 30, 2016</w:t>
      </w:r>
    </w:p>
    <w:p>
      <w:pPr>
        <w:spacing w:after="0" w:line="99" w:lineRule="exact"/>
        <w:rPr>
          <w:sz w:val="20"/>
          <w:szCs w:val="20"/>
          <w:color w:val="auto"/>
        </w:rPr>
      </w:pPr>
    </w:p>
    <w:p>
      <w:pPr>
        <w:jc w:val="both"/>
        <w:ind w:firstLine="288"/>
        <w:spacing w:after="0" w:line="298" w:lineRule="auto"/>
        <w:rPr>
          <w:sz w:val="20"/>
          <w:szCs w:val="20"/>
          <w:color w:val="auto"/>
        </w:rPr>
      </w:pPr>
      <w:r>
        <w:rPr>
          <w:rFonts w:ascii="Arial" w:cs="Arial" w:eastAsia="Arial" w:hAnsi="Arial"/>
          <w:sz w:val="11"/>
          <w:szCs w:val="11"/>
          <w:color w:val="auto"/>
        </w:rPr>
        <w:t>Our TBA positions are recorded as derivative instruments in our accompanying consolidated financial statements, with the TBA dollar roll transactions representing a form of off-balance sheet financing. As of September 30, 2016 and December 31, 2015, our TBA position had a net carrying value of $46 million and $14 million, respectively, reported in derivative assets/(liabilities) on our accompanying consolidated balance sheets. The net carrying value represents the difference between the fair value of the underlying agency security in the TBA contract and the cost basis or the forward price to be paid or received for the underlying agency security.</w:t>
      </w:r>
    </w:p>
    <w:p>
      <w:pPr>
        <w:spacing w:after="0" w:line="12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33</w:t>
      </w:r>
    </w:p>
    <w:p>
      <w:pPr>
        <w:sectPr>
          <w:pgSz w:w="11900" w:h="16838" w:orient="portrait"/>
          <w:cols w:equalWidth="0" w:num="1">
            <w:col w:w="11480"/>
          </w:cols>
          <w:pgMar w:left="220" w:top="541" w:right="199" w:bottom="1440" w:gutter="0" w:footer="0" w:header="0"/>
        </w:sectPr>
      </w:pPr>
    </w:p>
    <w:bookmarkStart w:id="34" w:name="page35"/>
    <w:bookmarkEnd w:id="34"/>
    <w:p>
      <w:pPr>
        <w:ind w:left="280"/>
        <w:spacing w:after="0"/>
        <w:rPr>
          <w:sz w:val="20"/>
          <w:szCs w:val="20"/>
          <w:color w:val="auto"/>
        </w:rPr>
      </w:pPr>
      <w:r>
        <w:rPr>
          <w:rFonts w:ascii="Arial" w:cs="Arial" w:eastAsia="Arial" w:hAnsi="Arial"/>
          <w:sz w:val="12"/>
          <w:szCs w:val="12"/>
          <w:color w:val="auto"/>
        </w:rPr>
        <w:t>The following tables summarize certain characteristics of our agency MBS fixed rate portfolio, inclusive of our net TBA position, as of September 30, 2016 and December 31, 2015 (dollars in millions):</w:t>
      </w: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128"/>
        </w:trPr>
        <w:tc>
          <w:tcPr>
            <w:tcW w:w="2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1360" w:type="dxa"/>
            <w:vAlign w:val="bottom"/>
            <w:tcBorders>
              <w:bottom w:val="single" w:sz="8" w:color="auto"/>
            </w:tcBorders>
            <w:gridSpan w:val="3"/>
          </w:tcPr>
          <w:p>
            <w:pPr>
              <w:ind w:left="180"/>
              <w:spacing w:after="0"/>
              <w:rPr>
                <w:sz w:val="20"/>
                <w:szCs w:val="20"/>
                <w:color w:val="auto"/>
              </w:rPr>
            </w:pPr>
            <w:r>
              <w:rPr>
                <w:rFonts w:ascii="Arial" w:cs="Arial" w:eastAsia="Arial" w:hAnsi="Arial"/>
                <w:sz w:val="10"/>
                <w:szCs w:val="10"/>
                <w:b w:val="1"/>
                <w:bCs w:val="1"/>
                <w:color w:val="auto"/>
              </w:rPr>
              <w:t>September 30, 2016</w:t>
            </w:r>
          </w:p>
        </w:tc>
        <w:tc>
          <w:tcPr>
            <w:tcW w:w="6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69"/>
        </w:trPr>
        <w:tc>
          <w:tcPr>
            <w:tcW w:w="2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900" w:type="dxa"/>
            <w:vAlign w:val="bottom"/>
            <w:tcBorders>
              <w:bottom w:val="single" w:sz="8" w:color="auto"/>
            </w:tcBorders>
            <w:gridSpan w:val="5"/>
          </w:tcPr>
          <w:p>
            <w:pPr>
              <w:ind w:left="320"/>
              <w:spacing w:after="0"/>
              <w:rPr>
                <w:sz w:val="20"/>
                <w:szCs w:val="20"/>
                <w:color w:val="auto"/>
              </w:rPr>
            </w:pPr>
            <w:r>
              <w:rPr>
                <w:rFonts w:ascii="Arial" w:cs="Arial" w:eastAsia="Arial" w:hAnsi="Arial"/>
                <w:sz w:val="10"/>
                <w:szCs w:val="10"/>
                <w:b w:val="1"/>
                <w:bCs w:val="1"/>
                <w:color w:val="auto"/>
              </w:rPr>
              <w:t>Includes Net TBA Position</w:t>
            </w:r>
          </w:p>
        </w:tc>
        <w:tc>
          <w:tcPr>
            <w:tcW w:w="92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gridSpan w:val="4"/>
          </w:tcPr>
          <w:p>
            <w:pPr>
              <w:ind w:left="60"/>
              <w:spacing w:after="0"/>
              <w:rPr>
                <w:sz w:val="20"/>
                <w:szCs w:val="20"/>
                <w:color w:val="auto"/>
              </w:rPr>
            </w:pPr>
            <w:r>
              <w:rPr>
                <w:rFonts w:ascii="Arial" w:cs="Arial" w:eastAsia="Arial" w:hAnsi="Arial"/>
                <w:sz w:val="10"/>
                <w:szCs w:val="10"/>
                <w:b w:val="1"/>
                <w:bCs w:val="1"/>
                <w:color w:val="auto"/>
                <w:w w:val="87"/>
              </w:rPr>
              <w:t>Excludes Net TBA Position</w:t>
            </w:r>
          </w:p>
        </w:tc>
        <w:tc>
          <w:tcPr>
            <w:tcW w:w="8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60" w:type="dxa"/>
            <w:vAlign w:val="bottom"/>
            <w:gridSpan w:val="2"/>
            <w:vMerge w:val="restart"/>
          </w:tcPr>
          <w:p>
            <w:pPr>
              <w:ind w:left="120"/>
              <w:spacing w:after="0"/>
              <w:rPr>
                <w:sz w:val="20"/>
                <w:szCs w:val="20"/>
                <w:color w:val="auto"/>
              </w:rPr>
            </w:pPr>
            <w:r>
              <w:rPr>
                <w:rFonts w:ascii="Arial" w:cs="Arial" w:eastAsia="Arial" w:hAnsi="Arial"/>
                <w:sz w:val="10"/>
                <w:szCs w:val="10"/>
                <w:b w:val="1"/>
                <w:bCs w:val="1"/>
                <w:color w:val="auto"/>
              </w:rPr>
              <w:t>Amortized</w:t>
            </w:r>
          </w:p>
        </w:tc>
        <w:tc>
          <w:tcPr>
            <w:tcW w:w="1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vMerge w:val="restart"/>
          </w:tcPr>
          <w:p>
            <w:pPr>
              <w:jc w:val="center"/>
              <w:spacing w:after="0"/>
              <w:rPr>
                <w:sz w:val="20"/>
                <w:szCs w:val="20"/>
                <w:color w:val="auto"/>
              </w:rPr>
            </w:pPr>
            <w:r>
              <w:rPr>
                <w:rFonts w:ascii="Arial" w:cs="Arial" w:eastAsia="Arial" w:hAnsi="Arial"/>
                <w:sz w:val="10"/>
                <w:szCs w:val="10"/>
                <w:b w:val="1"/>
                <w:bCs w:val="1"/>
                <w:color w:val="auto"/>
                <w:w w:val="91"/>
              </w:rPr>
              <w:t>% Lower Loan</w:t>
            </w:r>
          </w:p>
        </w:tc>
        <w:tc>
          <w:tcPr>
            <w:tcW w:w="220" w:type="dxa"/>
            <w:vAlign w:val="bottom"/>
          </w:tcPr>
          <w:p>
            <w:pPr>
              <w:spacing w:after="0"/>
              <w:rPr>
                <w:sz w:val="14"/>
                <w:szCs w:val="14"/>
                <w:color w:val="auto"/>
              </w:rPr>
            </w:pPr>
          </w:p>
        </w:tc>
        <w:tc>
          <w:tcPr>
            <w:tcW w:w="1140" w:type="dxa"/>
            <w:vAlign w:val="bottom"/>
            <w:gridSpan w:val="2"/>
            <w:vMerge w:val="restart"/>
          </w:tcPr>
          <w:p>
            <w:pPr>
              <w:ind w:left="300"/>
              <w:spacing w:after="0"/>
              <w:rPr>
                <w:sz w:val="20"/>
                <w:szCs w:val="20"/>
                <w:color w:val="auto"/>
              </w:rPr>
            </w:pPr>
            <w:r>
              <w:rPr>
                <w:rFonts w:ascii="Arial" w:cs="Arial" w:eastAsia="Arial" w:hAnsi="Arial"/>
                <w:sz w:val="10"/>
                <w:szCs w:val="10"/>
                <w:b w:val="1"/>
                <w:bCs w:val="1"/>
                <w:color w:val="auto"/>
              </w:rPr>
              <w:t>Amortized</w:t>
            </w:r>
          </w:p>
        </w:tc>
        <w:tc>
          <w:tcPr>
            <w:tcW w:w="6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gridSpan w:val="3"/>
          </w:tcPr>
          <w:p>
            <w:pPr>
              <w:ind w:left="200"/>
              <w:spacing w:after="0"/>
              <w:rPr>
                <w:sz w:val="20"/>
                <w:szCs w:val="20"/>
                <w:color w:val="auto"/>
              </w:rPr>
            </w:pPr>
            <w:r>
              <w:rPr>
                <w:rFonts w:ascii="Arial" w:cs="Arial" w:eastAsia="Arial" w:hAnsi="Arial"/>
                <w:sz w:val="10"/>
                <w:szCs w:val="10"/>
                <w:b w:val="1"/>
                <w:bCs w:val="1"/>
                <w:color w:val="auto"/>
              </w:rPr>
              <w:t>Weighted Average</w:t>
            </w:r>
          </w:p>
        </w:tc>
        <w:tc>
          <w:tcPr>
            <w:tcW w:w="8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vMerge w:val="restart"/>
          </w:tcPr>
          <w:p>
            <w:pPr>
              <w:jc w:val="center"/>
              <w:spacing w:after="0"/>
              <w:rPr>
                <w:sz w:val="20"/>
                <w:szCs w:val="20"/>
                <w:color w:val="auto"/>
              </w:rPr>
            </w:pPr>
            <w:r>
              <w:rPr>
                <w:rFonts w:ascii="Arial" w:cs="Arial" w:eastAsia="Arial" w:hAnsi="Arial"/>
                <w:sz w:val="10"/>
                <w:szCs w:val="10"/>
                <w:b w:val="1"/>
                <w:bCs w:val="1"/>
                <w:color w:val="auto"/>
                <w:w w:val="87"/>
              </w:rPr>
              <w:t>Projected Life</w:t>
            </w:r>
          </w:p>
        </w:tc>
        <w:tc>
          <w:tcPr>
            <w:tcW w:w="0" w:type="dxa"/>
            <w:vAlign w:val="bottom"/>
          </w:tcPr>
          <w:p>
            <w:pPr>
              <w:spacing w:after="0"/>
              <w:rPr>
                <w:sz w:val="1"/>
                <w:szCs w:val="1"/>
                <w:color w:val="auto"/>
              </w:rPr>
            </w:pPr>
          </w:p>
        </w:tc>
      </w:tr>
      <w:tr>
        <w:trPr>
          <w:trHeight w:val="42"/>
        </w:trPr>
        <w:tc>
          <w:tcPr>
            <w:tcW w:w="2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80" w:type="dxa"/>
            <w:vAlign w:val="bottom"/>
          </w:tcPr>
          <w:p>
            <w:pPr>
              <w:spacing w:after="0"/>
              <w:rPr>
                <w:sz w:val="3"/>
                <w:szCs w:val="3"/>
                <w:color w:val="auto"/>
              </w:rPr>
            </w:pPr>
          </w:p>
        </w:tc>
        <w:tc>
          <w:tcPr>
            <w:tcW w:w="960" w:type="dxa"/>
            <w:vAlign w:val="bottom"/>
            <w:gridSpan w:val="2"/>
            <w:vMerge w:val="continue"/>
          </w:tcPr>
          <w:p>
            <w:pPr>
              <w:spacing w:after="0"/>
              <w:rPr>
                <w:sz w:val="3"/>
                <w:szCs w:val="3"/>
                <w:color w:val="auto"/>
              </w:rPr>
            </w:pPr>
          </w:p>
        </w:tc>
        <w:tc>
          <w:tcPr>
            <w:tcW w:w="14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20" w:type="dxa"/>
            <w:vAlign w:val="bottom"/>
            <w:vMerge w:val="continue"/>
          </w:tcPr>
          <w:p>
            <w:pPr>
              <w:spacing w:after="0"/>
              <w:rPr>
                <w:sz w:val="3"/>
                <w:szCs w:val="3"/>
                <w:color w:val="auto"/>
              </w:rPr>
            </w:pPr>
          </w:p>
        </w:tc>
        <w:tc>
          <w:tcPr>
            <w:tcW w:w="220" w:type="dxa"/>
            <w:vAlign w:val="bottom"/>
          </w:tcPr>
          <w:p>
            <w:pPr>
              <w:spacing w:after="0"/>
              <w:rPr>
                <w:sz w:val="3"/>
                <w:szCs w:val="3"/>
                <w:color w:val="auto"/>
              </w:rPr>
            </w:pPr>
          </w:p>
        </w:tc>
        <w:tc>
          <w:tcPr>
            <w:tcW w:w="1140" w:type="dxa"/>
            <w:vAlign w:val="bottom"/>
            <w:gridSpan w:val="2"/>
            <w:vMerge w:val="continue"/>
          </w:tcPr>
          <w:p>
            <w:pPr>
              <w:spacing w:after="0"/>
              <w:rPr>
                <w:sz w:val="3"/>
                <w:szCs w:val="3"/>
                <w:color w:val="auto"/>
              </w:rPr>
            </w:pPr>
          </w:p>
        </w:tc>
        <w:tc>
          <w:tcPr>
            <w:tcW w:w="68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28"/>
        </w:trPr>
        <w:tc>
          <w:tcPr>
            <w:tcW w:w="228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Fixed Rate Agency Securities</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b w:val="1"/>
                <w:bCs w:val="1"/>
                <w:color w:val="auto"/>
              </w:rPr>
              <w:t>Par Value</w:t>
            </w:r>
          </w:p>
        </w:tc>
        <w:tc>
          <w:tcPr>
            <w:tcW w:w="12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jc w:val="right"/>
              <w:ind w:right="372"/>
              <w:spacing w:after="0"/>
              <w:rPr>
                <w:sz w:val="20"/>
                <w:szCs w:val="20"/>
                <w:color w:val="auto"/>
              </w:rPr>
            </w:pPr>
            <w:r>
              <w:rPr>
                <w:rFonts w:ascii="Arial" w:cs="Arial" w:eastAsia="Arial" w:hAnsi="Arial"/>
                <w:sz w:val="10"/>
                <w:szCs w:val="10"/>
                <w:b w:val="1"/>
                <w:bCs w:val="1"/>
                <w:color w:val="auto"/>
              </w:rPr>
              <w:t>Cost</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b w:val="1"/>
                <w:bCs w:val="1"/>
                <w:color w:val="auto"/>
                <w:w w:val="96"/>
              </w:rPr>
              <w:t>Fair Value</w:t>
            </w:r>
          </w:p>
        </w:tc>
        <w:tc>
          <w:tcPr>
            <w:tcW w:w="12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1"/>
              </w:rPr>
              <w:t xml:space="preserve">Balance &amp; HARP </w:t>
            </w:r>
            <w:r>
              <w:rPr>
                <w:rFonts w:ascii="Arial" w:cs="Arial" w:eastAsia="Arial" w:hAnsi="Arial"/>
                <w:sz w:val="5"/>
                <w:szCs w:val="5"/>
                <w:b w:val="1"/>
                <w:bCs w:val="1"/>
                <w:color w:val="auto"/>
                <w:w w:val="91"/>
              </w:rPr>
              <w:t>1,2</w:t>
            </w:r>
          </w:p>
        </w:tc>
        <w:tc>
          <w:tcPr>
            <w:tcW w:w="220" w:type="dxa"/>
            <w:vAlign w:val="bottom"/>
            <w:tcBorders>
              <w:bottom w:val="single" w:sz="8" w:color="CCEEFF"/>
            </w:tcBorders>
          </w:tcPr>
          <w:p>
            <w:pPr>
              <w:spacing w:after="0"/>
              <w:rPr>
                <w:sz w:val="11"/>
                <w:szCs w:val="11"/>
                <w:color w:val="auto"/>
              </w:rPr>
            </w:pPr>
          </w:p>
        </w:tc>
        <w:tc>
          <w:tcPr>
            <w:tcW w:w="1020" w:type="dxa"/>
            <w:vAlign w:val="bottom"/>
            <w:tcBorders>
              <w:bottom w:val="single" w:sz="8" w:color="auto"/>
            </w:tcBorders>
          </w:tcPr>
          <w:p>
            <w:pPr>
              <w:ind w:left="300"/>
              <w:spacing w:after="0"/>
              <w:rPr>
                <w:sz w:val="20"/>
                <w:szCs w:val="20"/>
                <w:color w:val="auto"/>
              </w:rPr>
            </w:pPr>
            <w:r>
              <w:rPr>
                <w:rFonts w:ascii="Arial" w:cs="Arial" w:eastAsia="Arial" w:hAnsi="Arial"/>
                <w:sz w:val="10"/>
                <w:szCs w:val="10"/>
                <w:b w:val="1"/>
                <w:bCs w:val="1"/>
                <w:color w:val="auto"/>
              </w:rPr>
              <w:t>Cost Basis</w:t>
            </w:r>
          </w:p>
        </w:tc>
        <w:tc>
          <w:tcPr>
            <w:tcW w:w="120" w:type="dxa"/>
            <w:vAlign w:val="bottom"/>
            <w:tcBorders>
              <w:bottom w:val="single" w:sz="8" w:color="CCEEFF"/>
            </w:tcBorders>
          </w:tcPr>
          <w:p>
            <w:pPr>
              <w:spacing w:after="0"/>
              <w:rPr>
                <w:sz w:val="11"/>
                <w:szCs w:val="11"/>
                <w:color w:val="auto"/>
              </w:rPr>
            </w:pPr>
          </w:p>
        </w:tc>
        <w:tc>
          <w:tcPr>
            <w:tcW w:w="6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4"/>
              </w:rPr>
              <w:t xml:space="preserve">WAC </w:t>
            </w:r>
            <w:r>
              <w:rPr>
                <w:rFonts w:ascii="Arial" w:cs="Arial" w:eastAsia="Arial" w:hAnsi="Arial"/>
                <w:sz w:val="5"/>
                <w:szCs w:val="5"/>
                <w:b w:val="1"/>
                <w:bCs w:val="1"/>
                <w:color w:val="auto"/>
                <w:w w:val="94"/>
              </w:rPr>
              <w:t>3</w:t>
            </w:r>
          </w:p>
        </w:tc>
        <w:tc>
          <w:tcPr>
            <w:tcW w:w="100" w:type="dxa"/>
            <w:vAlign w:val="bottom"/>
            <w:tcBorders>
              <w:bottom w:val="single" w:sz="8" w:color="CCEEFF"/>
            </w:tcBorders>
          </w:tcPr>
          <w:p>
            <w:pPr>
              <w:spacing w:after="0"/>
              <w:rPr>
                <w:sz w:val="11"/>
                <w:szCs w:val="11"/>
                <w:color w:val="auto"/>
              </w:rPr>
            </w:pPr>
          </w:p>
        </w:tc>
        <w:tc>
          <w:tcPr>
            <w:tcW w:w="800" w:type="dxa"/>
            <w:vAlign w:val="bottom"/>
            <w:tcBorders>
              <w:bottom w:val="single" w:sz="8" w:color="auto"/>
            </w:tcBorders>
          </w:tcPr>
          <w:p>
            <w:pPr>
              <w:ind w:left="260"/>
              <w:spacing w:after="0"/>
              <w:rPr>
                <w:sz w:val="20"/>
                <w:szCs w:val="20"/>
                <w:color w:val="auto"/>
              </w:rPr>
            </w:pPr>
            <w:r>
              <w:rPr>
                <w:rFonts w:ascii="Arial" w:cs="Arial" w:eastAsia="Arial" w:hAnsi="Arial"/>
                <w:sz w:val="10"/>
                <w:szCs w:val="10"/>
                <w:b w:val="1"/>
                <w:bCs w:val="1"/>
                <w:color w:val="auto"/>
              </w:rPr>
              <w:t xml:space="preserve">Yield </w:t>
            </w:r>
            <w:r>
              <w:rPr>
                <w:rFonts w:ascii="Arial" w:cs="Arial" w:eastAsia="Arial" w:hAnsi="Arial"/>
                <w:sz w:val="5"/>
                <w:szCs w:val="5"/>
                <w:b w:val="1"/>
                <w:bCs w:val="1"/>
                <w:color w:val="auto"/>
              </w:rPr>
              <w:t>4</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ind w:left="40"/>
              <w:spacing w:after="0"/>
              <w:rPr>
                <w:sz w:val="20"/>
                <w:szCs w:val="20"/>
                <w:color w:val="auto"/>
              </w:rPr>
            </w:pPr>
            <w:r>
              <w:rPr>
                <w:rFonts w:ascii="Arial" w:cs="Arial" w:eastAsia="Arial" w:hAnsi="Arial"/>
                <w:sz w:val="10"/>
                <w:szCs w:val="10"/>
                <w:b w:val="1"/>
                <w:bCs w:val="1"/>
                <w:color w:val="auto"/>
              </w:rPr>
              <w:t>Age (Months)</w:t>
            </w:r>
          </w:p>
        </w:tc>
        <w:tc>
          <w:tcPr>
            <w:tcW w:w="10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 xml:space="preserve">CPR </w:t>
            </w:r>
            <w:r>
              <w:rPr>
                <w:rFonts w:ascii="Arial" w:cs="Arial" w:eastAsia="Arial" w:hAnsi="Arial"/>
                <w:sz w:val="5"/>
                <w:szCs w:val="5"/>
                <w:b w:val="1"/>
                <w:bCs w:val="1"/>
                <w:color w:val="auto"/>
                <w:w w:val="89"/>
              </w:rPr>
              <w:t>4</w:t>
            </w:r>
          </w:p>
        </w:tc>
        <w:tc>
          <w:tcPr>
            <w:tcW w:w="0" w:type="dxa"/>
            <w:vAlign w:val="bottom"/>
          </w:tcPr>
          <w:p>
            <w:pPr>
              <w:spacing w:after="0"/>
              <w:rPr>
                <w:sz w:val="1"/>
                <w:szCs w:val="1"/>
                <w:color w:val="auto"/>
              </w:rPr>
            </w:pPr>
          </w:p>
        </w:tc>
      </w:tr>
      <w:tr>
        <w:trPr>
          <w:trHeight w:val="173"/>
        </w:trPr>
        <w:tc>
          <w:tcPr>
            <w:tcW w:w="24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Fixed rate</w:t>
            </w:r>
          </w:p>
        </w:tc>
        <w:tc>
          <w:tcPr>
            <w:tcW w:w="14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2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0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9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2400" w:type="dxa"/>
            <w:vAlign w:val="bottom"/>
            <w:gridSpan w:val="2"/>
          </w:tcPr>
          <w:p>
            <w:pPr>
              <w:ind w:left="200"/>
              <w:spacing w:after="0"/>
              <w:rPr>
                <w:sz w:val="20"/>
                <w:szCs w:val="20"/>
                <w:color w:val="auto"/>
              </w:rPr>
            </w:pPr>
            <w:r>
              <w:rPr>
                <w:rFonts w:ascii="Arial" w:cs="Arial" w:eastAsia="Arial" w:hAnsi="Arial"/>
                <w:sz w:val="10"/>
                <w:szCs w:val="10"/>
                <w:color w:val="auto"/>
              </w:rPr>
              <w:t>≤ 15-year</w:t>
            </w:r>
          </w:p>
        </w:tc>
        <w:tc>
          <w:tcPr>
            <w:tcW w:w="14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2.5%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5,041</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5,145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5,222</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26%</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101.6%</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2.96%</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2.05%</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47</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10%</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3.0%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3,639</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3,749</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3,834</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73%</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102.9%</w:t>
            </w:r>
          </w:p>
        </w:tc>
        <w:tc>
          <w:tcPr>
            <w:tcW w:w="1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4"/>
              </w:rPr>
              <w:t>3.50%</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2.19%</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52</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79"/>
              </w:rPr>
              <w:t>11%</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3.5%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3,597</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3,721</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3,825</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88%</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103.4%</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3.95%</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2.49%</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60</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12%</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4.0%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2,843</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2,957</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3,034</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89%</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104.0%</w:t>
            </w:r>
          </w:p>
        </w:tc>
        <w:tc>
          <w:tcPr>
            <w:tcW w:w="1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4"/>
              </w:rPr>
              <w:t>4.40%</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2.67%</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69</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4.5%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306</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320</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328</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98%</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104.5%</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4.87%</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3.01%</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73</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76"/>
        </w:trPr>
        <w:tc>
          <w:tcPr>
            <w:tcW w:w="2400" w:type="dxa"/>
            <w:vAlign w:val="bottom"/>
            <w:tcBorders>
              <w:bottom w:val="single" w:sz="8" w:color="CCEEFF"/>
            </w:tcBorders>
            <w:gridSpan w:val="2"/>
          </w:tcPr>
          <w:p>
            <w:pPr>
              <w:ind w:left="240"/>
              <w:spacing w:after="0"/>
              <w:rPr>
                <w:sz w:val="20"/>
                <w:szCs w:val="20"/>
                <w:color w:val="auto"/>
              </w:rPr>
            </w:pPr>
            <w:r>
              <w:rPr>
                <w:rFonts w:ascii="Arial" w:cs="Arial" w:eastAsia="Arial" w:hAnsi="Arial"/>
                <w:sz w:val="10"/>
                <w:szCs w:val="10"/>
                <w:color w:val="auto"/>
              </w:rPr>
              <w:t>≥ 5.0%</w:t>
            </w:r>
          </w:p>
        </w:tc>
        <w:tc>
          <w:tcPr>
            <w:tcW w:w="14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w:t>
            </w:r>
          </w:p>
        </w:tc>
        <w:tc>
          <w:tcPr>
            <w:tcW w:w="12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8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4</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5</w:t>
            </w:r>
          </w:p>
        </w:tc>
        <w:tc>
          <w:tcPr>
            <w:tcW w:w="120" w:type="dxa"/>
            <w:vAlign w:val="bottom"/>
            <w:tcBorders>
              <w:bottom w:val="single" w:sz="8" w:color="CCEEFF"/>
            </w:tcBorders>
          </w:tcPr>
          <w:p>
            <w:pPr>
              <w:spacing w:after="0"/>
              <w:rPr>
                <w:sz w:val="15"/>
                <w:szCs w:val="15"/>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25%</w:t>
            </w:r>
          </w:p>
        </w:tc>
        <w:tc>
          <w:tcPr>
            <w:tcW w:w="220" w:type="dxa"/>
            <w:vAlign w:val="bottom"/>
            <w:tcBorders>
              <w:bottom w:val="single" w:sz="8" w:color="CCEEFF"/>
            </w:tcBorders>
          </w:tcPr>
          <w:p>
            <w:pPr>
              <w:spacing w:after="0"/>
              <w:rPr>
                <w:sz w:val="15"/>
                <w:szCs w:val="15"/>
                <w:color w:val="auto"/>
              </w:rPr>
            </w:pPr>
          </w:p>
        </w:tc>
        <w:tc>
          <w:tcPr>
            <w:tcW w:w="10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8"/>
              </w:rPr>
              <w:t>103.4%</w:t>
            </w:r>
          </w:p>
        </w:tc>
        <w:tc>
          <w:tcPr>
            <w:tcW w:w="120" w:type="dxa"/>
            <w:vAlign w:val="bottom"/>
            <w:tcBorders>
              <w:bottom w:val="single" w:sz="8" w:color="CCEEFF"/>
            </w:tcBorders>
          </w:tcPr>
          <w:p>
            <w:pPr>
              <w:spacing w:after="0"/>
              <w:rPr>
                <w:sz w:val="15"/>
                <w:szCs w:val="15"/>
                <w:color w:val="auto"/>
              </w:rPr>
            </w:pPr>
          </w:p>
        </w:tc>
        <w:tc>
          <w:tcPr>
            <w:tcW w:w="68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6.57%</w:t>
            </w:r>
          </w:p>
        </w:tc>
        <w:tc>
          <w:tcPr>
            <w:tcW w:w="100" w:type="dxa"/>
            <w:vAlign w:val="bottom"/>
            <w:tcBorders>
              <w:bottom w:val="single" w:sz="8" w:color="CCEEFF"/>
            </w:tcBorders>
          </w:tcPr>
          <w:p>
            <w:pPr>
              <w:spacing w:after="0"/>
              <w:rPr>
                <w:sz w:val="15"/>
                <w:szCs w:val="15"/>
                <w:color w:val="auto"/>
              </w:rPr>
            </w:pPr>
          </w:p>
        </w:tc>
        <w:tc>
          <w:tcPr>
            <w:tcW w:w="800" w:type="dxa"/>
            <w:vAlign w:val="bottom"/>
            <w:tcBorders>
              <w:bottom w:val="single" w:sz="8" w:color="auto"/>
            </w:tcBorders>
          </w:tcPr>
          <w:p>
            <w:pPr>
              <w:ind w:left="280"/>
              <w:spacing w:after="0"/>
              <w:rPr>
                <w:sz w:val="20"/>
                <w:szCs w:val="20"/>
                <w:color w:val="auto"/>
              </w:rPr>
            </w:pPr>
            <w:r>
              <w:rPr>
                <w:rFonts w:ascii="Arial" w:cs="Arial" w:eastAsia="Arial" w:hAnsi="Arial"/>
                <w:sz w:val="10"/>
                <w:szCs w:val="10"/>
                <w:color w:val="auto"/>
              </w:rPr>
              <w:t>4.58%</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840" w:type="dxa"/>
            <w:vAlign w:val="bottom"/>
            <w:tcBorders>
              <w:bottom w:val="single" w:sz="8" w:color="auto"/>
            </w:tcBorders>
          </w:tcPr>
          <w:p>
            <w:pPr>
              <w:jc w:val="center"/>
              <w:ind w:right="152"/>
              <w:spacing w:after="0"/>
              <w:rPr>
                <w:sz w:val="20"/>
                <w:szCs w:val="20"/>
                <w:color w:val="auto"/>
              </w:rPr>
            </w:pPr>
            <w:r>
              <w:rPr>
                <w:rFonts w:ascii="Arial" w:cs="Arial" w:eastAsia="Arial" w:hAnsi="Arial"/>
                <w:sz w:val="10"/>
                <w:szCs w:val="10"/>
                <w:color w:val="auto"/>
                <w:w w:val="95"/>
              </w:rPr>
              <w:t>107</w:t>
            </w:r>
          </w:p>
        </w:tc>
        <w:tc>
          <w:tcPr>
            <w:tcW w:w="100" w:type="dxa"/>
            <w:vAlign w:val="bottom"/>
            <w:tcBorders>
              <w:bottom w:val="single" w:sz="8" w:color="CCEEFF"/>
            </w:tcBorders>
          </w:tcPr>
          <w:p>
            <w:pPr>
              <w:spacing w:after="0"/>
              <w:rPr>
                <w:sz w:val="15"/>
                <w:szCs w:val="15"/>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14%</w:t>
            </w:r>
          </w:p>
        </w:tc>
        <w:tc>
          <w:tcPr>
            <w:tcW w:w="0" w:type="dxa"/>
            <w:vAlign w:val="bottom"/>
          </w:tcPr>
          <w:p>
            <w:pPr>
              <w:spacing w:after="0"/>
              <w:rPr>
                <w:sz w:val="1"/>
                <w:szCs w:val="1"/>
                <w:color w:val="auto"/>
              </w:rPr>
            </w:pPr>
          </w:p>
        </w:tc>
      </w:tr>
      <w:tr>
        <w:trPr>
          <w:trHeight w:val="164"/>
        </w:trPr>
        <w:tc>
          <w:tcPr>
            <w:tcW w:w="2400" w:type="dxa"/>
            <w:vAlign w:val="bottom"/>
            <w:gridSpan w:val="2"/>
            <w:shd w:val="clear" w:color="auto" w:fill="CCEEFF"/>
          </w:tcPr>
          <w:p>
            <w:pPr>
              <w:ind w:left="180"/>
              <w:spacing w:after="0"/>
              <w:rPr>
                <w:sz w:val="20"/>
                <w:szCs w:val="20"/>
                <w:color w:val="auto"/>
              </w:rPr>
            </w:pPr>
            <w:r>
              <w:rPr>
                <w:rFonts w:ascii="Arial" w:cs="Arial" w:eastAsia="Arial" w:hAnsi="Arial"/>
                <w:sz w:val="10"/>
                <w:szCs w:val="10"/>
                <w:color w:val="auto"/>
              </w:rPr>
              <w:t>Total ≤ 15-year</w:t>
            </w:r>
          </w:p>
        </w:tc>
        <w:tc>
          <w:tcPr>
            <w:tcW w:w="140" w:type="dxa"/>
            <w:vAlign w:val="bottom"/>
            <w:shd w:val="clear" w:color="auto" w:fill="CCEEFF"/>
          </w:tcPr>
          <w:p>
            <w:pPr>
              <w:spacing w:after="0"/>
              <w:rPr>
                <w:sz w:val="14"/>
                <w:szCs w:val="14"/>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15,430</w:t>
            </w:r>
          </w:p>
        </w:tc>
        <w:tc>
          <w:tcPr>
            <w:tcW w:w="12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15,896</w:t>
            </w: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16,248</w:t>
            </w:r>
          </w:p>
        </w:tc>
        <w:tc>
          <w:tcPr>
            <w:tcW w:w="120" w:type="dxa"/>
            <w:vAlign w:val="bottom"/>
            <w:shd w:val="clear" w:color="auto" w:fill="CCEEFF"/>
          </w:tcPr>
          <w:p>
            <w:pPr>
              <w:spacing w:after="0"/>
              <w:rPr>
                <w:sz w:val="14"/>
                <w:szCs w:val="14"/>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65%</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103.0%</w:t>
            </w:r>
          </w:p>
        </w:tc>
        <w:tc>
          <w:tcPr>
            <w:tcW w:w="120" w:type="dxa"/>
            <w:vAlign w:val="bottom"/>
            <w:shd w:val="clear" w:color="auto" w:fill="CCEEFF"/>
          </w:tcPr>
          <w:p>
            <w:pPr>
              <w:spacing w:after="0"/>
              <w:rPr>
                <w:sz w:val="14"/>
                <w:szCs w:val="14"/>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3.72%</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2.36%</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57</w:t>
            </w:r>
          </w:p>
        </w:tc>
        <w:tc>
          <w:tcPr>
            <w:tcW w:w="100" w:type="dxa"/>
            <w:vAlign w:val="bottom"/>
            <w:shd w:val="clear" w:color="auto" w:fill="CCEEFF"/>
          </w:tcPr>
          <w:p>
            <w:pPr>
              <w:spacing w:after="0"/>
              <w:rPr>
                <w:sz w:val="14"/>
                <w:szCs w:val="14"/>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79"/>
              </w:rPr>
              <w:t>11%</w:t>
            </w:r>
          </w:p>
        </w:tc>
        <w:tc>
          <w:tcPr>
            <w:tcW w:w="0" w:type="dxa"/>
            <w:vAlign w:val="bottom"/>
          </w:tcPr>
          <w:p>
            <w:pPr>
              <w:spacing w:after="0"/>
              <w:rPr>
                <w:sz w:val="1"/>
                <w:szCs w:val="1"/>
                <w:color w:val="auto"/>
              </w:rPr>
            </w:pPr>
          </w:p>
        </w:tc>
      </w:tr>
      <w:tr>
        <w:trPr>
          <w:trHeight w:val="165"/>
        </w:trPr>
        <w:tc>
          <w:tcPr>
            <w:tcW w:w="2400" w:type="dxa"/>
            <w:vAlign w:val="bottom"/>
            <w:gridSpan w:val="2"/>
          </w:tcPr>
          <w:p>
            <w:pPr>
              <w:ind w:left="180"/>
              <w:spacing w:after="0"/>
              <w:rPr>
                <w:sz w:val="20"/>
                <w:szCs w:val="20"/>
                <w:color w:val="auto"/>
              </w:rPr>
            </w:pPr>
            <w:r>
              <w:rPr>
                <w:rFonts w:ascii="Arial" w:cs="Arial" w:eastAsia="Arial" w:hAnsi="Arial"/>
                <w:sz w:val="10"/>
                <w:szCs w:val="10"/>
                <w:color w:val="auto"/>
              </w:rPr>
              <w:t>20-year</w:t>
            </w:r>
          </w:p>
        </w:tc>
        <w:tc>
          <w:tcPr>
            <w:tcW w:w="140" w:type="dxa"/>
            <w:vAlign w:val="bottom"/>
            <w:tcBorders>
              <w:top w:val="single" w:sz="8" w:color="auto"/>
            </w:tcBorders>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84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tcBorders>
              <w:top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102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Borders>
              <w:top w:val="single" w:sz="8" w:color="auto"/>
            </w:tcBorders>
          </w:tcPr>
          <w:p>
            <w:pPr>
              <w:spacing w:after="0"/>
              <w:rPr>
                <w:sz w:val="14"/>
                <w:szCs w:val="14"/>
                <w:color w:val="auto"/>
              </w:rPr>
            </w:pPr>
          </w:p>
        </w:tc>
        <w:tc>
          <w:tcPr>
            <w:tcW w:w="84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tcBorders>
              <w:top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84"/>
        </w:trPr>
        <w:tc>
          <w:tcPr>
            <w:tcW w:w="2400" w:type="dxa"/>
            <w:vAlign w:val="bottom"/>
            <w:gridSpan w:val="2"/>
            <w:shd w:val="clear" w:color="auto" w:fill="CCEEFF"/>
          </w:tcPr>
          <w:p>
            <w:pPr>
              <w:ind w:left="260"/>
              <w:spacing w:after="0"/>
              <w:rPr>
                <w:sz w:val="20"/>
                <w:szCs w:val="20"/>
                <w:color w:val="auto"/>
              </w:rPr>
            </w:pPr>
            <w:r>
              <w:rPr>
                <w:rFonts w:ascii="Arial" w:cs="Arial" w:eastAsia="Arial" w:hAnsi="Arial"/>
                <w:sz w:val="10"/>
                <w:szCs w:val="10"/>
                <w:color w:val="auto"/>
              </w:rPr>
              <w:t>≤ 3.0%</w:t>
            </w: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234</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233</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247</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31%</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91"/>
              </w:rPr>
              <w:t>99.4%</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3.55%</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3.12%</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40</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12%</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3.5%</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458</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468</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489</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75%</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102.1%</w:t>
            </w:r>
          </w:p>
        </w:tc>
        <w:tc>
          <w:tcPr>
            <w:tcW w:w="1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4"/>
              </w:rPr>
              <w:t>4.06%</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2.98%</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43</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4.0%</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57</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59</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62</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49%</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103.9%</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4.54%</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2.91%</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61</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15%</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4.5%</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72</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76</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80</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99%</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106.3%</w:t>
            </w:r>
          </w:p>
        </w:tc>
        <w:tc>
          <w:tcPr>
            <w:tcW w:w="1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4"/>
              </w:rPr>
              <w:t>4.90%</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2.94%</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70</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80"/>
        </w:trPr>
        <w:tc>
          <w:tcPr>
            <w:tcW w:w="2400" w:type="dxa"/>
            <w:vAlign w:val="bottom"/>
            <w:gridSpan w:val="2"/>
            <w:shd w:val="clear" w:color="auto" w:fill="CCEEFF"/>
          </w:tcPr>
          <w:p>
            <w:pPr>
              <w:ind w:left="240"/>
              <w:spacing w:after="0"/>
              <w:rPr>
                <w:sz w:val="20"/>
                <w:szCs w:val="20"/>
                <w:color w:val="auto"/>
              </w:rPr>
            </w:pPr>
            <w:r>
              <w:rPr>
                <w:rFonts w:ascii="Arial" w:cs="Arial" w:eastAsia="Arial" w:hAnsi="Arial"/>
                <w:sz w:val="10"/>
                <w:szCs w:val="10"/>
                <w:color w:val="auto"/>
              </w:rPr>
              <w:t>≥ 5.0%</w:t>
            </w:r>
          </w:p>
        </w:tc>
        <w:tc>
          <w:tcPr>
            <w:tcW w:w="14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3</w:t>
            </w:r>
          </w:p>
        </w:tc>
        <w:tc>
          <w:tcPr>
            <w:tcW w:w="120" w:type="dxa"/>
            <w:vAlign w:val="bottom"/>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3</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3</w:t>
            </w:r>
          </w:p>
        </w:tc>
        <w:tc>
          <w:tcPr>
            <w:tcW w:w="120" w:type="dxa"/>
            <w:vAlign w:val="bottom"/>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5"/>
              </w:rPr>
              <w:t>—%</w:t>
            </w:r>
          </w:p>
        </w:tc>
        <w:tc>
          <w:tcPr>
            <w:tcW w:w="220" w:type="dxa"/>
            <w:vAlign w:val="bottom"/>
            <w:shd w:val="clear" w:color="auto" w:fill="CCEEFF"/>
          </w:tcPr>
          <w:p>
            <w:pPr>
              <w:spacing w:after="0"/>
              <w:rPr>
                <w:sz w:val="15"/>
                <w:szCs w:val="15"/>
                <w:color w:val="auto"/>
              </w:rPr>
            </w:pPr>
          </w:p>
        </w:tc>
        <w:tc>
          <w:tcPr>
            <w:tcW w:w="10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8"/>
              </w:rPr>
              <w:t>105.8%</w:t>
            </w:r>
          </w:p>
        </w:tc>
        <w:tc>
          <w:tcPr>
            <w:tcW w:w="120" w:type="dxa"/>
            <w:vAlign w:val="bottom"/>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5.92%</w:t>
            </w:r>
          </w:p>
        </w:tc>
        <w:tc>
          <w:tcPr>
            <w:tcW w:w="100" w:type="dxa"/>
            <w:vAlign w:val="bottom"/>
            <w:shd w:val="clear" w:color="auto" w:fill="CCEEFF"/>
          </w:tcPr>
          <w:p>
            <w:pPr>
              <w:spacing w:after="0"/>
              <w:rPr>
                <w:sz w:val="15"/>
                <w:szCs w:val="15"/>
                <w:color w:val="auto"/>
              </w:rPr>
            </w:pPr>
          </w:p>
        </w:tc>
        <w:tc>
          <w:tcPr>
            <w:tcW w:w="800" w:type="dxa"/>
            <w:vAlign w:val="bottom"/>
            <w:tcBorders>
              <w:bottom w:val="single" w:sz="8" w:color="auto"/>
            </w:tcBorders>
            <w:shd w:val="clear" w:color="auto" w:fill="CCEEFF"/>
          </w:tcPr>
          <w:p>
            <w:pPr>
              <w:ind w:left="280"/>
              <w:spacing w:after="0"/>
              <w:rPr>
                <w:sz w:val="20"/>
                <w:szCs w:val="20"/>
                <w:color w:val="auto"/>
              </w:rPr>
            </w:pPr>
            <w:r>
              <w:rPr>
                <w:rFonts w:ascii="Arial" w:cs="Arial" w:eastAsia="Arial" w:hAnsi="Arial"/>
                <w:sz w:val="10"/>
                <w:szCs w:val="10"/>
                <w:color w:val="auto"/>
              </w:rPr>
              <w:t>3.33%</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center"/>
              <w:ind w:right="152"/>
              <w:spacing w:after="0"/>
              <w:rPr>
                <w:sz w:val="20"/>
                <w:szCs w:val="20"/>
                <w:color w:val="auto"/>
              </w:rPr>
            </w:pPr>
            <w:r>
              <w:rPr>
                <w:rFonts w:ascii="Arial" w:cs="Arial" w:eastAsia="Arial" w:hAnsi="Arial"/>
                <w:sz w:val="10"/>
                <w:szCs w:val="10"/>
                <w:color w:val="auto"/>
                <w:w w:val="95"/>
              </w:rPr>
              <w:t>100</w:t>
            </w:r>
          </w:p>
        </w:tc>
        <w:tc>
          <w:tcPr>
            <w:tcW w:w="100" w:type="dxa"/>
            <w:vAlign w:val="bottom"/>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19%</w:t>
            </w:r>
          </w:p>
        </w:tc>
        <w:tc>
          <w:tcPr>
            <w:tcW w:w="0" w:type="dxa"/>
            <w:vAlign w:val="bottom"/>
          </w:tcPr>
          <w:p>
            <w:pPr>
              <w:spacing w:after="0"/>
              <w:rPr>
                <w:sz w:val="1"/>
                <w:szCs w:val="1"/>
                <w:color w:val="auto"/>
              </w:rPr>
            </w:pPr>
          </w:p>
        </w:tc>
      </w:tr>
      <w:tr>
        <w:trPr>
          <w:trHeight w:val="160"/>
        </w:trPr>
        <w:tc>
          <w:tcPr>
            <w:tcW w:w="2400" w:type="dxa"/>
            <w:vAlign w:val="bottom"/>
            <w:gridSpan w:val="2"/>
          </w:tcPr>
          <w:p>
            <w:pPr>
              <w:ind w:left="180"/>
              <w:spacing w:after="0"/>
              <w:rPr>
                <w:sz w:val="20"/>
                <w:szCs w:val="20"/>
                <w:color w:val="auto"/>
              </w:rPr>
            </w:pPr>
            <w:r>
              <w:rPr>
                <w:rFonts w:ascii="Arial" w:cs="Arial" w:eastAsia="Arial" w:hAnsi="Arial"/>
                <w:sz w:val="10"/>
                <w:szCs w:val="10"/>
                <w:color w:val="auto"/>
              </w:rPr>
              <w:t>Total 20-year:</w:t>
            </w:r>
          </w:p>
        </w:tc>
        <w:tc>
          <w:tcPr>
            <w:tcW w:w="140" w:type="dxa"/>
            <w:vAlign w:val="bottom"/>
          </w:tcPr>
          <w:p>
            <w:pPr>
              <w:spacing w:after="0"/>
              <w:rPr>
                <w:sz w:val="13"/>
                <w:szCs w:val="13"/>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824</w:t>
            </w: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839</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881</w:t>
            </w:r>
          </w:p>
        </w:tc>
        <w:tc>
          <w:tcPr>
            <w:tcW w:w="12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63%</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101.8%</w:t>
            </w:r>
          </w:p>
        </w:tc>
        <w:tc>
          <w:tcPr>
            <w:tcW w:w="120" w:type="dxa"/>
            <w:vAlign w:val="bottom"/>
          </w:tcPr>
          <w:p>
            <w:pPr>
              <w:spacing w:after="0"/>
              <w:rPr>
                <w:sz w:val="13"/>
                <w:szCs w:val="13"/>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4"/>
              </w:rPr>
              <w:t>4.03%</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3.01%</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46</w:t>
            </w:r>
          </w:p>
        </w:tc>
        <w:tc>
          <w:tcPr>
            <w:tcW w:w="10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73"/>
        </w:trPr>
        <w:tc>
          <w:tcPr>
            <w:tcW w:w="2400" w:type="dxa"/>
            <w:vAlign w:val="bottom"/>
            <w:tcBorders>
              <w:top w:val="single" w:sz="8" w:color="CCEEFF"/>
            </w:tcBorders>
            <w:gridSpan w:val="2"/>
            <w:shd w:val="clear" w:color="auto" w:fill="CCEEFF"/>
          </w:tcPr>
          <w:p>
            <w:pPr>
              <w:ind w:left="180"/>
              <w:spacing w:after="0"/>
              <w:rPr>
                <w:sz w:val="20"/>
                <w:szCs w:val="20"/>
                <w:color w:val="auto"/>
              </w:rPr>
            </w:pPr>
            <w:r>
              <w:rPr>
                <w:rFonts w:ascii="Arial" w:cs="Arial" w:eastAsia="Arial" w:hAnsi="Arial"/>
                <w:sz w:val="10"/>
                <w:szCs w:val="10"/>
                <w:color w:val="auto"/>
              </w:rPr>
              <w:t>30-year:</w:t>
            </w:r>
          </w:p>
        </w:tc>
        <w:tc>
          <w:tcPr>
            <w:tcW w:w="140" w:type="dxa"/>
            <w:vAlign w:val="bottom"/>
            <w:tcBorders>
              <w:top w:val="single" w:sz="8" w:color="auto"/>
            </w:tcBorders>
            <w:shd w:val="clear" w:color="auto" w:fill="CCEEFF"/>
          </w:tcPr>
          <w:p>
            <w:pPr>
              <w:spacing w:after="0"/>
              <w:rPr>
                <w:sz w:val="15"/>
                <w:szCs w:val="15"/>
                <w:color w:val="auto"/>
              </w:rPr>
            </w:pPr>
          </w:p>
        </w:tc>
        <w:tc>
          <w:tcPr>
            <w:tcW w:w="68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80" w:type="dxa"/>
            <w:vAlign w:val="bottom"/>
            <w:tcBorders>
              <w:top w:val="single" w:sz="8" w:color="auto"/>
            </w:tcBorders>
            <w:shd w:val="clear" w:color="auto" w:fill="CCEEFF"/>
          </w:tcPr>
          <w:p>
            <w:pPr>
              <w:spacing w:after="0"/>
              <w:rPr>
                <w:sz w:val="15"/>
                <w:szCs w:val="15"/>
                <w:color w:val="auto"/>
              </w:rPr>
            </w:pPr>
          </w:p>
        </w:tc>
        <w:tc>
          <w:tcPr>
            <w:tcW w:w="8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68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10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8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80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spacing w:after="0"/>
              <w:rPr>
                <w:sz w:val="15"/>
                <w:szCs w:val="15"/>
                <w:color w:val="auto"/>
              </w:rPr>
            </w:pPr>
          </w:p>
        </w:tc>
        <w:tc>
          <w:tcPr>
            <w:tcW w:w="8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3.0%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9,702</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9,963</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10,086</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96"/>
              </w:rPr>
              <w:t>1%</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100.6%</w:t>
            </w:r>
          </w:p>
        </w:tc>
        <w:tc>
          <w:tcPr>
            <w:tcW w:w="1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4"/>
              </w:rPr>
              <w:t>3.59%</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2.90%</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40</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2"/>
              </w:rPr>
              <w:t>8%</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3.5%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18,127</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19,082</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19,305</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67%</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105.3%</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4.07%</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2.67%</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36</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9%</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4.0%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11,900</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12,723</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12,926</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73%</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106.9%</w:t>
            </w:r>
          </w:p>
        </w:tc>
        <w:tc>
          <w:tcPr>
            <w:tcW w:w="1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4"/>
              </w:rPr>
              <w:t>4.51%</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2.79%</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42</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79"/>
              </w:rPr>
              <w:t>11%</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4.5%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1,320</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1,407</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1,465</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87%</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106.3%</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4.97%</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3.24%</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64</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5.0%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126</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133</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141</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65%</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106.0%</w:t>
            </w:r>
          </w:p>
        </w:tc>
        <w:tc>
          <w:tcPr>
            <w:tcW w:w="1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4"/>
              </w:rPr>
              <w:t>5.45%</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3.66%</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95"/>
              </w:rPr>
              <w:t>101</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80"/>
        </w:trPr>
        <w:tc>
          <w:tcPr>
            <w:tcW w:w="2400" w:type="dxa"/>
            <w:vAlign w:val="bottom"/>
            <w:gridSpan w:val="2"/>
            <w:shd w:val="clear" w:color="auto" w:fill="CCEEFF"/>
          </w:tcPr>
          <w:p>
            <w:pPr>
              <w:ind w:left="240"/>
              <w:spacing w:after="0"/>
              <w:rPr>
                <w:sz w:val="20"/>
                <w:szCs w:val="20"/>
                <w:color w:val="auto"/>
              </w:rPr>
            </w:pPr>
            <w:r>
              <w:rPr>
                <w:rFonts w:ascii="Arial" w:cs="Arial" w:eastAsia="Arial" w:hAnsi="Arial"/>
                <w:sz w:val="10"/>
                <w:szCs w:val="10"/>
                <w:color w:val="auto"/>
              </w:rPr>
              <w:t>≥ 5.5%</w:t>
            </w:r>
          </w:p>
        </w:tc>
        <w:tc>
          <w:tcPr>
            <w:tcW w:w="14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128</w:t>
            </w:r>
          </w:p>
        </w:tc>
        <w:tc>
          <w:tcPr>
            <w:tcW w:w="120" w:type="dxa"/>
            <w:vAlign w:val="bottom"/>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140</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145</w:t>
            </w:r>
          </w:p>
        </w:tc>
        <w:tc>
          <w:tcPr>
            <w:tcW w:w="120" w:type="dxa"/>
            <w:vAlign w:val="bottom"/>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38%</w:t>
            </w:r>
          </w:p>
        </w:tc>
        <w:tc>
          <w:tcPr>
            <w:tcW w:w="220" w:type="dxa"/>
            <w:vAlign w:val="bottom"/>
            <w:shd w:val="clear" w:color="auto" w:fill="CCEEFF"/>
          </w:tcPr>
          <w:p>
            <w:pPr>
              <w:spacing w:after="0"/>
              <w:rPr>
                <w:sz w:val="15"/>
                <w:szCs w:val="15"/>
                <w:color w:val="auto"/>
              </w:rPr>
            </w:pPr>
          </w:p>
        </w:tc>
        <w:tc>
          <w:tcPr>
            <w:tcW w:w="10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8"/>
              </w:rPr>
              <w:t>109.1%</w:t>
            </w:r>
          </w:p>
        </w:tc>
        <w:tc>
          <w:tcPr>
            <w:tcW w:w="120" w:type="dxa"/>
            <w:vAlign w:val="bottom"/>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6.20%</w:t>
            </w:r>
          </w:p>
        </w:tc>
        <w:tc>
          <w:tcPr>
            <w:tcW w:w="100" w:type="dxa"/>
            <w:vAlign w:val="bottom"/>
            <w:shd w:val="clear" w:color="auto" w:fill="CCEEFF"/>
          </w:tcPr>
          <w:p>
            <w:pPr>
              <w:spacing w:after="0"/>
              <w:rPr>
                <w:sz w:val="15"/>
                <w:szCs w:val="15"/>
                <w:color w:val="auto"/>
              </w:rPr>
            </w:pPr>
          </w:p>
        </w:tc>
        <w:tc>
          <w:tcPr>
            <w:tcW w:w="800" w:type="dxa"/>
            <w:vAlign w:val="bottom"/>
            <w:tcBorders>
              <w:bottom w:val="single" w:sz="8" w:color="auto"/>
            </w:tcBorders>
            <w:shd w:val="clear" w:color="auto" w:fill="CCEEFF"/>
          </w:tcPr>
          <w:p>
            <w:pPr>
              <w:ind w:left="280"/>
              <w:spacing w:after="0"/>
              <w:rPr>
                <w:sz w:val="20"/>
                <w:szCs w:val="20"/>
                <w:color w:val="auto"/>
              </w:rPr>
            </w:pPr>
            <w:r>
              <w:rPr>
                <w:rFonts w:ascii="Arial" w:cs="Arial" w:eastAsia="Arial" w:hAnsi="Arial"/>
                <w:sz w:val="10"/>
                <w:szCs w:val="10"/>
                <w:color w:val="auto"/>
              </w:rPr>
              <w:t>3.35%</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center"/>
              <w:ind w:right="152"/>
              <w:spacing w:after="0"/>
              <w:rPr>
                <w:sz w:val="20"/>
                <w:szCs w:val="20"/>
                <w:color w:val="auto"/>
              </w:rPr>
            </w:pPr>
            <w:r>
              <w:rPr>
                <w:rFonts w:ascii="Arial" w:cs="Arial" w:eastAsia="Arial" w:hAnsi="Arial"/>
                <w:sz w:val="10"/>
                <w:szCs w:val="10"/>
                <w:color w:val="auto"/>
                <w:w w:val="95"/>
              </w:rPr>
              <w:t>119</w:t>
            </w:r>
          </w:p>
        </w:tc>
        <w:tc>
          <w:tcPr>
            <w:tcW w:w="100" w:type="dxa"/>
            <w:vAlign w:val="bottom"/>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17%</w:t>
            </w:r>
          </w:p>
        </w:tc>
        <w:tc>
          <w:tcPr>
            <w:tcW w:w="0" w:type="dxa"/>
            <w:vAlign w:val="bottom"/>
          </w:tcPr>
          <w:p>
            <w:pPr>
              <w:spacing w:after="0"/>
              <w:rPr>
                <w:sz w:val="1"/>
                <w:szCs w:val="1"/>
                <w:color w:val="auto"/>
              </w:rPr>
            </w:pPr>
          </w:p>
        </w:tc>
      </w:tr>
      <w:tr>
        <w:trPr>
          <w:trHeight w:val="160"/>
        </w:trPr>
        <w:tc>
          <w:tcPr>
            <w:tcW w:w="2400" w:type="dxa"/>
            <w:vAlign w:val="bottom"/>
            <w:tcBorders>
              <w:bottom w:val="single" w:sz="8" w:color="CCEEFF"/>
            </w:tcBorders>
            <w:gridSpan w:val="2"/>
          </w:tcPr>
          <w:p>
            <w:pPr>
              <w:ind w:left="180"/>
              <w:spacing w:after="0"/>
              <w:rPr>
                <w:sz w:val="20"/>
                <w:szCs w:val="20"/>
                <w:color w:val="auto"/>
              </w:rPr>
            </w:pPr>
            <w:r>
              <w:rPr>
                <w:rFonts w:ascii="Arial" w:cs="Arial" w:eastAsia="Arial" w:hAnsi="Arial"/>
                <w:sz w:val="10"/>
                <w:szCs w:val="10"/>
                <w:color w:val="auto"/>
              </w:rPr>
              <w:t>Total 30-year</w:t>
            </w:r>
          </w:p>
        </w:tc>
        <w:tc>
          <w:tcPr>
            <w:tcW w:w="14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41,303</w:t>
            </w:r>
          </w:p>
        </w:tc>
        <w:tc>
          <w:tcPr>
            <w:tcW w:w="120" w:type="dxa"/>
            <w:vAlign w:val="bottom"/>
            <w:tcBorders>
              <w:bottom w:val="single" w:sz="8" w:color="CCEEFF"/>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43,448</w:t>
            </w:r>
          </w:p>
        </w:tc>
        <w:tc>
          <w:tcPr>
            <w:tcW w:w="120" w:type="dxa"/>
            <w:vAlign w:val="bottom"/>
            <w:tcBorders>
              <w:bottom w:val="single" w:sz="8" w:color="CCEEFF"/>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44,068</w:t>
            </w:r>
          </w:p>
        </w:tc>
        <w:tc>
          <w:tcPr>
            <w:tcW w:w="120" w:type="dxa"/>
            <w:vAlign w:val="bottom"/>
            <w:tcBorders>
              <w:bottom w:val="single" w:sz="8" w:color="CCEEFF"/>
            </w:tcBorders>
          </w:tcPr>
          <w:p>
            <w:pPr>
              <w:spacing w:after="0"/>
              <w:rPr>
                <w:sz w:val="13"/>
                <w:szCs w:val="13"/>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54%</w:t>
            </w:r>
          </w:p>
        </w:tc>
        <w:tc>
          <w:tcPr>
            <w:tcW w:w="220" w:type="dxa"/>
            <w:vAlign w:val="bottom"/>
            <w:tcBorders>
              <w:bottom w:val="single" w:sz="8" w:color="CCEEFF"/>
            </w:tcBorders>
          </w:tcPr>
          <w:p>
            <w:pPr>
              <w:spacing w:after="0"/>
              <w:rPr>
                <w:sz w:val="13"/>
                <w:szCs w:val="13"/>
                <w:color w:val="auto"/>
              </w:rPr>
            </w:pPr>
          </w:p>
        </w:tc>
        <w:tc>
          <w:tcPr>
            <w:tcW w:w="10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8"/>
              </w:rPr>
              <w:t>105.4%</w:t>
            </w:r>
          </w:p>
        </w:tc>
        <w:tc>
          <w:tcPr>
            <w:tcW w:w="120" w:type="dxa"/>
            <w:vAlign w:val="bottom"/>
            <w:tcBorders>
              <w:bottom w:val="single" w:sz="8" w:color="CCEEFF"/>
            </w:tcBorders>
          </w:tcPr>
          <w:p>
            <w:pPr>
              <w:spacing w:after="0"/>
              <w:rPr>
                <w:sz w:val="13"/>
                <w:szCs w:val="13"/>
                <w:color w:val="auto"/>
              </w:rPr>
            </w:pPr>
          </w:p>
        </w:tc>
        <w:tc>
          <w:tcPr>
            <w:tcW w:w="68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4.23%</w:t>
            </w:r>
          </w:p>
        </w:tc>
        <w:tc>
          <w:tcPr>
            <w:tcW w:w="100" w:type="dxa"/>
            <w:vAlign w:val="bottom"/>
            <w:tcBorders>
              <w:bottom w:val="single" w:sz="8" w:color="CCEEFF"/>
            </w:tcBorders>
          </w:tcPr>
          <w:p>
            <w:pPr>
              <w:spacing w:after="0"/>
              <w:rPr>
                <w:sz w:val="13"/>
                <w:szCs w:val="13"/>
                <w:color w:val="auto"/>
              </w:rPr>
            </w:pPr>
          </w:p>
        </w:tc>
        <w:tc>
          <w:tcPr>
            <w:tcW w:w="800" w:type="dxa"/>
            <w:vAlign w:val="bottom"/>
            <w:tcBorders>
              <w:bottom w:val="single" w:sz="8" w:color="auto"/>
            </w:tcBorders>
          </w:tcPr>
          <w:p>
            <w:pPr>
              <w:ind w:left="280"/>
              <w:spacing w:after="0"/>
              <w:rPr>
                <w:sz w:val="20"/>
                <w:szCs w:val="20"/>
                <w:color w:val="auto"/>
              </w:rPr>
            </w:pPr>
            <w:r>
              <w:rPr>
                <w:rFonts w:ascii="Arial" w:cs="Arial" w:eastAsia="Arial" w:hAnsi="Arial"/>
                <w:sz w:val="10"/>
                <w:szCs w:val="10"/>
                <w:color w:val="auto"/>
              </w:rPr>
              <w:t>2.76%</w:t>
            </w:r>
          </w:p>
        </w:tc>
        <w:tc>
          <w:tcPr>
            <w:tcW w:w="100" w:type="dxa"/>
            <w:vAlign w:val="bottom"/>
            <w:tcBorders>
              <w:bottom w:val="single" w:sz="8" w:color="CCEEFF"/>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tcPr>
          <w:p>
            <w:pPr>
              <w:jc w:val="center"/>
              <w:ind w:right="152"/>
              <w:spacing w:after="0"/>
              <w:rPr>
                <w:sz w:val="20"/>
                <w:szCs w:val="20"/>
                <w:color w:val="auto"/>
              </w:rPr>
            </w:pPr>
            <w:r>
              <w:rPr>
                <w:rFonts w:ascii="Arial" w:cs="Arial" w:eastAsia="Arial" w:hAnsi="Arial"/>
                <w:sz w:val="10"/>
                <w:szCs w:val="10"/>
                <w:color w:val="auto"/>
                <w:w w:val="71"/>
              </w:rPr>
              <w:t>40</w:t>
            </w:r>
          </w:p>
        </w:tc>
        <w:tc>
          <w:tcPr>
            <w:tcW w:w="100" w:type="dxa"/>
            <w:vAlign w:val="bottom"/>
            <w:tcBorders>
              <w:bottom w:val="single" w:sz="8" w:color="CCEEFF"/>
            </w:tcBorders>
          </w:tcPr>
          <w:p>
            <w:pPr>
              <w:spacing w:after="0"/>
              <w:rPr>
                <w:sz w:val="13"/>
                <w:szCs w:val="13"/>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10%</w:t>
            </w:r>
          </w:p>
        </w:tc>
        <w:tc>
          <w:tcPr>
            <w:tcW w:w="0" w:type="dxa"/>
            <w:vAlign w:val="bottom"/>
          </w:tcPr>
          <w:p>
            <w:pPr>
              <w:spacing w:after="0"/>
              <w:rPr>
                <w:sz w:val="1"/>
                <w:szCs w:val="1"/>
                <w:color w:val="auto"/>
              </w:rPr>
            </w:pPr>
          </w:p>
        </w:tc>
      </w:tr>
      <w:tr>
        <w:trPr>
          <w:trHeight w:val="175"/>
        </w:trPr>
        <w:tc>
          <w:tcPr>
            <w:tcW w:w="24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Total fixed rate</w:t>
            </w: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57,557</w:t>
            </w: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60,183</w:t>
            </w: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61,197</w:t>
            </w:r>
          </w:p>
        </w:tc>
        <w:tc>
          <w:tcPr>
            <w:tcW w:w="120" w:type="dxa"/>
            <w:vAlign w:val="bottom"/>
            <w:shd w:val="clear" w:color="auto" w:fill="CCEEFF"/>
          </w:tcPr>
          <w:p>
            <w:pPr>
              <w:spacing w:after="0"/>
              <w:rPr>
                <w:sz w:val="15"/>
                <w:szCs w:val="15"/>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57%</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104.6%</w:t>
            </w:r>
          </w:p>
        </w:tc>
        <w:tc>
          <w:tcPr>
            <w:tcW w:w="120" w:type="dxa"/>
            <w:vAlign w:val="bottom"/>
            <w:shd w:val="clear" w:color="auto" w:fill="CCEEFF"/>
          </w:tcPr>
          <w:p>
            <w:pPr>
              <w:spacing w:after="0"/>
              <w:rPr>
                <w:sz w:val="15"/>
                <w:szCs w:val="15"/>
                <w:color w:val="auto"/>
              </w:rPr>
            </w:pPr>
          </w:p>
        </w:tc>
        <w:tc>
          <w:tcPr>
            <w:tcW w:w="6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4.07%</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2.64%</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46</w:t>
            </w:r>
          </w:p>
        </w:tc>
        <w:tc>
          <w:tcPr>
            <w:tcW w:w="100" w:type="dxa"/>
            <w:vAlign w:val="bottom"/>
            <w:shd w:val="clear" w:color="auto" w:fill="CCEEFF"/>
          </w:tcPr>
          <w:p>
            <w:pPr>
              <w:spacing w:after="0"/>
              <w:rPr>
                <w:sz w:val="15"/>
                <w:szCs w:val="15"/>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10%</w:t>
            </w:r>
          </w:p>
        </w:tc>
        <w:tc>
          <w:tcPr>
            <w:tcW w:w="0" w:type="dxa"/>
            <w:vAlign w:val="bottom"/>
          </w:tcPr>
          <w:p>
            <w:pPr>
              <w:spacing w:after="0"/>
              <w:rPr>
                <w:sz w:val="1"/>
                <w:szCs w:val="1"/>
                <w:color w:val="auto"/>
              </w:rPr>
            </w:pPr>
          </w:p>
        </w:tc>
      </w:tr>
      <w:tr>
        <w:trPr>
          <w:trHeight w:val="127"/>
        </w:trPr>
        <w:tc>
          <w:tcPr>
            <w:tcW w:w="2280" w:type="dxa"/>
            <w:vAlign w:val="bottom"/>
            <w:tcBorders>
              <w:top w:val="single" w:sz="8" w:color="CCEEFF"/>
            </w:tcBorders>
          </w:tcPr>
          <w:p>
            <w:pPr>
              <w:spacing w:after="0" w:line="127" w:lineRule="exact"/>
              <w:rPr>
                <w:sz w:val="20"/>
                <w:szCs w:val="20"/>
                <w:color w:val="auto"/>
              </w:rPr>
            </w:pPr>
            <w:r>
              <w:rPr>
                <w:rFonts w:ascii="Arial" w:cs="Arial" w:eastAsia="Arial" w:hAnsi="Arial"/>
                <w:sz w:val="12"/>
                <w:szCs w:val="12"/>
                <w:color w:val="auto"/>
              </w:rPr>
              <w:t>_______________________</w:t>
            </w:r>
          </w:p>
        </w:tc>
        <w:tc>
          <w:tcPr>
            <w:tcW w:w="120" w:type="dxa"/>
            <w:vAlign w:val="bottom"/>
            <w:tcBorders>
              <w:top w:val="single" w:sz="8" w:color="CCEEFF"/>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84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920" w:type="dxa"/>
            <w:vAlign w:val="bottom"/>
            <w:tcBorders>
              <w:top w:val="single" w:sz="8" w:color="auto"/>
            </w:tcBorders>
          </w:tcPr>
          <w:p>
            <w:pPr>
              <w:spacing w:after="0"/>
              <w:rPr>
                <w:sz w:val="11"/>
                <w:szCs w:val="11"/>
                <w:color w:val="auto"/>
              </w:rPr>
            </w:pPr>
          </w:p>
        </w:tc>
        <w:tc>
          <w:tcPr>
            <w:tcW w:w="220" w:type="dxa"/>
            <w:vAlign w:val="bottom"/>
            <w:tcBorders>
              <w:top w:val="single" w:sz="8" w:color="CCEEFF"/>
            </w:tcBorders>
          </w:tcPr>
          <w:p>
            <w:pPr>
              <w:spacing w:after="0"/>
              <w:rPr>
                <w:sz w:val="11"/>
                <w:szCs w:val="11"/>
                <w:color w:val="auto"/>
              </w:rPr>
            </w:pPr>
          </w:p>
        </w:tc>
        <w:tc>
          <w:tcPr>
            <w:tcW w:w="102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840" w:type="dxa"/>
            <w:vAlign w:val="bottom"/>
            <w:tcBorders>
              <w:top w:val="single" w:sz="8" w:color="auto"/>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92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bl>
    <w:p>
      <w:pPr>
        <w:ind w:left="420" w:hanging="212"/>
        <w:spacing w:after="0"/>
        <w:tabs>
          <w:tab w:leader="none" w:pos="420" w:val="left"/>
        </w:tabs>
        <w:numPr>
          <w:ilvl w:val="0"/>
          <w:numId w:val="22"/>
        </w:numPr>
        <w:rPr>
          <w:rFonts w:ascii="Arial" w:cs="Arial" w:eastAsia="Arial" w:hAnsi="Arial"/>
          <w:sz w:val="8"/>
          <w:szCs w:val="8"/>
          <w:color w:val="auto"/>
        </w:rPr>
      </w:pPr>
      <w:r>
        <w:rPr>
          <w:rFonts w:ascii="Arial" w:cs="Arial" w:eastAsia="Arial" w:hAnsi="Arial"/>
          <w:sz w:val="8"/>
          <w:szCs w:val="8"/>
          <w:color w:val="auto"/>
        </w:rPr>
        <w:t>Lower loan balance securities represent pools backed by an original loan balance of ≤ $150,000. Our lower loan balance securities had a weighted average original loan balance of $97,000 and $100,000 for 15-year and 30-year securities, respectively, as of September 30, 2016.</w:t>
      </w:r>
    </w:p>
    <w:p>
      <w:pPr>
        <w:spacing w:after="0" w:line="16" w:lineRule="exact"/>
        <w:rPr>
          <w:rFonts w:ascii="Arial" w:cs="Arial" w:eastAsia="Arial" w:hAnsi="Arial"/>
          <w:sz w:val="8"/>
          <w:szCs w:val="8"/>
          <w:color w:val="auto"/>
        </w:rPr>
      </w:pPr>
    </w:p>
    <w:p>
      <w:pPr>
        <w:ind w:left="420" w:hanging="212"/>
        <w:spacing w:after="0" w:line="225" w:lineRule="auto"/>
        <w:tabs>
          <w:tab w:leader="none" w:pos="420" w:val="left"/>
        </w:tabs>
        <w:numPr>
          <w:ilvl w:val="0"/>
          <w:numId w:val="22"/>
        </w:numPr>
        <w:rPr>
          <w:rFonts w:ascii="Arial" w:cs="Arial" w:eastAsia="Arial" w:hAnsi="Arial"/>
          <w:sz w:val="10"/>
          <w:szCs w:val="10"/>
          <w:color w:val="auto"/>
        </w:rPr>
      </w:pPr>
      <w:r>
        <w:rPr>
          <w:rFonts w:ascii="Arial" w:cs="Arial" w:eastAsia="Arial" w:hAnsi="Arial"/>
          <w:sz w:val="10"/>
          <w:szCs w:val="10"/>
          <w:color w:val="auto"/>
        </w:rPr>
        <w:t>HARP securities are defined as pools backed by 100% refinance loans with LTV ≥ 80%. Our HARP securities had a weighted average LTV of 113% and 135% for 15-year and 30-year securities, respectively, as of September 30, 2016. Includes $0.8 billion and $5.4 billion of 15-year and 30-year securities, respectively, with &gt;105 LTV pools, which are not deliverable into TBA securities.</w:t>
      </w:r>
    </w:p>
    <w:p>
      <w:pPr>
        <w:ind w:left="420" w:hanging="212"/>
        <w:spacing w:after="0" w:line="225" w:lineRule="auto"/>
        <w:tabs>
          <w:tab w:leader="none" w:pos="420" w:val="left"/>
        </w:tabs>
        <w:numPr>
          <w:ilvl w:val="0"/>
          <w:numId w:val="22"/>
        </w:numPr>
        <w:rPr>
          <w:rFonts w:ascii="Arial" w:cs="Arial" w:eastAsia="Arial" w:hAnsi="Arial"/>
          <w:sz w:val="10"/>
          <w:szCs w:val="10"/>
          <w:color w:val="auto"/>
        </w:rPr>
      </w:pPr>
      <w:r>
        <w:rPr>
          <w:rFonts w:ascii="Arial" w:cs="Arial" w:eastAsia="Arial" w:hAnsi="Arial"/>
          <w:sz w:val="10"/>
          <w:szCs w:val="10"/>
          <w:color w:val="auto"/>
        </w:rPr>
        <w:t>WAC represents the weighted average coupon of the underlying collateral.</w:t>
      </w:r>
    </w:p>
    <w:p>
      <w:pPr>
        <w:ind w:left="420" w:hanging="212"/>
        <w:spacing w:after="0" w:line="236" w:lineRule="auto"/>
        <w:tabs>
          <w:tab w:leader="none" w:pos="420" w:val="left"/>
        </w:tabs>
        <w:numPr>
          <w:ilvl w:val="0"/>
          <w:numId w:val="22"/>
        </w:numPr>
        <w:rPr>
          <w:rFonts w:ascii="Arial" w:cs="Arial" w:eastAsia="Arial" w:hAnsi="Arial"/>
          <w:sz w:val="10"/>
          <w:szCs w:val="10"/>
          <w:color w:val="auto"/>
        </w:rPr>
      </w:pPr>
      <w:r>
        <w:rPr>
          <w:rFonts w:ascii="Arial" w:cs="Arial" w:eastAsia="Arial" w:hAnsi="Arial"/>
          <w:sz w:val="10"/>
          <w:szCs w:val="10"/>
          <w:color w:val="auto"/>
        </w:rPr>
        <w:t>Portfolio yield incorporates a projected life CPR assumption based on forward rate assumptions as of September 30, 2016.</w:t>
      </w:r>
    </w:p>
    <w:p>
      <w:pPr>
        <w:spacing w:after="0" w:line="200" w:lineRule="exact"/>
        <w:rPr>
          <w:sz w:val="20"/>
          <w:szCs w:val="20"/>
          <w:color w:val="auto"/>
        </w:rPr>
      </w:pPr>
    </w:p>
    <w:p>
      <w:pPr>
        <w:spacing w:after="0" w:line="205"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34</w:t>
      </w:r>
    </w:p>
    <w:p>
      <w:pPr>
        <w:sectPr>
          <w:pgSz w:w="11900" w:h="16838" w:orient="portrait"/>
          <w:cols w:equalWidth="0" w:num="1">
            <w:col w:w="11480"/>
          </w:cols>
          <w:pgMar w:left="220" w:top="545" w:right="199" w:bottom="1440" w:gutter="0" w:footer="0" w:header="0"/>
        </w:sectPr>
      </w:pPr>
    </w:p>
    <w:bookmarkStart w:id="35" w:name="page36"/>
    <w:bookmarkEnd w:id="35"/>
    <w:tbl>
      <w:tblPr>
        <w:tblLayout w:type="fixed"/>
        <w:tblInd w:w="0" w:type="dxa"/>
        <w:tblCellMar>
          <w:top w:w="0" w:type="dxa"/>
          <w:left w:w="0" w:type="dxa"/>
          <w:bottom w:w="0" w:type="dxa"/>
          <w:right w:w="0" w:type="dxa"/>
        </w:tblCellMar>
      </w:tblPr>
      <w:tr>
        <w:trPr>
          <w:trHeight w:val="128"/>
        </w:trPr>
        <w:tc>
          <w:tcPr>
            <w:tcW w:w="2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1360" w:type="dxa"/>
            <w:vAlign w:val="bottom"/>
            <w:tcBorders>
              <w:bottom w:val="single" w:sz="8" w:color="auto"/>
            </w:tcBorders>
            <w:gridSpan w:val="3"/>
          </w:tcPr>
          <w:p>
            <w:pPr>
              <w:ind w:left="200"/>
              <w:spacing w:after="0"/>
              <w:rPr>
                <w:sz w:val="20"/>
                <w:szCs w:val="20"/>
                <w:color w:val="auto"/>
              </w:rPr>
            </w:pPr>
            <w:r>
              <w:rPr>
                <w:rFonts w:ascii="Arial" w:cs="Arial" w:eastAsia="Arial" w:hAnsi="Arial"/>
                <w:sz w:val="10"/>
                <w:szCs w:val="10"/>
                <w:b w:val="1"/>
                <w:bCs w:val="1"/>
                <w:color w:val="auto"/>
              </w:rPr>
              <w:t>December 31, 2015</w:t>
            </w:r>
          </w:p>
        </w:tc>
        <w:tc>
          <w:tcPr>
            <w:tcW w:w="6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69"/>
        </w:trPr>
        <w:tc>
          <w:tcPr>
            <w:tcW w:w="2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900" w:type="dxa"/>
            <w:vAlign w:val="bottom"/>
            <w:tcBorders>
              <w:bottom w:val="single" w:sz="8" w:color="auto"/>
            </w:tcBorders>
            <w:gridSpan w:val="5"/>
          </w:tcPr>
          <w:p>
            <w:pPr>
              <w:ind w:left="320"/>
              <w:spacing w:after="0"/>
              <w:rPr>
                <w:sz w:val="20"/>
                <w:szCs w:val="20"/>
                <w:color w:val="auto"/>
              </w:rPr>
            </w:pPr>
            <w:r>
              <w:rPr>
                <w:rFonts w:ascii="Arial" w:cs="Arial" w:eastAsia="Arial" w:hAnsi="Arial"/>
                <w:sz w:val="10"/>
                <w:szCs w:val="10"/>
                <w:b w:val="1"/>
                <w:bCs w:val="1"/>
                <w:color w:val="auto"/>
              </w:rPr>
              <w:t>Includes Net TBA Position</w:t>
            </w:r>
          </w:p>
        </w:tc>
        <w:tc>
          <w:tcPr>
            <w:tcW w:w="920" w:type="dxa"/>
            <w:vAlign w:val="bottom"/>
            <w:tcBorders>
              <w:bottom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gridSpan w:val="4"/>
          </w:tcPr>
          <w:p>
            <w:pPr>
              <w:ind w:left="60"/>
              <w:spacing w:after="0"/>
              <w:rPr>
                <w:sz w:val="20"/>
                <w:szCs w:val="20"/>
                <w:color w:val="auto"/>
              </w:rPr>
            </w:pPr>
            <w:r>
              <w:rPr>
                <w:rFonts w:ascii="Arial" w:cs="Arial" w:eastAsia="Arial" w:hAnsi="Arial"/>
                <w:sz w:val="10"/>
                <w:szCs w:val="10"/>
                <w:b w:val="1"/>
                <w:bCs w:val="1"/>
                <w:color w:val="auto"/>
                <w:w w:val="87"/>
              </w:rPr>
              <w:t>Excludes Net TBA Position</w:t>
            </w:r>
          </w:p>
        </w:tc>
        <w:tc>
          <w:tcPr>
            <w:tcW w:w="8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60" w:type="dxa"/>
            <w:vAlign w:val="bottom"/>
            <w:gridSpan w:val="2"/>
            <w:vMerge w:val="restart"/>
          </w:tcPr>
          <w:p>
            <w:pPr>
              <w:ind w:left="120"/>
              <w:spacing w:after="0"/>
              <w:rPr>
                <w:sz w:val="20"/>
                <w:szCs w:val="20"/>
                <w:color w:val="auto"/>
              </w:rPr>
            </w:pPr>
            <w:r>
              <w:rPr>
                <w:rFonts w:ascii="Arial" w:cs="Arial" w:eastAsia="Arial" w:hAnsi="Arial"/>
                <w:sz w:val="10"/>
                <w:szCs w:val="10"/>
                <w:b w:val="1"/>
                <w:bCs w:val="1"/>
                <w:color w:val="auto"/>
              </w:rPr>
              <w:t>Amortized</w:t>
            </w:r>
          </w:p>
        </w:tc>
        <w:tc>
          <w:tcPr>
            <w:tcW w:w="1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vMerge w:val="restart"/>
          </w:tcPr>
          <w:p>
            <w:pPr>
              <w:jc w:val="center"/>
              <w:spacing w:after="0"/>
              <w:rPr>
                <w:sz w:val="20"/>
                <w:szCs w:val="20"/>
                <w:color w:val="auto"/>
              </w:rPr>
            </w:pPr>
            <w:r>
              <w:rPr>
                <w:rFonts w:ascii="Arial" w:cs="Arial" w:eastAsia="Arial" w:hAnsi="Arial"/>
                <w:sz w:val="10"/>
                <w:szCs w:val="10"/>
                <w:b w:val="1"/>
                <w:bCs w:val="1"/>
                <w:color w:val="auto"/>
                <w:w w:val="91"/>
              </w:rPr>
              <w:t>% Lower Loan</w:t>
            </w:r>
          </w:p>
        </w:tc>
        <w:tc>
          <w:tcPr>
            <w:tcW w:w="220" w:type="dxa"/>
            <w:vAlign w:val="bottom"/>
          </w:tcPr>
          <w:p>
            <w:pPr>
              <w:spacing w:after="0"/>
              <w:rPr>
                <w:sz w:val="14"/>
                <w:szCs w:val="14"/>
                <w:color w:val="auto"/>
              </w:rPr>
            </w:pPr>
          </w:p>
        </w:tc>
        <w:tc>
          <w:tcPr>
            <w:tcW w:w="1140" w:type="dxa"/>
            <w:vAlign w:val="bottom"/>
            <w:gridSpan w:val="2"/>
            <w:vMerge w:val="restart"/>
          </w:tcPr>
          <w:p>
            <w:pPr>
              <w:ind w:left="300"/>
              <w:spacing w:after="0"/>
              <w:rPr>
                <w:sz w:val="20"/>
                <w:szCs w:val="20"/>
                <w:color w:val="auto"/>
              </w:rPr>
            </w:pPr>
            <w:r>
              <w:rPr>
                <w:rFonts w:ascii="Arial" w:cs="Arial" w:eastAsia="Arial" w:hAnsi="Arial"/>
                <w:sz w:val="10"/>
                <w:szCs w:val="10"/>
                <w:b w:val="1"/>
                <w:bCs w:val="1"/>
                <w:color w:val="auto"/>
              </w:rPr>
              <w:t>Amortized</w:t>
            </w:r>
          </w:p>
        </w:tc>
        <w:tc>
          <w:tcPr>
            <w:tcW w:w="6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gridSpan w:val="3"/>
          </w:tcPr>
          <w:p>
            <w:pPr>
              <w:ind w:left="200"/>
              <w:spacing w:after="0"/>
              <w:rPr>
                <w:sz w:val="20"/>
                <w:szCs w:val="20"/>
                <w:color w:val="auto"/>
              </w:rPr>
            </w:pPr>
            <w:r>
              <w:rPr>
                <w:rFonts w:ascii="Arial" w:cs="Arial" w:eastAsia="Arial" w:hAnsi="Arial"/>
                <w:sz w:val="10"/>
                <w:szCs w:val="10"/>
                <w:b w:val="1"/>
                <w:bCs w:val="1"/>
                <w:color w:val="auto"/>
              </w:rPr>
              <w:t>Weighted Average</w:t>
            </w:r>
          </w:p>
        </w:tc>
        <w:tc>
          <w:tcPr>
            <w:tcW w:w="8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vMerge w:val="restart"/>
          </w:tcPr>
          <w:p>
            <w:pPr>
              <w:jc w:val="center"/>
              <w:spacing w:after="0"/>
              <w:rPr>
                <w:sz w:val="20"/>
                <w:szCs w:val="20"/>
                <w:color w:val="auto"/>
              </w:rPr>
            </w:pPr>
            <w:r>
              <w:rPr>
                <w:rFonts w:ascii="Arial" w:cs="Arial" w:eastAsia="Arial" w:hAnsi="Arial"/>
                <w:sz w:val="10"/>
                <w:szCs w:val="10"/>
                <w:b w:val="1"/>
                <w:bCs w:val="1"/>
                <w:color w:val="auto"/>
                <w:w w:val="87"/>
              </w:rPr>
              <w:t>Projected Life</w:t>
            </w:r>
          </w:p>
        </w:tc>
        <w:tc>
          <w:tcPr>
            <w:tcW w:w="0" w:type="dxa"/>
            <w:vAlign w:val="bottom"/>
          </w:tcPr>
          <w:p>
            <w:pPr>
              <w:spacing w:after="0"/>
              <w:rPr>
                <w:sz w:val="1"/>
                <w:szCs w:val="1"/>
                <w:color w:val="auto"/>
              </w:rPr>
            </w:pPr>
          </w:p>
        </w:tc>
      </w:tr>
      <w:tr>
        <w:trPr>
          <w:trHeight w:val="42"/>
        </w:trPr>
        <w:tc>
          <w:tcPr>
            <w:tcW w:w="22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80" w:type="dxa"/>
            <w:vAlign w:val="bottom"/>
          </w:tcPr>
          <w:p>
            <w:pPr>
              <w:spacing w:after="0"/>
              <w:rPr>
                <w:sz w:val="3"/>
                <w:szCs w:val="3"/>
                <w:color w:val="auto"/>
              </w:rPr>
            </w:pPr>
          </w:p>
        </w:tc>
        <w:tc>
          <w:tcPr>
            <w:tcW w:w="960" w:type="dxa"/>
            <w:vAlign w:val="bottom"/>
            <w:gridSpan w:val="2"/>
            <w:vMerge w:val="continue"/>
          </w:tcPr>
          <w:p>
            <w:pPr>
              <w:spacing w:after="0"/>
              <w:rPr>
                <w:sz w:val="3"/>
                <w:szCs w:val="3"/>
                <w:color w:val="auto"/>
              </w:rPr>
            </w:pPr>
          </w:p>
        </w:tc>
        <w:tc>
          <w:tcPr>
            <w:tcW w:w="14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20" w:type="dxa"/>
            <w:vAlign w:val="bottom"/>
            <w:vMerge w:val="continue"/>
          </w:tcPr>
          <w:p>
            <w:pPr>
              <w:spacing w:after="0"/>
              <w:rPr>
                <w:sz w:val="3"/>
                <w:szCs w:val="3"/>
                <w:color w:val="auto"/>
              </w:rPr>
            </w:pPr>
          </w:p>
        </w:tc>
        <w:tc>
          <w:tcPr>
            <w:tcW w:w="220" w:type="dxa"/>
            <w:vAlign w:val="bottom"/>
          </w:tcPr>
          <w:p>
            <w:pPr>
              <w:spacing w:after="0"/>
              <w:rPr>
                <w:sz w:val="3"/>
                <w:szCs w:val="3"/>
                <w:color w:val="auto"/>
              </w:rPr>
            </w:pPr>
          </w:p>
        </w:tc>
        <w:tc>
          <w:tcPr>
            <w:tcW w:w="1140" w:type="dxa"/>
            <w:vAlign w:val="bottom"/>
            <w:gridSpan w:val="2"/>
            <w:vMerge w:val="continue"/>
          </w:tcPr>
          <w:p>
            <w:pPr>
              <w:spacing w:after="0"/>
              <w:rPr>
                <w:sz w:val="3"/>
                <w:szCs w:val="3"/>
                <w:color w:val="auto"/>
              </w:rPr>
            </w:pPr>
          </w:p>
        </w:tc>
        <w:tc>
          <w:tcPr>
            <w:tcW w:w="68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28"/>
        </w:trPr>
        <w:tc>
          <w:tcPr>
            <w:tcW w:w="228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Agency Fixed Rate Securities</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b w:val="1"/>
                <w:bCs w:val="1"/>
                <w:color w:val="auto"/>
              </w:rPr>
              <w:t>Par Value</w:t>
            </w:r>
          </w:p>
        </w:tc>
        <w:tc>
          <w:tcPr>
            <w:tcW w:w="12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jc w:val="right"/>
              <w:ind w:right="372"/>
              <w:spacing w:after="0"/>
              <w:rPr>
                <w:sz w:val="20"/>
                <w:szCs w:val="20"/>
                <w:color w:val="auto"/>
              </w:rPr>
            </w:pPr>
            <w:r>
              <w:rPr>
                <w:rFonts w:ascii="Arial" w:cs="Arial" w:eastAsia="Arial" w:hAnsi="Arial"/>
                <w:sz w:val="10"/>
                <w:szCs w:val="10"/>
                <w:b w:val="1"/>
                <w:bCs w:val="1"/>
                <w:color w:val="auto"/>
              </w:rPr>
              <w:t>Cost</w:t>
            </w:r>
          </w:p>
        </w:tc>
        <w:tc>
          <w:tcPr>
            <w:tcW w:w="12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b w:val="1"/>
                <w:bCs w:val="1"/>
                <w:color w:val="auto"/>
                <w:w w:val="96"/>
              </w:rPr>
              <w:t>Fair Value</w:t>
            </w:r>
          </w:p>
        </w:tc>
        <w:tc>
          <w:tcPr>
            <w:tcW w:w="12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1"/>
              </w:rPr>
              <w:t xml:space="preserve">Balance &amp; HARP </w:t>
            </w:r>
            <w:r>
              <w:rPr>
                <w:rFonts w:ascii="Arial" w:cs="Arial" w:eastAsia="Arial" w:hAnsi="Arial"/>
                <w:sz w:val="5"/>
                <w:szCs w:val="5"/>
                <w:b w:val="1"/>
                <w:bCs w:val="1"/>
                <w:color w:val="auto"/>
                <w:w w:val="91"/>
              </w:rPr>
              <w:t>1,2</w:t>
            </w:r>
          </w:p>
        </w:tc>
        <w:tc>
          <w:tcPr>
            <w:tcW w:w="220" w:type="dxa"/>
            <w:vAlign w:val="bottom"/>
            <w:tcBorders>
              <w:bottom w:val="single" w:sz="8" w:color="CCEEFF"/>
            </w:tcBorders>
          </w:tcPr>
          <w:p>
            <w:pPr>
              <w:spacing w:after="0"/>
              <w:rPr>
                <w:sz w:val="11"/>
                <w:szCs w:val="11"/>
                <w:color w:val="auto"/>
              </w:rPr>
            </w:pPr>
          </w:p>
        </w:tc>
        <w:tc>
          <w:tcPr>
            <w:tcW w:w="1020" w:type="dxa"/>
            <w:vAlign w:val="bottom"/>
            <w:tcBorders>
              <w:bottom w:val="single" w:sz="8" w:color="auto"/>
            </w:tcBorders>
          </w:tcPr>
          <w:p>
            <w:pPr>
              <w:ind w:left="300"/>
              <w:spacing w:after="0"/>
              <w:rPr>
                <w:sz w:val="20"/>
                <w:szCs w:val="20"/>
                <w:color w:val="auto"/>
              </w:rPr>
            </w:pPr>
            <w:r>
              <w:rPr>
                <w:rFonts w:ascii="Arial" w:cs="Arial" w:eastAsia="Arial" w:hAnsi="Arial"/>
                <w:sz w:val="10"/>
                <w:szCs w:val="10"/>
                <w:b w:val="1"/>
                <w:bCs w:val="1"/>
                <w:color w:val="auto"/>
              </w:rPr>
              <w:t>Cost Basis</w:t>
            </w:r>
          </w:p>
        </w:tc>
        <w:tc>
          <w:tcPr>
            <w:tcW w:w="120" w:type="dxa"/>
            <w:vAlign w:val="bottom"/>
            <w:tcBorders>
              <w:bottom w:val="single" w:sz="8" w:color="CCEEFF"/>
            </w:tcBorders>
          </w:tcPr>
          <w:p>
            <w:pPr>
              <w:spacing w:after="0"/>
              <w:rPr>
                <w:sz w:val="11"/>
                <w:szCs w:val="11"/>
                <w:color w:val="auto"/>
              </w:rPr>
            </w:pPr>
          </w:p>
        </w:tc>
        <w:tc>
          <w:tcPr>
            <w:tcW w:w="680" w:type="dxa"/>
            <w:vAlign w:val="bottom"/>
            <w:tcBorders>
              <w:bottom w:val="single" w:sz="8" w:color="auto"/>
            </w:tcBorders>
          </w:tcPr>
          <w:p>
            <w:pPr>
              <w:ind w:left="200"/>
              <w:spacing w:after="0"/>
              <w:rPr>
                <w:sz w:val="20"/>
                <w:szCs w:val="20"/>
                <w:color w:val="auto"/>
              </w:rPr>
            </w:pPr>
            <w:r>
              <w:rPr>
                <w:rFonts w:ascii="Arial" w:cs="Arial" w:eastAsia="Arial" w:hAnsi="Arial"/>
                <w:sz w:val="10"/>
                <w:szCs w:val="10"/>
                <w:b w:val="1"/>
                <w:bCs w:val="1"/>
                <w:color w:val="auto"/>
              </w:rPr>
              <w:t xml:space="preserve">WAC </w:t>
            </w:r>
            <w:r>
              <w:rPr>
                <w:rFonts w:ascii="Arial" w:cs="Arial" w:eastAsia="Arial" w:hAnsi="Arial"/>
                <w:sz w:val="5"/>
                <w:szCs w:val="5"/>
                <w:b w:val="1"/>
                <w:bCs w:val="1"/>
                <w:color w:val="auto"/>
              </w:rPr>
              <w:t>3</w:t>
            </w:r>
          </w:p>
        </w:tc>
        <w:tc>
          <w:tcPr>
            <w:tcW w:w="100" w:type="dxa"/>
            <w:vAlign w:val="bottom"/>
            <w:tcBorders>
              <w:bottom w:val="single" w:sz="8" w:color="CCEEFF"/>
            </w:tcBorders>
          </w:tcPr>
          <w:p>
            <w:pPr>
              <w:spacing w:after="0"/>
              <w:rPr>
                <w:sz w:val="11"/>
                <w:szCs w:val="11"/>
                <w:color w:val="auto"/>
              </w:rPr>
            </w:pPr>
          </w:p>
        </w:tc>
        <w:tc>
          <w:tcPr>
            <w:tcW w:w="800" w:type="dxa"/>
            <w:vAlign w:val="bottom"/>
            <w:tcBorders>
              <w:bottom w:val="single" w:sz="8" w:color="auto"/>
            </w:tcBorders>
          </w:tcPr>
          <w:p>
            <w:pPr>
              <w:ind w:left="260"/>
              <w:spacing w:after="0"/>
              <w:rPr>
                <w:sz w:val="20"/>
                <w:szCs w:val="20"/>
                <w:color w:val="auto"/>
              </w:rPr>
            </w:pPr>
            <w:r>
              <w:rPr>
                <w:rFonts w:ascii="Arial" w:cs="Arial" w:eastAsia="Arial" w:hAnsi="Arial"/>
                <w:sz w:val="10"/>
                <w:szCs w:val="10"/>
                <w:b w:val="1"/>
                <w:bCs w:val="1"/>
                <w:color w:val="auto"/>
              </w:rPr>
              <w:t xml:space="preserve">Yield </w:t>
            </w:r>
            <w:r>
              <w:rPr>
                <w:rFonts w:ascii="Arial" w:cs="Arial" w:eastAsia="Arial" w:hAnsi="Arial"/>
                <w:sz w:val="5"/>
                <w:szCs w:val="5"/>
                <w:b w:val="1"/>
                <w:bCs w:val="1"/>
                <w:color w:val="auto"/>
              </w:rPr>
              <w:t>4</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ind w:left="40"/>
              <w:spacing w:after="0"/>
              <w:rPr>
                <w:sz w:val="20"/>
                <w:szCs w:val="20"/>
                <w:color w:val="auto"/>
              </w:rPr>
            </w:pPr>
            <w:r>
              <w:rPr>
                <w:rFonts w:ascii="Arial" w:cs="Arial" w:eastAsia="Arial" w:hAnsi="Arial"/>
                <w:sz w:val="10"/>
                <w:szCs w:val="10"/>
                <w:b w:val="1"/>
                <w:bCs w:val="1"/>
                <w:color w:val="auto"/>
              </w:rPr>
              <w:t>Age (Months)</w:t>
            </w:r>
          </w:p>
        </w:tc>
        <w:tc>
          <w:tcPr>
            <w:tcW w:w="10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 xml:space="preserve">CPR </w:t>
            </w:r>
            <w:r>
              <w:rPr>
                <w:rFonts w:ascii="Arial" w:cs="Arial" w:eastAsia="Arial" w:hAnsi="Arial"/>
                <w:sz w:val="5"/>
                <w:szCs w:val="5"/>
                <w:b w:val="1"/>
                <w:bCs w:val="1"/>
                <w:color w:val="auto"/>
                <w:w w:val="89"/>
              </w:rPr>
              <w:t>4</w:t>
            </w:r>
          </w:p>
        </w:tc>
        <w:tc>
          <w:tcPr>
            <w:tcW w:w="0" w:type="dxa"/>
            <w:vAlign w:val="bottom"/>
          </w:tcPr>
          <w:p>
            <w:pPr>
              <w:spacing w:after="0"/>
              <w:rPr>
                <w:sz w:val="1"/>
                <w:szCs w:val="1"/>
                <w:color w:val="auto"/>
              </w:rPr>
            </w:pPr>
          </w:p>
        </w:tc>
      </w:tr>
      <w:tr>
        <w:trPr>
          <w:trHeight w:val="173"/>
        </w:trPr>
        <w:tc>
          <w:tcPr>
            <w:tcW w:w="24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Fixed rate</w:t>
            </w:r>
          </w:p>
        </w:tc>
        <w:tc>
          <w:tcPr>
            <w:tcW w:w="14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2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0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9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2400" w:type="dxa"/>
            <w:vAlign w:val="bottom"/>
            <w:gridSpan w:val="2"/>
          </w:tcPr>
          <w:p>
            <w:pPr>
              <w:ind w:left="380"/>
              <w:spacing w:after="0"/>
              <w:rPr>
                <w:sz w:val="20"/>
                <w:szCs w:val="20"/>
                <w:color w:val="auto"/>
              </w:rPr>
            </w:pPr>
            <w:r>
              <w:rPr>
                <w:rFonts w:ascii="Arial" w:cs="Arial" w:eastAsia="Arial" w:hAnsi="Arial"/>
                <w:sz w:val="10"/>
                <w:szCs w:val="10"/>
                <w:color w:val="auto"/>
              </w:rPr>
              <w:t>≤ 15-year</w:t>
            </w:r>
          </w:p>
        </w:tc>
        <w:tc>
          <w:tcPr>
            <w:tcW w:w="14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4"/>
        </w:trPr>
        <w:tc>
          <w:tcPr>
            <w:tcW w:w="2400" w:type="dxa"/>
            <w:vAlign w:val="bottom"/>
            <w:gridSpan w:val="2"/>
            <w:shd w:val="clear" w:color="auto" w:fill="CCEEFF"/>
          </w:tcPr>
          <w:p>
            <w:pPr>
              <w:ind w:left="260"/>
              <w:spacing w:after="0"/>
              <w:rPr>
                <w:sz w:val="20"/>
                <w:szCs w:val="20"/>
                <w:color w:val="auto"/>
              </w:rPr>
            </w:pPr>
            <w:r>
              <w:rPr>
                <w:rFonts w:ascii="Arial" w:cs="Arial" w:eastAsia="Arial" w:hAnsi="Arial"/>
                <w:sz w:val="10"/>
                <w:szCs w:val="10"/>
                <w:color w:val="auto"/>
              </w:rPr>
              <w:t>≤ 2.5%</w:t>
            </w: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4,162</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4,238</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4,221</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47%</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101.8%</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2.97%</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2.04%</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38</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8%</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3.0%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4,178</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4,307</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4,319</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73%</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103.1%</w:t>
            </w:r>
          </w:p>
        </w:tc>
        <w:tc>
          <w:tcPr>
            <w:tcW w:w="120" w:type="dxa"/>
            <w:vAlign w:val="bottom"/>
          </w:tcPr>
          <w:p>
            <w:pPr>
              <w:spacing w:after="0"/>
              <w:rPr>
                <w:sz w:val="15"/>
                <w:szCs w:val="15"/>
                <w:color w:val="auto"/>
              </w:rPr>
            </w:pPr>
          </w:p>
        </w:tc>
        <w:tc>
          <w:tcPr>
            <w:tcW w:w="680" w:type="dxa"/>
            <w:vAlign w:val="bottom"/>
          </w:tcPr>
          <w:p>
            <w:pPr>
              <w:ind w:left="220"/>
              <w:spacing w:after="0"/>
              <w:rPr>
                <w:sz w:val="20"/>
                <w:szCs w:val="20"/>
                <w:color w:val="auto"/>
              </w:rPr>
            </w:pPr>
            <w:r>
              <w:rPr>
                <w:rFonts w:ascii="Arial" w:cs="Arial" w:eastAsia="Arial" w:hAnsi="Arial"/>
                <w:sz w:val="10"/>
                <w:szCs w:val="10"/>
                <w:color w:val="auto"/>
              </w:rPr>
              <w:t>3.50%</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2.22%</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43</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2"/>
              </w:rPr>
              <w:t>9%</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3.5%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4,332</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4,489</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4,557</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88%</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103.6%</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3.95%</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2.53%</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51</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10%</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4.0%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3,439</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3,591</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3,662</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89%</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104.4%</w:t>
            </w:r>
          </w:p>
        </w:tc>
        <w:tc>
          <w:tcPr>
            <w:tcW w:w="120" w:type="dxa"/>
            <w:vAlign w:val="bottom"/>
          </w:tcPr>
          <w:p>
            <w:pPr>
              <w:spacing w:after="0"/>
              <w:rPr>
                <w:sz w:val="15"/>
                <w:szCs w:val="15"/>
                <w:color w:val="auto"/>
              </w:rPr>
            </w:pPr>
          </w:p>
        </w:tc>
        <w:tc>
          <w:tcPr>
            <w:tcW w:w="680" w:type="dxa"/>
            <w:vAlign w:val="bottom"/>
          </w:tcPr>
          <w:p>
            <w:pPr>
              <w:ind w:left="220"/>
              <w:spacing w:after="0"/>
              <w:rPr>
                <w:sz w:val="20"/>
                <w:szCs w:val="20"/>
                <w:color w:val="auto"/>
              </w:rPr>
            </w:pPr>
            <w:r>
              <w:rPr>
                <w:rFonts w:ascii="Arial" w:cs="Arial" w:eastAsia="Arial" w:hAnsi="Arial"/>
                <w:sz w:val="10"/>
                <w:szCs w:val="10"/>
                <w:color w:val="auto"/>
              </w:rPr>
              <w:t>4.40%</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2.71%</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60</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79"/>
              </w:rPr>
              <w:t>11%</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4.5%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372</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390</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394</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98%</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104.9%</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4.87%</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3.04%</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64</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12%</w:t>
            </w:r>
          </w:p>
        </w:tc>
        <w:tc>
          <w:tcPr>
            <w:tcW w:w="0" w:type="dxa"/>
            <w:vAlign w:val="bottom"/>
          </w:tcPr>
          <w:p>
            <w:pPr>
              <w:spacing w:after="0"/>
              <w:rPr>
                <w:sz w:val="1"/>
                <w:szCs w:val="1"/>
                <w:color w:val="auto"/>
              </w:rPr>
            </w:pPr>
          </w:p>
        </w:tc>
      </w:tr>
      <w:tr>
        <w:trPr>
          <w:trHeight w:val="176"/>
        </w:trPr>
        <w:tc>
          <w:tcPr>
            <w:tcW w:w="2400" w:type="dxa"/>
            <w:vAlign w:val="bottom"/>
            <w:tcBorders>
              <w:bottom w:val="single" w:sz="8" w:color="CCEEFF"/>
            </w:tcBorders>
            <w:gridSpan w:val="2"/>
          </w:tcPr>
          <w:p>
            <w:pPr>
              <w:ind w:left="240"/>
              <w:spacing w:after="0"/>
              <w:rPr>
                <w:sz w:val="20"/>
                <w:szCs w:val="20"/>
                <w:color w:val="auto"/>
              </w:rPr>
            </w:pPr>
            <w:r>
              <w:rPr>
                <w:rFonts w:ascii="Arial" w:cs="Arial" w:eastAsia="Arial" w:hAnsi="Arial"/>
                <w:sz w:val="10"/>
                <w:szCs w:val="10"/>
                <w:color w:val="auto"/>
              </w:rPr>
              <w:t>≥ 5.0%</w:t>
            </w:r>
          </w:p>
        </w:tc>
        <w:tc>
          <w:tcPr>
            <w:tcW w:w="14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5</w:t>
            </w:r>
          </w:p>
        </w:tc>
        <w:tc>
          <w:tcPr>
            <w:tcW w:w="12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8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5</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5</w:t>
            </w:r>
          </w:p>
        </w:tc>
        <w:tc>
          <w:tcPr>
            <w:tcW w:w="120" w:type="dxa"/>
            <w:vAlign w:val="bottom"/>
            <w:tcBorders>
              <w:bottom w:val="single" w:sz="8" w:color="CCEEFF"/>
            </w:tcBorders>
          </w:tcPr>
          <w:p>
            <w:pPr>
              <w:spacing w:after="0"/>
              <w:rPr>
                <w:sz w:val="15"/>
                <w:szCs w:val="15"/>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28%</w:t>
            </w:r>
          </w:p>
        </w:tc>
        <w:tc>
          <w:tcPr>
            <w:tcW w:w="220" w:type="dxa"/>
            <w:vAlign w:val="bottom"/>
            <w:tcBorders>
              <w:bottom w:val="single" w:sz="8" w:color="CCEEFF"/>
            </w:tcBorders>
          </w:tcPr>
          <w:p>
            <w:pPr>
              <w:spacing w:after="0"/>
              <w:rPr>
                <w:sz w:val="15"/>
                <w:szCs w:val="15"/>
                <w:color w:val="auto"/>
              </w:rPr>
            </w:pPr>
          </w:p>
        </w:tc>
        <w:tc>
          <w:tcPr>
            <w:tcW w:w="10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8"/>
              </w:rPr>
              <w:t>103.8%</w:t>
            </w:r>
          </w:p>
        </w:tc>
        <w:tc>
          <w:tcPr>
            <w:tcW w:w="120" w:type="dxa"/>
            <w:vAlign w:val="bottom"/>
            <w:tcBorders>
              <w:bottom w:val="single" w:sz="8" w:color="CCEEFF"/>
            </w:tcBorders>
          </w:tcPr>
          <w:p>
            <w:pPr>
              <w:spacing w:after="0"/>
              <w:rPr>
                <w:sz w:val="15"/>
                <w:szCs w:val="15"/>
                <w:color w:val="auto"/>
              </w:rPr>
            </w:pPr>
          </w:p>
        </w:tc>
        <w:tc>
          <w:tcPr>
            <w:tcW w:w="680" w:type="dxa"/>
            <w:vAlign w:val="bottom"/>
            <w:tcBorders>
              <w:bottom w:val="single" w:sz="8" w:color="auto"/>
            </w:tcBorders>
          </w:tcPr>
          <w:p>
            <w:pPr>
              <w:ind w:left="220"/>
              <w:spacing w:after="0"/>
              <w:rPr>
                <w:sz w:val="20"/>
                <w:szCs w:val="20"/>
                <w:color w:val="auto"/>
              </w:rPr>
            </w:pPr>
            <w:r>
              <w:rPr>
                <w:rFonts w:ascii="Arial" w:cs="Arial" w:eastAsia="Arial" w:hAnsi="Arial"/>
                <w:sz w:val="10"/>
                <w:szCs w:val="10"/>
                <w:color w:val="auto"/>
              </w:rPr>
              <w:t>6.51%</w:t>
            </w:r>
          </w:p>
        </w:tc>
        <w:tc>
          <w:tcPr>
            <w:tcW w:w="100" w:type="dxa"/>
            <w:vAlign w:val="bottom"/>
            <w:tcBorders>
              <w:bottom w:val="single" w:sz="8" w:color="CCEEFF"/>
            </w:tcBorders>
          </w:tcPr>
          <w:p>
            <w:pPr>
              <w:spacing w:after="0"/>
              <w:rPr>
                <w:sz w:val="15"/>
                <w:szCs w:val="15"/>
                <w:color w:val="auto"/>
              </w:rPr>
            </w:pPr>
          </w:p>
        </w:tc>
        <w:tc>
          <w:tcPr>
            <w:tcW w:w="800" w:type="dxa"/>
            <w:vAlign w:val="bottom"/>
            <w:tcBorders>
              <w:bottom w:val="single" w:sz="8" w:color="auto"/>
            </w:tcBorders>
          </w:tcPr>
          <w:p>
            <w:pPr>
              <w:ind w:left="280"/>
              <w:spacing w:after="0"/>
              <w:rPr>
                <w:sz w:val="20"/>
                <w:szCs w:val="20"/>
                <w:color w:val="auto"/>
              </w:rPr>
            </w:pPr>
            <w:r>
              <w:rPr>
                <w:rFonts w:ascii="Arial" w:cs="Arial" w:eastAsia="Arial" w:hAnsi="Arial"/>
                <w:sz w:val="10"/>
                <w:szCs w:val="10"/>
                <w:color w:val="auto"/>
              </w:rPr>
              <w:t>4.54%</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840" w:type="dxa"/>
            <w:vAlign w:val="bottom"/>
            <w:tcBorders>
              <w:bottom w:val="single" w:sz="8" w:color="auto"/>
            </w:tcBorders>
          </w:tcPr>
          <w:p>
            <w:pPr>
              <w:jc w:val="center"/>
              <w:ind w:right="152"/>
              <w:spacing w:after="0"/>
              <w:rPr>
                <w:sz w:val="20"/>
                <w:szCs w:val="20"/>
                <w:color w:val="auto"/>
              </w:rPr>
            </w:pPr>
            <w:r>
              <w:rPr>
                <w:rFonts w:ascii="Arial" w:cs="Arial" w:eastAsia="Arial" w:hAnsi="Arial"/>
                <w:sz w:val="10"/>
                <w:szCs w:val="10"/>
                <w:color w:val="auto"/>
                <w:w w:val="71"/>
              </w:rPr>
              <w:t>97</w:t>
            </w:r>
          </w:p>
        </w:tc>
        <w:tc>
          <w:tcPr>
            <w:tcW w:w="100" w:type="dxa"/>
            <w:vAlign w:val="bottom"/>
            <w:tcBorders>
              <w:bottom w:val="single" w:sz="8" w:color="CCEEFF"/>
            </w:tcBorders>
          </w:tcPr>
          <w:p>
            <w:pPr>
              <w:spacing w:after="0"/>
              <w:rPr>
                <w:sz w:val="15"/>
                <w:szCs w:val="15"/>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64"/>
        </w:trPr>
        <w:tc>
          <w:tcPr>
            <w:tcW w:w="2400" w:type="dxa"/>
            <w:vAlign w:val="bottom"/>
            <w:gridSpan w:val="2"/>
            <w:shd w:val="clear" w:color="auto" w:fill="CCEEFF"/>
          </w:tcPr>
          <w:p>
            <w:pPr>
              <w:ind w:left="360"/>
              <w:spacing w:after="0"/>
              <w:rPr>
                <w:sz w:val="20"/>
                <w:szCs w:val="20"/>
                <w:color w:val="auto"/>
              </w:rPr>
            </w:pPr>
            <w:r>
              <w:rPr>
                <w:rFonts w:ascii="Arial" w:cs="Arial" w:eastAsia="Arial" w:hAnsi="Arial"/>
                <w:sz w:val="10"/>
                <w:szCs w:val="10"/>
                <w:color w:val="auto"/>
              </w:rPr>
              <w:t>Total ≤ 15-year</w:t>
            </w:r>
          </w:p>
        </w:tc>
        <w:tc>
          <w:tcPr>
            <w:tcW w:w="140" w:type="dxa"/>
            <w:vAlign w:val="bottom"/>
            <w:shd w:val="clear" w:color="auto" w:fill="CCEEFF"/>
          </w:tcPr>
          <w:p>
            <w:pPr>
              <w:spacing w:after="0"/>
              <w:rPr>
                <w:sz w:val="14"/>
                <w:szCs w:val="14"/>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16,488</w:t>
            </w:r>
          </w:p>
        </w:tc>
        <w:tc>
          <w:tcPr>
            <w:tcW w:w="12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17,020</w:t>
            </w: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17,158</w:t>
            </w:r>
          </w:p>
        </w:tc>
        <w:tc>
          <w:tcPr>
            <w:tcW w:w="120" w:type="dxa"/>
            <w:vAlign w:val="bottom"/>
            <w:shd w:val="clear" w:color="auto" w:fill="CCEEFF"/>
          </w:tcPr>
          <w:p>
            <w:pPr>
              <w:spacing w:after="0"/>
              <w:rPr>
                <w:sz w:val="14"/>
                <w:szCs w:val="14"/>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75%</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103.2%</w:t>
            </w:r>
          </w:p>
        </w:tc>
        <w:tc>
          <w:tcPr>
            <w:tcW w:w="120" w:type="dxa"/>
            <w:vAlign w:val="bottom"/>
            <w:shd w:val="clear" w:color="auto" w:fill="CCEEFF"/>
          </w:tcPr>
          <w:p>
            <w:pPr>
              <w:spacing w:after="0"/>
              <w:rPr>
                <w:sz w:val="14"/>
                <w:szCs w:val="14"/>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3.71%</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2.38%</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48</w:t>
            </w:r>
          </w:p>
        </w:tc>
        <w:tc>
          <w:tcPr>
            <w:tcW w:w="100" w:type="dxa"/>
            <w:vAlign w:val="bottom"/>
            <w:shd w:val="clear" w:color="auto" w:fill="CCEEFF"/>
          </w:tcPr>
          <w:p>
            <w:pPr>
              <w:spacing w:after="0"/>
              <w:rPr>
                <w:sz w:val="14"/>
                <w:szCs w:val="14"/>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10%</w:t>
            </w:r>
          </w:p>
        </w:tc>
        <w:tc>
          <w:tcPr>
            <w:tcW w:w="0" w:type="dxa"/>
            <w:vAlign w:val="bottom"/>
          </w:tcPr>
          <w:p>
            <w:pPr>
              <w:spacing w:after="0"/>
              <w:rPr>
                <w:sz w:val="1"/>
                <w:szCs w:val="1"/>
                <w:color w:val="auto"/>
              </w:rPr>
            </w:pPr>
          </w:p>
        </w:tc>
      </w:tr>
      <w:tr>
        <w:trPr>
          <w:trHeight w:val="165"/>
        </w:trPr>
        <w:tc>
          <w:tcPr>
            <w:tcW w:w="2400" w:type="dxa"/>
            <w:vAlign w:val="bottom"/>
            <w:gridSpan w:val="2"/>
          </w:tcPr>
          <w:p>
            <w:pPr>
              <w:ind w:left="360"/>
              <w:spacing w:after="0"/>
              <w:rPr>
                <w:sz w:val="20"/>
                <w:szCs w:val="20"/>
                <w:color w:val="auto"/>
              </w:rPr>
            </w:pPr>
            <w:r>
              <w:rPr>
                <w:rFonts w:ascii="Arial" w:cs="Arial" w:eastAsia="Arial" w:hAnsi="Arial"/>
                <w:sz w:val="10"/>
                <w:szCs w:val="10"/>
                <w:color w:val="auto"/>
              </w:rPr>
              <w:t>20-year</w:t>
            </w:r>
          </w:p>
        </w:tc>
        <w:tc>
          <w:tcPr>
            <w:tcW w:w="140" w:type="dxa"/>
            <w:vAlign w:val="bottom"/>
            <w:tcBorders>
              <w:top w:val="single" w:sz="8" w:color="auto"/>
            </w:tcBorders>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84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tcBorders>
              <w:top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102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Borders>
              <w:top w:val="single" w:sz="8" w:color="auto"/>
            </w:tcBorders>
          </w:tcPr>
          <w:p>
            <w:pPr>
              <w:spacing w:after="0"/>
              <w:rPr>
                <w:sz w:val="14"/>
                <w:szCs w:val="14"/>
                <w:color w:val="auto"/>
              </w:rPr>
            </w:pPr>
          </w:p>
        </w:tc>
        <w:tc>
          <w:tcPr>
            <w:tcW w:w="84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tcBorders>
              <w:top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84"/>
        </w:trPr>
        <w:tc>
          <w:tcPr>
            <w:tcW w:w="2400" w:type="dxa"/>
            <w:vAlign w:val="bottom"/>
            <w:gridSpan w:val="2"/>
            <w:shd w:val="clear" w:color="auto" w:fill="CCEEFF"/>
          </w:tcPr>
          <w:p>
            <w:pPr>
              <w:ind w:left="260"/>
              <w:spacing w:after="0"/>
              <w:rPr>
                <w:sz w:val="20"/>
                <w:szCs w:val="20"/>
                <w:color w:val="auto"/>
              </w:rPr>
            </w:pPr>
            <w:r>
              <w:rPr>
                <w:rFonts w:ascii="Arial" w:cs="Arial" w:eastAsia="Arial" w:hAnsi="Arial"/>
                <w:sz w:val="10"/>
                <w:szCs w:val="10"/>
                <w:color w:val="auto"/>
              </w:rPr>
              <w:t>≤ 3.0%</w:t>
            </w: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287</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285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294</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28%</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91"/>
              </w:rPr>
              <w:t>99.3%</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3.55%</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3.11%</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31</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8%</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3.5%</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600</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613</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628</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64%</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102.2%</w:t>
            </w:r>
          </w:p>
        </w:tc>
        <w:tc>
          <w:tcPr>
            <w:tcW w:w="120" w:type="dxa"/>
            <w:vAlign w:val="bottom"/>
          </w:tcPr>
          <w:p>
            <w:pPr>
              <w:spacing w:after="0"/>
              <w:rPr>
                <w:sz w:val="15"/>
                <w:szCs w:val="15"/>
                <w:color w:val="auto"/>
              </w:rPr>
            </w:pPr>
          </w:p>
        </w:tc>
        <w:tc>
          <w:tcPr>
            <w:tcW w:w="680" w:type="dxa"/>
            <w:vAlign w:val="bottom"/>
          </w:tcPr>
          <w:p>
            <w:pPr>
              <w:ind w:left="220"/>
              <w:spacing w:after="0"/>
              <w:rPr>
                <w:sz w:val="20"/>
                <w:szCs w:val="20"/>
                <w:color w:val="auto"/>
              </w:rPr>
            </w:pPr>
            <w:r>
              <w:rPr>
                <w:rFonts w:ascii="Arial" w:cs="Arial" w:eastAsia="Arial" w:hAnsi="Arial"/>
                <w:sz w:val="10"/>
                <w:szCs w:val="10"/>
                <w:color w:val="auto"/>
              </w:rPr>
              <w:t>4.05%</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3.04%</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33</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10%</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4.0%</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66</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69</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70</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48%</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104.5%</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4.54%</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2.97%</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52</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79"/>
              </w:rPr>
              <w:t>11%</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4.5%</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84</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90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92</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99%</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106.7%</w:t>
            </w:r>
          </w:p>
        </w:tc>
        <w:tc>
          <w:tcPr>
            <w:tcW w:w="120" w:type="dxa"/>
            <w:vAlign w:val="bottom"/>
          </w:tcPr>
          <w:p>
            <w:pPr>
              <w:spacing w:after="0"/>
              <w:rPr>
                <w:sz w:val="15"/>
                <w:szCs w:val="15"/>
                <w:color w:val="auto"/>
              </w:rPr>
            </w:pPr>
          </w:p>
        </w:tc>
        <w:tc>
          <w:tcPr>
            <w:tcW w:w="680" w:type="dxa"/>
            <w:vAlign w:val="bottom"/>
          </w:tcPr>
          <w:p>
            <w:pPr>
              <w:ind w:left="220"/>
              <w:spacing w:after="0"/>
              <w:rPr>
                <w:sz w:val="20"/>
                <w:szCs w:val="20"/>
                <w:color w:val="auto"/>
              </w:rPr>
            </w:pPr>
            <w:r>
              <w:rPr>
                <w:rFonts w:ascii="Arial" w:cs="Arial" w:eastAsia="Arial" w:hAnsi="Arial"/>
                <w:sz w:val="10"/>
                <w:szCs w:val="10"/>
                <w:color w:val="auto"/>
              </w:rPr>
              <w:t>4.90%</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3.03%</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61</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10%</w:t>
            </w:r>
          </w:p>
        </w:tc>
        <w:tc>
          <w:tcPr>
            <w:tcW w:w="0" w:type="dxa"/>
            <w:vAlign w:val="bottom"/>
          </w:tcPr>
          <w:p>
            <w:pPr>
              <w:spacing w:after="0"/>
              <w:rPr>
                <w:sz w:val="1"/>
                <w:szCs w:val="1"/>
                <w:color w:val="auto"/>
              </w:rPr>
            </w:pPr>
          </w:p>
        </w:tc>
      </w:tr>
      <w:tr>
        <w:trPr>
          <w:trHeight w:val="180"/>
        </w:trPr>
        <w:tc>
          <w:tcPr>
            <w:tcW w:w="2400" w:type="dxa"/>
            <w:vAlign w:val="bottom"/>
            <w:gridSpan w:val="2"/>
            <w:shd w:val="clear" w:color="auto" w:fill="CCEEFF"/>
          </w:tcPr>
          <w:p>
            <w:pPr>
              <w:ind w:left="240"/>
              <w:spacing w:after="0"/>
              <w:rPr>
                <w:sz w:val="20"/>
                <w:szCs w:val="20"/>
                <w:color w:val="auto"/>
              </w:rPr>
            </w:pPr>
            <w:r>
              <w:rPr>
                <w:rFonts w:ascii="Arial" w:cs="Arial" w:eastAsia="Arial" w:hAnsi="Arial"/>
                <w:sz w:val="10"/>
                <w:szCs w:val="10"/>
                <w:color w:val="auto"/>
              </w:rPr>
              <w:t>≥ 5.0%</w:t>
            </w:r>
          </w:p>
        </w:tc>
        <w:tc>
          <w:tcPr>
            <w:tcW w:w="14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4</w:t>
            </w:r>
          </w:p>
        </w:tc>
        <w:tc>
          <w:tcPr>
            <w:tcW w:w="120" w:type="dxa"/>
            <w:vAlign w:val="bottom"/>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4</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4</w:t>
            </w:r>
          </w:p>
        </w:tc>
        <w:tc>
          <w:tcPr>
            <w:tcW w:w="120" w:type="dxa"/>
            <w:vAlign w:val="bottom"/>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5"/>
              </w:rPr>
              <w:t>—%</w:t>
            </w:r>
          </w:p>
        </w:tc>
        <w:tc>
          <w:tcPr>
            <w:tcW w:w="220" w:type="dxa"/>
            <w:vAlign w:val="bottom"/>
            <w:shd w:val="clear" w:color="auto" w:fill="CCEEFF"/>
          </w:tcPr>
          <w:p>
            <w:pPr>
              <w:spacing w:after="0"/>
              <w:rPr>
                <w:sz w:val="15"/>
                <w:szCs w:val="15"/>
                <w:color w:val="auto"/>
              </w:rPr>
            </w:pPr>
          </w:p>
        </w:tc>
        <w:tc>
          <w:tcPr>
            <w:tcW w:w="10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8"/>
              </w:rPr>
              <w:t>106.1%</w:t>
            </w:r>
          </w:p>
        </w:tc>
        <w:tc>
          <w:tcPr>
            <w:tcW w:w="120" w:type="dxa"/>
            <w:vAlign w:val="bottom"/>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ind w:left="220"/>
              <w:spacing w:after="0"/>
              <w:rPr>
                <w:sz w:val="20"/>
                <w:szCs w:val="20"/>
                <w:color w:val="auto"/>
              </w:rPr>
            </w:pPr>
            <w:r>
              <w:rPr>
                <w:rFonts w:ascii="Arial" w:cs="Arial" w:eastAsia="Arial" w:hAnsi="Arial"/>
                <w:sz w:val="10"/>
                <w:szCs w:val="10"/>
                <w:color w:val="auto"/>
              </w:rPr>
              <w:t>5.92%</w:t>
            </w:r>
          </w:p>
        </w:tc>
        <w:tc>
          <w:tcPr>
            <w:tcW w:w="100" w:type="dxa"/>
            <w:vAlign w:val="bottom"/>
            <w:shd w:val="clear" w:color="auto" w:fill="CCEEFF"/>
          </w:tcPr>
          <w:p>
            <w:pPr>
              <w:spacing w:after="0"/>
              <w:rPr>
                <w:sz w:val="15"/>
                <w:szCs w:val="15"/>
                <w:color w:val="auto"/>
              </w:rPr>
            </w:pPr>
          </w:p>
        </w:tc>
        <w:tc>
          <w:tcPr>
            <w:tcW w:w="800" w:type="dxa"/>
            <w:vAlign w:val="bottom"/>
            <w:tcBorders>
              <w:bottom w:val="single" w:sz="8" w:color="auto"/>
            </w:tcBorders>
            <w:shd w:val="clear" w:color="auto" w:fill="CCEEFF"/>
          </w:tcPr>
          <w:p>
            <w:pPr>
              <w:ind w:left="280"/>
              <w:spacing w:after="0"/>
              <w:rPr>
                <w:sz w:val="20"/>
                <w:szCs w:val="20"/>
                <w:color w:val="auto"/>
              </w:rPr>
            </w:pPr>
            <w:r>
              <w:rPr>
                <w:rFonts w:ascii="Arial" w:cs="Arial" w:eastAsia="Arial" w:hAnsi="Arial"/>
                <w:sz w:val="10"/>
                <w:szCs w:val="10"/>
                <w:color w:val="auto"/>
              </w:rPr>
              <w:t>3.35%</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center"/>
              <w:ind w:right="152"/>
              <w:spacing w:after="0"/>
              <w:rPr>
                <w:sz w:val="20"/>
                <w:szCs w:val="20"/>
                <w:color w:val="auto"/>
              </w:rPr>
            </w:pPr>
            <w:r>
              <w:rPr>
                <w:rFonts w:ascii="Arial" w:cs="Arial" w:eastAsia="Arial" w:hAnsi="Arial"/>
                <w:sz w:val="10"/>
                <w:szCs w:val="10"/>
                <w:color w:val="auto"/>
                <w:w w:val="71"/>
              </w:rPr>
              <w:t>92</w:t>
            </w:r>
          </w:p>
        </w:tc>
        <w:tc>
          <w:tcPr>
            <w:tcW w:w="100" w:type="dxa"/>
            <w:vAlign w:val="bottom"/>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18%</w:t>
            </w:r>
          </w:p>
        </w:tc>
        <w:tc>
          <w:tcPr>
            <w:tcW w:w="0" w:type="dxa"/>
            <w:vAlign w:val="bottom"/>
          </w:tcPr>
          <w:p>
            <w:pPr>
              <w:spacing w:after="0"/>
              <w:rPr>
                <w:sz w:val="1"/>
                <w:szCs w:val="1"/>
                <w:color w:val="auto"/>
              </w:rPr>
            </w:pPr>
          </w:p>
        </w:tc>
      </w:tr>
      <w:tr>
        <w:trPr>
          <w:trHeight w:val="160"/>
        </w:trPr>
        <w:tc>
          <w:tcPr>
            <w:tcW w:w="2400" w:type="dxa"/>
            <w:vAlign w:val="bottom"/>
            <w:gridSpan w:val="2"/>
          </w:tcPr>
          <w:p>
            <w:pPr>
              <w:ind w:left="360"/>
              <w:spacing w:after="0"/>
              <w:rPr>
                <w:sz w:val="20"/>
                <w:szCs w:val="20"/>
                <w:color w:val="auto"/>
              </w:rPr>
            </w:pPr>
            <w:r>
              <w:rPr>
                <w:rFonts w:ascii="Arial" w:cs="Arial" w:eastAsia="Arial" w:hAnsi="Arial"/>
                <w:sz w:val="10"/>
                <w:szCs w:val="10"/>
                <w:color w:val="auto"/>
              </w:rPr>
              <w:t>Total 20-year:</w:t>
            </w:r>
          </w:p>
        </w:tc>
        <w:tc>
          <w:tcPr>
            <w:tcW w:w="140" w:type="dxa"/>
            <w:vAlign w:val="bottom"/>
          </w:tcPr>
          <w:p>
            <w:pPr>
              <w:spacing w:after="0"/>
              <w:rPr>
                <w:sz w:val="13"/>
                <w:szCs w:val="13"/>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1,041</w:t>
            </w: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1,061</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1,088</w:t>
            </w:r>
          </w:p>
        </w:tc>
        <w:tc>
          <w:tcPr>
            <w:tcW w:w="12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56%</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101.9%</w:t>
            </w:r>
          </w:p>
        </w:tc>
        <w:tc>
          <w:tcPr>
            <w:tcW w:w="120" w:type="dxa"/>
            <w:vAlign w:val="bottom"/>
          </w:tcPr>
          <w:p>
            <w:pPr>
              <w:spacing w:after="0"/>
              <w:rPr>
                <w:sz w:val="13"/>
                <w:szCs w:val="13"/>
                <w:color w:val="auto"/>
              </w:rPr>
            </w:pPr>
          </w:p>
        </w:tc>
        <w:tc>
          <w:tcPr>
            <w:tcW w:w="680" w:type="dxa"/>
            <w:vAlign w:val="bottom"/>
          </w:tcPr>
          <w:p>
            <w:pPr>
              <w:ind w:left="220"/>
              <w:spacing w:after="0"/>
              <w:rPr>
                <w:sz w:val="20"/>
                <w:szCs w:val="20"/>
                <w:color w:val="auto"/>
              </w:rPr>
            </w:pPr>
            <w:r>
              <w:rPr>
                <w:rFonts w:ascii="Arial" w:cs="Arial" w:eastAsia="Arial" w:hAnsi="Arial"/>
                <w:sz w:val="10"/>
                <w:szCs w:val="10"/>
                <w:color w:val="auto"/>
              </w:rPr>
              <w:t>4.03%</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3.06%</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37</w:t>
            </w:r>
          </w:p>
        </w:tc>
        <w:tc>
          <w:tcPr>
            <w:tcW w:w="10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2"/>
              </w:rPr>
              <w:t>9%</w:t>
            </w:r>
          </w:p>
        </w:tc>
        <w:tc>
          <w:tcPr>
            <w:tcW w:w="0" w:type="dxa"/>
            <w:vAlign w:val="bottom"/>
          </w:tcPr>
          <w:p>
            <w:pPr>
              <w:spacing w:after="0"/>
              <w:rPr>
                <w:sz w:val="1"/>
                <w:szCs w:val="1"/>
                <w:color w:val="auto"/>
              </w:rPr>
            </w:pPr>
          </w:p>
        </w:tc>
      </w:tr>
      <w:tr>
        <w:trPr>
          <w:trHeight w:val="173"/>
        </w:trPr>
        <w:tc>
          <w:tcPr>
            <w:tcW w:w="2400" w:type="dxa"/>
            <w:vAlign w:val="bottom"/>
            <w:tcBorders>
              <w:top w:val="single" w:sz="8" w:color="CCEEFF"/>
            </w:tcBorders>
            <w:gridSpan w:val="2"/>
            <w:shd w:val="clear" w:color="auto" w:fill="CCEEFF"/>
          </w:tcPr>
          <w:p>
            <w:pPr>
              <w:ind w:left="360"/>
              <w:spacing w:after="0"/>
              <w:rPr>
                <w:sz w:val="20"/>
                <w:szCs w:val="20"/>
                <w:color w:val="auto"/>
              </w:rPr>
            </w:pPr>
            <w:r>
              <w:rPr>
                <w:rFonts w:ascii="Arial" w:cs="Arial" w:eastAsia="Arial" w:hAnsi="Arial"/>
                <w:sz w:val="10"/>
                <w:szCs w:val="10"/>
                <w:color w:val="auto"/>
              </w:rPr>
              <w:t>30-year:</w:t>
            </w:r>
          </w:p>
        </w:tc>
        <w:tc>
          <w:tcPr>
            <w:tcW w:w="140" w:type="dxa"/>
            <w:vAlign w:val="bottom"/>
            <w:tcBorders>
              <w:top w:val="single" w:sz="8" w:color="auto"/>
            </w:tcBorders>
            <w:shd w:val="clear" w:color="auto" w:fill="CCEEFF"/>
          </w:tcPr>
          <w:p>
            <w:pPr>
              <w:spacing w:after="0"/>
              <w:rPr>
                <w:sz w:val="15"/>
                <w:szCs w:val="15"/>
                <w:color w:val="auto"/>
              </w:rPr>
            </w:pPr>
          </w:p>
        </w:tc>
        <w:tc>
          <w:tcPr>
            <w:tcW w:w="68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80" w:type="dxa"/>
            <w:vAlign w:val="bottom"/>
            <w:tcBorders>
              <w:top w:val="single" w:sz="8" w:color="auto"/>
            </w:tcBorders>
            <w:shd w:val="clear" w:color="auto" w:fill="CCEEFF"/>
          </w:tcPr>
          <w:p>
            <w:pPr>
              <w:spacing w:after="0"/>
              <w:rPr>
                <w:sz w:val="15"/>
                <w:szCs w:val="15"/>
                <w:color w:val="auto"/>
              </w:rPr>
            </w:pPr>
          </w:p>
        </w:tc>
        <w:tc>
          <w:tcPr>
            <w:tcW w:w="8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68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102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68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80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spacing w:after="0"/>
              <w:rPr>
                <w:sz w:val="15"/>
                <w:szCs w:val="15"/>
                <w:color w:val="auto"/>
              </w:rPr>
            </w:pPr>
          </w:p>
        </w:tc>
        <w:tc>
          <w:tcPr>
            <w:tcW w:w="8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2400" w:type="dxa"/>
            <w:vAlign w:val="bottom"/>
            <w:gridSpan w:val="2"/>
          </w:tcPr>
          <w:p>
            <w:pPr>
              <w:ind w:left="260"/>
              <w:spacing w:after="0"/>
              <w:rPr>
                <w:sz w:val="20"/>
                <w:szCs w:val="20"/>
                <w:color w:val="auto"/>
              </w:rPr>
            </w:pPr>
            <w:r>
              <w:rPr>
                <w:rFonts w:ascii="Arial" w:cs="Arial" w:eastAsia="Arial" w:hAnsi="Arial"/>
                <w:sz w:val="10"/>
                <w:szCs w:val="10"/>
                <w:color w:val="auto"/>
              </w:rPr>
              <w:t>≤ 3.0%</w:t>
            </w: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6,837</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6,852</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6,845</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96"/>
              </w:rPr>
              <w:t>2%</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100.6%</w:t>
            </w:r>
          </w:p>
        </w:tc>
        <w:tc>
          <w:tcPr>
            <w:tcW w:w="120" w:type="dxa"/>
            <w:vAlign w:val="bottom"/>
          </w:tcPr>
          <w:p>
            <w:pPr>
              <w:spacing w:after="0"/>
              <w:rPr>
                <w:sz w:val="15"/>
                <w:szCs w:val="15"/>
                <w:color w:val="auto"/>
              </w:rPr>
            </w:pPr>
          </w:p>
        </w:tc>
        <w:tc>
          <w:tcPr>
            <w:tcW w:w="680" w:type="dxa"/>
            <w:vAlign w:val="bottom"/>
          </w:tcPr>
          <w:p>
            <w:pPr>
              <w:ind w:left="220"/>
              <w:spacing w:after="0"/>
              <w:rPr>
                <w:sz w:val="20"/>
                <w:szCs w:val="20"/>
                <w:color w:val="auto"/>
              </w:rPr>
            </w:pPr>
            <w:r>
              <w:rPr>
                <w:rFonts w:ascii="Arial" w:cs="Arial" w:eastAsia="Arial" w:hAnsi="Arial"/>
                <w:sz w:val="10"/>
                <w:szCs w:val="10"/>
                <w:color w:val="auto"/>
              </w:rPr>
              <w:t>3.59%</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2.92%</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31</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2"/>
              </w:rPr>
              <w:t>6%</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3.5%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16,627</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17,383</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17,188</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51%</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104.7%</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4.09%</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2.84%</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26</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7%</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4.0%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12,888</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13,733</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13,687</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57%</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106.7%</w:t>
            </w:r>
          </w:p>
        </w:tc>
        <w:tc>
          <w:tcPr>
            <w:tcW w:w="120" w:type="dxa"/>
            <w:vAlign w:val="bottom"/>
          </w:tcPr>
          <w:p>
            <w:pPr>
              <w:spacing w:after="0"/>
              <w:rPr>
                <w:sz w:val="15"/>
                <w:szCs w:val="15"/>
                <w:color w:val="auto"/>
              </w:rPr>
            </w:pPr>
          </w:p>
        </w:tc>
        <w:tc>
          <w:tcPr>
            <w:tcW w:w="680" w:type="dxa"/>
            <w:vAlign w:val="bottom"/>
          </w:tcPr>
          <w:p>
            <w:pPr>
              <w:ind w:left="220"/>
              <w:spacing w:after="0"/>
              <w:rPr>
                <w:sz w:val="20"/>
                <w:szCs w:val="20"/>
                <w:color w:val="auto"/>
              </w:rPr>
            </w:pPr>
            <w:r>
              <w:rPr>
                <w:rFonts w:ascii="Arial" w:cs="Arial" w:eastAsia="Arial" w:hAnsi="Arial"/>
                <w:sz w:val="10"/>
                <w:szCs w:val="10"/>
                <w:color w:val="auto"/>
              </w:rPr>
              <w:t>4.54%</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2.99%</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29</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2"/>
              </w:rPr>
              <w:t>8%</w:t>
            </w:r>
          </w:p>
        </w:tc>
        <w:tc>
          <w:tcPr>
            <w:tcW w:w="0" w:type="dxa"/>
            <w:vAlign w:val="bottom"/>
          </w:tcPr>
          <w:p>
            <w:pPr>
              <w:spacing w:after="0"/>
              <w:rPr>
                <w:sz w:val="1"/>
                <w:szCs w:val="1"/>
                <w:color w:val="auto"/>
              </w:rPr>
            </w:pPr>
          </w:p>
        </w:tc>
      </w:tr>
      <w:tr>
        <w:trPr>
          <w:trHeight w:val="184"/>
        </w:trPr>
        <w:tc>
          <w:tcPr>
            <w:tcW w:w="2280" w:type="dxa"/>
            <w:vAlign w:val="bottom"/>
            <w:shd w:val="clear" w:color="auto" w:fill="CCEEFF"/>
          </w:tcPr>
          <w:p>
            <w:pPr>
              <w:ind w:left="240"/>
              <w:spacing w:after="0"/>
              <w:rPr>
                <w:sz w:val="20"/>
                <w:szCs w:val="20"/>
                <w:color w:val="auto"/>
              </w:rPr>
            </w:pPr>
            <w:r>
              <w:rPr>
                <w:rFonts w:ascii="Arial" w:cs="Arial" w:eastAsia="Arial" w:hAnsi="Arial"/>
                <w:sz w:val="10"/>
                <w:szCs w:val="10"/>
                <w:color w:val="auto"/>
              </w:rPr>
              <w:t>4.5%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1,524</w:t>
            </w:r>
          </w:p>
        </w:tc>
        <w:tc>
          <w:tcPr>
            <w:tcW w:w="1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1,629</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1,664</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87%</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106.8%</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4.96%</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3.39%</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55</w:t>
            </w: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9%</w:t>
            </w:r>
          </w:p>
        </w:tc>
        <w:tc>
          <w:tcPr>
            <w:tcW w:w="0" w:type="dxa"/>
            <w:vAlign w:val="bottom"/>
          </w:tcPr>
          <w:p>
            <w:pPr>
              <w:spacing w:after="0"/>
              <w:rPr>
                <w:sz w:val="1"/>
                <w:szCs w:val="1"/>
                <w:color w:val="auto"/>
              </w:rPr>
            </w:pPr>
          </w:p>
        </w:tc>
      </w:tr>
      <w:tr>
        <w:trPr>
          <w:trHeight w:val="176"/>
        </w:trPr>
        <w:tc>
          <w:tcPr>
            <w:tcW w:w="2280" w:type="dxa"/>
            <w:vAlign w:val="bottom"/>
          </w:tcPr>
          <w:p>
            <w:pPr>
              <w:ind w:left="240"/>
              <w:spacing w:after="0"/>
              <w:rPr>
                <w:sz w:val="20"/>
                <w:szCs w:val="20"/>
                <w:color w:val="auto"/>
              </w:rPr>
            </w:pPr>
            <w:r>
              <w:rPr>
                <w:rFonts w:ascii="Arial" w:cs="Arial" w:eastAsia="Arial" w:hAnsi="Arial"/>
                <w:sz w:val="10"/>
                <w:szCs w:val="10"/>
                <w:color w:val="auto"/>
              </w:rPr>
              <w:t>5.0%</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148</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40" w:type="dxa"/>
            <w:vAlign w:val="bottom"/>
          </w:tcPr>
          <w:p>
            <w:pPr>
              <w:jc w:val="right"/>
              <w:ind w:right="52"/>
              <w:spacing w:after="0"/>
              <w:rPr>
                <w:sz w:val="20"/>
                <w:szCs w:val="20"/>
                <w:color w:val="auto"/>
              </w:rPr>
            </w:pPr>
            <w:r>
              <w:rPr>
                <w:rFonts w:ascii="Arial" w:cs="Arial" w:eastAsia="Arial" w:hAnsi="Arial"/>
                <w:sz w:val="10"/>
                <w:szCs w:val="10"/>
                <w:color w:val="auto"/>
              </w:rPr>
              <w:t>158</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0"/>
                <w:szCs w:val="10"/>
                <w:color w:val="auto"/>
              </w:rPr>
              <w:t>163</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66%</w:t>
            </w:r>
          </w:p>
        </w:tc>
        <w:tc>
          <w:tcPr>
            <w:tcW w:w="1240" w:type="dxa"/>
            <w:vAlign w:val="bottom"/>
            <w:gridSpan w:val="2"/>
          </w:tcPr>
          <w:p>
            <w:pPr>
              <w:jc w:val="center"/>
              <w:ind w:left="172"/>
              <w:spacing w:after="0"/>
              <w:rPr>
                <w:sz w:val="20"/>
                <w:szCs w:val="20"/>
                <w:color w:val="auto"/>
              </w:rPr>
            </w:pPr>
            <w:r>
              <w:rPr>
                <w:rFonts w:ascii="Arial" w:cs="Arial" w:eastAsia="Arial" w:hAnsi="Arial"/>
                <w:sz w:val="10"/>
                <w:szCs w:val="10"/>
                <w:color w:val="auto"/>
                <w:w w:val="88"/>
              </w:rPr>
              <w:t>106.4%</w:t>
            </w:r>
          </w:p>
        </w:tc>
        <w:tc>
          <w:tcPr>
            <w:tcW w:w="120" w:type="dxa"/>
            <w:vAlign w:val="bottom"/>
          </w:tcPr>
          <w:p>
            <w:pPr>
              <w:spacing w:after="0"/>
              <w:rPr>
                <w:sz w:val="15"/>
                <w:szCs w:val="15"/>
                <w:color w:val="auto"/>
              </w:rPr>
            </w:pPr>
          </w:p>
        </w:tc>
        <w:tc>
          <w:tcPr>
            <w:tcW w:w="680" w:type="dxa"/>
            <w:vAlign w:val="bottom"/>
          </w:tcPr>
          <w:p>
            <w:pPr>
              <w:ind w:left="220"/>
              <w:spacing w:after="0"/>
              <w:rPr>
                <w:sz w:val="20"/>
                <w:szCs w:val="20"/>
                <w:color w:val="auto"/>
              </w:rPr>
            </w:pPr>
            <w:r>
              <w:rPr>
                <w:rFonts w:ascii="Arial" w:cs="Arial" w:eastAsia="Arial" w:hAnsi="Arial"/>
                <w:sz w:val="10"/>
                <w:szCs w:val="10"/>
                <w:color w:val="auto"/>
              </w:rPr>
              <w:t>5.45%</w:t>
            </w:r>
          </w:p>
        </w:tc>
        <w:tc>
          <w:tcPr>
            <w:tcW w:w="900" w:type="dxa"/>
            <w:vAlign w:val="bottom"/>
            <w:gridSpan w:val="2"/>
          </w:tcPr>
          <w:p>
            <w:pPr>
              <w:ind w:left="380"/>
              <w:spacing w:after="0"/>
              <w:rPr>
                <w:sz w:val="20"/>
                <w:szCs w:val="20"/>
                <w:color w:val="auto"/>
              </w:rPr>
            </w:pPr>
            <w:r>
              <w:rPr>
                <w:rFonts w:ascii="Arial" w:cs="Arial" w:eastAsia="Arial" w:hAnsi="Arial"/>
                <w:sz w:val="10"/>
                <w:szCs w:val="10"/>
                <w:color w:val="auto"/>
              </w:rPr>
              <w:t>3.74%</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center"/>
              <w:ind w:right="152"/>
              <w:spacing w:after="0"/>
              <w:rPr>
                <w:sz w:val="20"/>
                <w:szCs w:val="20"/>
                <w:color w:val="auto"/>
              </w:rPr>
            </w:pPr>
            <w:r>
              <w:rPr>
                <w:rFonts w:ascii="Arial" w:cs="Arial" w:eastAsia="Arial" w:hAnsi="Arial"/>
                <w:sz w:val="10"/>
                <w:szCs w:val="10"/>
                <w:color w:val="auto"/>
                <w:w w:val="71"/>
              </w:rPr>
              <w:t>92</w:t>
            </w:r>
          </w:p>
        </w:tc>
        <w:tc>
          <w:tcPr>
            <w:tcW w:w="10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79"/>
              </w:rPr>
              <w:t>11%</w:t>
            </w:r>
          </w:p>
        </w:tc>
        <w:tc>
          <w:tcPr>
            <w:tcW w:w="0" w:type="dxa"/>
            <w:vAlign w:val="bottom"/>
          </w:tcPr>
          <w:p>
            <w:pPr>
              <w:spacing w:after="0"/>
              <w:rPr>
                <w:sz w:val="1"/>
                <w:szCs w:val="1"/>
                <w:color w:val="auto"/>
              </w:rPr>
            </w:pPr>
          </w:p>
        </w:tc>
      </w:tr>
      <w:tr>
        <w:trPr>
          <w:trHeight w:val="180"/>
        </w:trPr>
        <w:tc>
          <w:tcPr>
            <w:tcW w:w="2400" w:type="dxa"/>
            <w:vAlign w:val="bottom"/>
            <w:gridSpan w:val="2"/>
            <w:shd w:val="clear" w:color="auto" w:fill="CCEEFF"/>
          </w:tcPr>
          <w:p>
            <w:pPr>
              <w:ind w:left="240"/>
              <w:spacing w:after="0"/>
              <w:rPr>
                <w:sz w:val="20"/>
                <w:szCs w:val="20"/>
                <w:color w:val="auto"/>
              </w:rPr>
            </w:pPr>
            <w:r>
              <w:rPr>
                <w:rFonts w:ascii="Arial" w:cs="Arial" w:eastAsia="Arial" w:hAnsi="Arial"/>
                <w:sz w:val="10"/>
                <w:szCs w:val="10"/>
                <w:color w:val="auto"/>
              </w:rPr>
              <w:t>≥ 5.5%</w:t>
            </w:r>
          </w:p>
        </w:tc>
        <w:tc>
          <w:tcPr>
            <w:tcW w:w="14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155</w:t>
            </w:r>
          </w:p>
        </w:tc>
        <w:tc>
          <w:tcPr>
            <w:tcW w:w="120" w:type="dxa"/>
            <w:vAlign w:val="bottom"/>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170</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173</w:t>
            </w:r>
          </w:p>
        </w:tc>
        <w:tc>
          <w:tcPr>
            <w:tcW w:w="120" w:type="dxa"/>
            <w:vAlign w:val="bottom"/>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38%</w:t>
            </w:r>
          </w:p>
        </w:tc>
        <w:tc>
          <w:tcPr>
            <w:tcW w:w="220" w:type="dxa"/>
            <w:vAlign w:val="bottom"/>
            <w:shd w:val="clear" w:color="auto" w:fill="CCEEFF"/>
          </w:tcPr>
          <w:p>
            <w:pPr>
              <w:spacing w:after="0"/>
              <w:rPr>
                <w:sz w:val="15"/>
                <w:szCs w:val="15"/>
                <w:color w:val="auto"/>
              </w:rPr>
            </w:pPr>
          </w:p>
        </w:tc>
        <w:tc>
          <w:tcPr>
            <w:tcW w:w="10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8"/>
              </w:rPr>
              <w:t>109.5%</w:t>
            </w:r>
          </w:p>
        </w:tc>
        <w:tc>
          <w:tcPr>
            <w:tcW w:w="120" w:type="dxa"/>
            <w:vAlign w:val="bottom"/>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ind w:left="220"/>
              <w:spacing w:after="0"/>
              <w:rPr>
                <w:sz w:val="20"/>
                <w:szCs w:val="20"/>
                <w:color w:val="auto"/>
              </w:rPr>
            </w:pPr>
            <w:r>
              <w:rPr>
                <w:rFonts w:ascii="Arial" w:cs="Arial" w:eastAsia="Arial" w:hAnsi="Arial"/>
                <w:sz w:val="10"/>
                <w:szCs w:val="10"/>
                <w:color w:val="auto"/>
              </w:rPr>
              <w:t>6.20%</w:t>
            </w:r>
          </w:p>
        </w:tc>
        <w:tc>
          <w:tcPr>
            <w:tcW w:w="100" w:type="dxa"/>
            <w:vAlign w:val="bottom"/>
            <w:shd w:val="clear" w:color="auto" w:fill="CCEEFF"/>
          </w:tcPr>
          <w:p>
            <w:pPr>
              <w:spacing w:after="0"/>
              <w:rPr>
                <w:sz w:val="15"/>
                <w:szCs w:val="15"/>
                <w:color w:val="auto"/>
              </w:rPr>
            </w:pPr>
          </w:p>
        </w:tc>
        <w:tc>
          <w:tcPr>
            <w:tcW w:w="800" w:type="dxa"/>
            <w:vAlign w:val="bottom"/>
            <w:tcBorders>
              <w:bottom w:val="single" w:sz="8" w:color="auto"/>
            </w:tcBorders>
            <w:shd w:val="clear" w:color="auto" w:fill="CCEEFF"/>
          </w:tcPr>
          <w:p>
            <w:pPr>
              <w:ind w:left="280"/>
              <w:spacing w:after="0"/>
              <w:rPr>
                <w:sz w:val="20"/>
                <w:szCs w:val="20"/>
                <w:color w:val="auto"/>
              </w:rPr>
            </w:pPr>
            <w:r>
              <w:rPr>
                <w:rFonts w:ascii="Arial" w:cs="Arial" w:eastAsia="Arial" w:hAnsi="Arial"/>
                <w:sz w:val="10"/>
                <w:szCs w:val="10"/>
                <w:color w:val="auto"/>
              </w:rPr>
              <w:t>3.40%</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840" w:type="dxa"/>
            <w:vAlign w:val="bottom"/>
            <w:tcBorders>
              <w:bottom w:val="single" w:sz="8" w:color="auto"/>
            </w:tcBorders>
            <w:shd w:val="clear" w:color="auto" w:fill="CCEEFF"/>
          </w:tcPr>
          <w:p>
            <w:pPr>
              <w:jc w:val="center"/>
              <w:ind w:right="152"/>
              <w:spacing w:after="0"/>
              <w:rPr>
                <w:sz w:val="20"/>
                <w:szCs w:val="20"/>
                <w:color w:val="auto"/>
              </w:rPr>
            </w:pPr>
            <w:r>
              <w:rPr>
                <w:rFonts w:ascii="Arial" w:cs="Arial" w:eastAsia="Arial" w:hAnsi="Arial"/>
                <w:sz w:val="10"/>
                <w:szCs w:val="10"/>
                <w:color w:val="auto"/>
                <w:w w:val="95"/>
              </w:rPr>
              <w:t>109</w:t>
            </w:r>
          </w:p>
        </w:tc>
        <w:tc>
          <w:tcPr>
            <w:tcW w:w="100" w:type="dxa"/>
            <w:vAlign w:val="bottom"/>
            <w:shd w:val="clear" w:color="auto" w:fill="CCEEFF"/>
          </w:tcPr>
          <w:p>
            <w:pPr>
              <w:spacing w:after="0"/>
              <w:rPr>
                <w:sz w:val="15"/>
                <w:szCs w:val="15"/>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16%</w:t>
            </w:r>
          </w:p>
        </w:tc>
        <w:tc>
          <w:tcPr>
            <w:tcW w:w="0" w:type="dxa"/>
            <w:vAlign w:val="bottom"/>
          </w:tcPr>
          <w:p>
            <w:pPr>
              <w:spacing w:after="0"/>
              <w:rPr>
                <w:sz w:val="1"/>
                <w:szCs w:val="1"/>
                <w:color w:val="auto"/>
              </w:rPr>
            </w:pPr>
          </w:p>
        </w:tc>
      </w:tr>
      <w:tr>
        <w:trPr>
          <w:trHeight w:val="160"/>
        </w:trPr>
        <w:tc>
          <w:tcPr>
            <w:tcW w:w="2400" w:type="dxa"/>
            <w:vAlign w:val="bottom"/>
            <w:tcBorders>
              <w:bottom w:val="single" w:sz="8" w:color="CCEEFF"/>
            </w:tcBorders>
            <w:gridSpan w:val="2"/>
          </w:tcPr>
          <w:p>
            <w:pPr>
              <w:ind w:left="360"/>
              <w:spacing w:after="0"/>
              <w:rPr>
                <w:sz w:val="20"/>
                <w:szCs w:val="20"/>
                <w:color w:val="auto"/>
              </w:rPr>
            </w:pPr>
            <w:r>
              <w:rPr>
                <w:rFonts w:ascii="Arial" w:cs="Arial" w:eastAsia="Arial" w:hAnsi="Arial"/>
                <w:sz w:val="10"/>
                <w:szCs w:val="10"/>
                <w:color w:val="auto"/>
              </w:rPr>
              <w:t>Total 30-year</w:t>
            </w:r>
          </w:p>
        </w:tc>
        <w:tc>
          <w:tcPr>
            <w:tcW w:w="14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38,179</w:t>
            </w:r>
          </w:p>
        </w:tc>
        <w:tc>
          <w:tcPr>
            <w:tcW w:w="120" w:type="dxa"/>
            <w:vAlign w:val="bottom"/>
            <w:tcBorders>
              <w:bottom w:val="single" w:sz="8" w:color="CCEEFF"/>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39,925</w:t>
            </w:r>
          </w:p>
        </w:tc>
        <w:tc>
          <w:tcPr>
            <w:tcW w:w="120" w:type="dxa"/>
            <w:vAlign w:val="bottom"/>
            <w:tcBorders>
              <w:bottom w:val="single" w:sz="8" w:color="CCEEFF"/>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39,720</w:t>
            </w:r>
          </w:p>
        </w:tc>
        <w:tc>
          <w:tcPr>
            <w:tcW w:w="120" w:type="dxa"/>
            <w:vAlign w:val="bottom"/>
            <w:tcBorders>
              <w:bottom w:val="single" w:sz="8" w:color="CCEEFF"/>
            </w:tcBorders>
          </w:tcPr>
          <w:p>
            <w:pPr>
              <w:spacing w:after="0"/>
              <w:rPr>
                <w:sz w:val="13"/>
                <w:szCs w:val="13"/>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46%</w:t>
            </w:r>
          </w:p>
        </w:tc>
        <w:tc>
          <w:tcPr>
            <w:tcW w:w="220" w:type="dxa"/>
            <w:vAlign w:val="bottom"/>
            <w:tcBorders>
              <w:bottom w:val="single" w:sz="8" w:color="CCEEFF"/>
            </w:tcBorders>
          </w:tcPr>
          <w:p>
            <w:pPr>
              <w:spacing w:after="0"/>
              <w:rPr>
                <w:sz w:val="13"/>
                <w:szCs w:val="13"/>
                <w:color w:val="auto"/>
              </w:rPr>
            </w:pPr>
          </w:p>
        </w:tc>
        <w:tc>
          <w:tcPr>
            <w:tcW w:w="10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8"/>
              </w:rPr>
              <w:t>105.2%</w:t>
            </w:r>
          </w:p>
        </w:tc>
        <w:tc>
          <w:tcPr>
            <w:tcW w:w="120" w:type="dxa"/>
            <w:vAlign w:val="bottom"/>
            <w:tcBorders>
              <w:bottom w:val="single" w:sz="8" w:color="CCEEFF"/>
            </w:tcBorders>
          </w:tcPr>
          <w:p>
            <w:pPr>
              <w:spacing w:after="0"/>
              <w:rPr>
                <w:sz w:val="13"/>
                <w:szCs w:val="13"/>
                <w:color w:val="auto"/>
              </w:rPr>
            </w:pPr>
          </w:p>
        </w:tc>
        <w:tc>
          <w:tcPr>
            <w:tcW w:w="680" w:type="dxa"/>
            <w:vAlign w:val="bottom"/>
            <w:tcBorders>
              <w:bottom w:val="single" w:sz="8" w:color="auto"/>
            </w:tcBorders>
          </w:tcPr>
          <w:p>
            <w:pPr>
              <w:ind w:left="220"/>
              <w:spacing w:after="0"/>
              <w:rPr>
                <w:sz w:val="20"/>
                <w:szCs w:val="20"/>
                <w:color w:val="auto"/>
              </w:rPr>
            </w:pPr>
            <w:r>
              <w:rPr>
                <w:rFonts w:ascii="Arial" w:cs="Arial" w:eastAsia="Arial" w:hAnsi="Arial"/>
                <w:sz w:val="10"/>
                <w:szCs w:val="10"/>
                <w:color w:val="auto"/>
              </w:rPr>
              <w:t>4.27%</w:t>
            </w:r>
          </w:p>
        </w:tc>
        <w:tc>
          <w:tcPr>
            <w:tcW w:w="100" w:type="dxa"/>
            <w:vAlign w:val="bottom"/>
            <w:tcBorders>
              <w:bottom w:val="single" w:sz="8" w:color="CCEEFF"/>
            </w:tcBorders>
          </w:tcPr>
          <w:p>
            <w:pPr>
              <w:spacing w:after="0"/>
              <w:rPr>
                <w:sz w:val="13"/>
                <w:szCs w:val="13"/>
                <w:color w:val="auto"/>
              </w:rPr>
            </w:pPr>
          </w:p>
        </w:tc>
        <w:tc>
          <w:tcPr>
            <w:tcW w:w="800" w:type="dxa"/>
            <w:vAlign w:val="bottom"/>
            <w:tcBorders>
              <w:bottom w:val="single" w:sz="8" w:color="auto"/>
            </w:tcBorders>
          </w:tcPr>
          <w:p>
            <w:pPr>
              <w:ind w:left="280"/>
              <w:spacing w:after="0"/>
              <w:rPr>
                <w:sz w:val="20"/>
                <w:szCs w:val="20"/>
                <w:color w:val="auto"/>
              </w:rPr>
            </w:pPr>
            <w:r>
              <w:rPr>
                <w:rFonts w:ascii="Arial" w:cs="Arial" w:eastAsia="Arial" w:hAnsi="Arial"/>
                <w:sz w:val="10"/>
                <w:szCs w:val="10"/>
                <w:color w:val="auto"/>
              </w:rPr>
              <w:t>2.93%</w:t>
            </w:r>
          </w:p>
        </w:tc>
        <w:tc>
          <w:tcPr>
            <w:tcW w:w="100" w:type="dxa"/>
            <w:vAlign w:val="bottom"/>
            <w:tcBorders>
              <w:bottom w:val="single" w:sz="8" w:color="CCEEFF"/>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tcPr>
          <w:p>
            <w:pPr>
              <w:jc w:val="center"/>
              <w:ind w:right="152"/>
              <w:spacing w:after="0"/>
              <w:rPr>
                <w:sz w:val="20"/>
                <w:szCs w:val="20"/>
                <w:color w:val="auto"/>
              </w:rPr>
            </w:pPr>
            <w:r>
              <w:rPr>
                <w:rFonts w:ascii="Arial" w:cs="Arial" w:eastAsia="Arial" w:hAnsi="Arial"/>
                <w:sz w:val="10"/>
                <w:szCs w:val="10"/>
                <w:color w:val="auto"/>
                <w:w w:val="71"/>
              </w:rPr>
              <w:t>30</w:t>
            </w:r>
          </w:p>
        </w:tc>
        <w:tc>
          <w:tcPr>
            <w:tcW w:w="100" w:type="dxa"/>
            <w:vAlign w:val="bottom"/>
            <w:tcBorders>
              <w:bottom w:val="single" w:sz="8" w:color="CCEEFF"/>
            </w:tcBorders>
          </w:tcPr>
          <w:p>
            <w:pPr>
              <w:spacing w:after="0"/>
              <w:rPr>
                <w:sz w:val="13"/>
                <w:szCs w:val="13"/>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2"/>
              </w:rPr>
              <w:t>8%</w:t>
            </w:r>
          </w:p>
        </w:tc>
        <w:tc>
          <w:tcPr>
            <w:tcW w:w="0" w:type="dxa"/>
            <w:vAlign w:val="bottom"/>
          </w:tcPr>
          <w:p>
            <w:pPr>
              <w:spacing w:after="0"/>
              <w:rPr>
                <w:sz w:val="1"/>
                <w:szCs w:val="1"/>
                <w:color w:val="auto"/>
              </w:rPr>
            </w:pPr>
          </w:p>
        </w:tc>
      </w:tr>
      <w:tr>
        <w:trPr>
          <w:trHeight w:val="175"/>
        </w:trPr>
        <w:tc>
          <w:tcPr>
            <w:tcW w:w="24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Total fixed rate</w:t>
            </w: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55,708</w:t>
            </w:r>
          </w:p>
        </w:tc>
        <w:tc>
          <w:tcPr>
            <w:tcW w:w="120" w:type="dxa"/>
            <w:vAlign w:val="bottom"/>
            <w:shd w:val="clear" w:color="auto" w:fill="CCEEFF"/>
          </w:tcPr>
          <w:p>
            <w:pPr>
              <w:spacing w:after="0"/>
              <w:rPr>
                <w:sz w:val="15"/>
                <w:szCs w:val="15"/>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58,006</w:t>
            </w: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57,966</w:t>
            </w:r>
          </w:p>
        </w:tc>
        <w:tc>
          <w:tcPr>
            <w:tcW w:w="120" w:type="dxa"/>
            <w:vAlign w:val="bottom"/>
            <w:shd w:val="clear" w:color="auto" w:fill="CCEEFF"/>
          </w:tcPr>
          <w:p>
            <w:pPr>
              <w:spacing w:after="0"/>
              <w:rPr>
                <w:sz w:val="15"/>
                <w:szCs w:val="15"/>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55%</w:t>
            </w:r>
          </w:p>
        </w:tc>
        <w:tc>
          <w:tcPr>
            <w:tcW w:w="1240" w:type="dxa"/>
            <w:vAlign w:val="bottom"/>
            <w:gridSpan w:val="2"/>
            <w:shd w:val="clear" w:color="auto" w:fill="CCEEFF"/>
          </w:tcPr>
          <w:p>
            <w:pPr>
              <w:jc w:val="center"/>
              <w:ind w:left="172"/>
              <w:spacing w:after="0"/>
              <w:rPr>
                <w:sz w:val="20"/>
                <w:szCs w:val="20"/>
                <w:color w:val="auto"/>
              </w:rPr>
            </w:pPr>
            <w:r>
              <w:rPr>
                <w:rFonts w:ascii="Arial" w:cs="Arial" w:eastAsia="Arial" w:hAnsi="Arial"/>
                <w:sz w:val="10"/>
                <w:szCs w:val="10"/>
                <w:color w:val="auto"/>
                <w:w w:val="88"/>
              </w:rPr>
              <w:t>104.5%</w:t>
            </w:r>
          </w:p>
        </w:tc>
        <w:tc>
          <w:tcPr>
            <w:tcW w:w="120" w:type="dxa"/>
            <w:vAlign w:val="bottom"/>
            <w:shd w:val="clear" w:color="auto" w:fill="CCEEFF"/>
          </w:tcPr>
          <w:p>
            <w:pPr>
              <w:spacing w:after="0"/>
              <w:rPr>
                <w:sz w:val="15"/>
                <w:szCs w:val="15"/>
                <w:color w:val="auto"/>
              </w:rPr>
            </w:pPr>
          </w:p>
        </w:tc>
        <w:tc>
          <w:tcPr>
            <w:tcW w:w="6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4.08%</w:t>
            </w:r>
          </w:p>
        </w:tc>
        <w:tc>
          <w:tcPr>
            <w:tcW w:w="900" w:type="dxa"/>
            <w:vAlign w:val="bottom"/>
            <w:gridSpan w:val="2"/>
            <w:shd w:val="clear" w:color="auto" w:fill="CCEEFF"/>
          </w:tcPr>
          <w:p>
            <w:pPr>
              <w:ind w:left="380"/>
              <w:spacing w:after="0"/>
              <w:rPr>
                <w:sz w:val="20"/>
                <w:szCs w:val="20"/>
                <w:color w:val="auto"/>
              </w:rPr>
            </w:pPr>
            <w:r>
              <w:rPr>
                <w:rFonts w:ascii="Arial" w:cs="Arial" w:eastAsia="Arial" w:hAnsi="Arial"/>
                <w:sz w:val="10"/>
                <w:szCs w:val="10"/>
                <w:color w:val="auto"/>
              </w:rPr>
              <w:t>2.75%</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40" w:type="dxa"/>
            <w:vAlign w:val="bottom"/>
            <w:shd w:val="clear" w:color="auto" w:fill="CCEEFF"/>
          </w:tcPr>
          <w:p>
            <w:pPr>
              <w:jc w:val="center"/>
              <w:ind w:right="152"/>
              <w:spacing w:after="0"/>
              <w:rPr>
                <w:sz w:val="20"/>
                <w:szCs w:val="20"/>
                <w:color w:val="auto"/>
              </w:rPr>
            </w:pPr>
            <w:r>
              <w:rPr>
                <w:rFonts w:ascii="Arial" w:cs="Arial" w:eastAsia="Arial" w:hAnsi="Arial"/>
                <w:sz w:val="10"/>
                <w:szCs w:val="10"/>
                <w:color w:val="auto"/>
                <w:w w:val="71"/>
              </w:rPr>
              <w:t>36</w:t>
            </w:r>
          </w:p>
        </w:tc>
        <w:tc>
          <w:tcPr>
            <w:tcW w:w="100" w:type="dxa"/>
            <w:vAlign w:val="bottom"/>
            <w:shd w:val="clear" w:color="auto" w:fill="CCEEFF"/>
          </w:tcPr>
          <w:p>
            <w:pPr>
              <w:spacing w:after="0"/>
              <w:rPr>
                <w:sz w:val="15"/>
                <w:szCs w:val="15"/>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2"/>
              </w:rPr>
              <w:t>8%</w:t>
            </w:r>
          </w:p>
        </w:tc>
        <w:tc>
          <w:tcPr>
            <w:tcW w:w="0" w:type="dxa"/>
            <w:vAlign w:val="bottom"/>
          </w:tcPr>
          <w:p>
            <w:pPr>
              <w:spacing w:after="0"/>
              <w:rPr>
                <w:sz w:val="1"/>
                <w:szCs w:val="1"/>
                <w:color w:val="auto"/>
              </w:rPr>
            </w:pPr>
          </w:p>
        </w:tc>
      </w:tr>
      <w:tr>
        <w:trPr>
          <w:trHeight w:val="127"/>
        </w:trPr>
        <w:tc>
          <w:tcPr>
            <w:tcW w:w="2280" w:type="dxa"/>
            <w:vAlign w:val="bottom"/>
            <w:tcBorders>
              <w:top w:val="single" w:sz="8" w:color="CCEEFF"/>
            </w:tcBorders>
          </w:tcPr>
          <w:p>
            <w:pPr>
              <w:spacing w:after="0" w:line="127" w:lineRule="exact"/>
              <w:rPr>
                <w:sz w:val="20"/>
                <w:szCs w:val="20"/>
                <w:color w:val="auto"/>
              </w:rPr>
            </w:pPr>
            <w:r>
              <w:rPr>
                <w:rFonts w:ascii="Arial" w:cs="Arial" w:eastAsia="Arial" w:hAnsi="Arial"/>
                <w:sz w:val="12"/>
                <w:szCs w:val="12"/>
                <w:color w:val="auto"/>
              </w:rPr>
              <w:t>_______________</w:t>
            </w:r>
          </w:p>
        </w:tc>
        <w:tc>
          <w:tcPr>
            <w:tcW w:w="120" w:type="dxa"/>
            <w:vAlign w:val="bottom"/>
            <w:tcBorders>
              <w:top w:val="single" w:sz="8" w:color="CCEEFF"/>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84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920" w:type="dxa"/>
            <w:vAlign w:val="bottom"/>
            <w:tcBorders>
              <w:top w:val="single" w:sz="8" w:color="auto"/>
            </w:tcBorders>
          </w:tcPr>
          <w:p>
            <w:pPr>
              <w:spacing w:after="0"/>
              <w:rPr>
                <w:sz w:val="11"/>
                <w:szCs w:val="11"/>
                <w:color w:val="auto"/>
              </w:rPr>
            </w:pPr>
          </w:p>
        </w:tc>
        <w:tc>
          <w:tcPr>
            <w:tcW w:w="220" w:type="dxa"/>
            <w:vAlign w:val="bottom"/>
            <w:tcBorders>
              <w:top w:val="single" w:sz="8" w:color="CCEEFF"/>
            </w:tcBorders>
          </w:tcPr>
          <w:p>
            <w:pPr>
              <w:spacing w:after="0"/>
              <w:rPr>
                <w:sz w:val="11"/>
                <w:szCs w:val="11"/>
                <w:color w:val="auto"/>
              </w:rPr>
            </w:pPr>
          </w:p>
        </w:tc>
        <w:tc>
          <w:tcPr>
            <w:tcW w:w="1020" w:type="dxa"/>
            <w:vAlign w:val="bottom"/>
            <w:tcBorders>
              <w:top w:val="single" w:sz="8" w:color="auto"/>
            </w:tcBorders>
          </w:tcPr>
          <w:p>
            <w:pPr>
              <w:spacing w:after="0"/>
              <w:rPr>
                <w:sz w:val="11"/>
                <w:szCs w:val="11"/>
                <w:color w:val="auto"/>
              </w:rPr>
            </w:pPr>
          </w:p>
        </w:tc>
        <w:tc>
          <w:tcPr>
            <w:tcW w:w="120" w:type="dxa"/>
            <w:vAlign w:val="bottom"/>
            <w:tcBorders>
              <w:top w:val="single" w:sz="8" w:color="CCEEFF"/>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840" w:type="dxa"/>
            <w:vAlign w:val="bottom"/>
            <w:tcBorders>
              <w:top w:val="single" w:sz="8" w:color="auto"/>
            </w:tcBorders>
          </w:tcPr>
          <w:p>
            <w:pPr>
              <w:spacing w:after="0"/>
              <w:rPr>
                <w:sz w:val="11"/>
                <w:szCs w:val="11"/>
                <w:color w:val="auto"/>
              </w:rPr>
            </w:pPr>
          </w:p>
        </w:tc>
        <w:tc>
          <w:tcPr>
            <w:tcW w:w="100" w:type="dxa"/>
            <w:vAlign w:val="bottom"/>
            <w:tcBorders>
              <w:top w:val="single" w:sz="8" w:color="CCEEFF"/>
            </w:tcBorders>
          </w:tcPr>
          <w:p>
            <w:pPr>
              <w:spacing w:after="0"/>
              <w:rPr>
                <w:sz w:val="11"/>
                <w:szCs w:val="11"/>
                <w:color w:val="auto"/>
              </w:rPr>
            </w:pPr>
          </w:p>
        </w:tc>
        <w:tc>
          <w:tcPr>
            <w:tcW w:w="92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bl>
    <w:p>
      <w:pPr>
        <w:ind w:left="420" w:hanging="212"/>
        <w:spacing w:after="0"/>
        <w:tabs>
          <w:tab w:leader="none" w:pos="420" w:val="left"/>
        </w:tabs>
        <w:numPr>
          <w:ilvl w:val="0"/>
          <w:numId w:val="23"/>
        </w:numPr>
        <w:rPr>
          <w:rFonts w:ascii="Arial" w:cs="Arial" w:eastAsia="Arial" w:hAnsi="Arial"/>
          <w:sz w:val="8"/>
          <w:szCs w:val="8"/>
          <w:color w:val="auto"/>
        </w:rPr>
      </w:pPr>
      <w:r>
        <w:rPr>
          <w:rFonts w:ascii="Arial" w:cs="Arial" w:eastAsia="Arial" w:hAnsi="Arial"/>
          <w:sz w:val="8"/>
          <w:szCs w:val="8"/>
          <w:color w:val="auto"/>
        </w:rPr>
        <w:t>Lower loan balance securities represent pools backed by an original loan balance of ≤ $150,000. Our lower loan balance securities had a weighted average original loan balance of $97,000 and $98,000 for 15-year and 30-year securities, respectively, as of December 31, 2015.</w:t>
      </w:r>
    </w:p>
    <w:p>
      <w:pPr>
        <w:spacing w:after="0" w:line="16" w:lineRule="exact"/>
        <w:rPr>
          <w:rFonts w:ascii="Arial" w:cs="Arial" w:eastAsia="Arial" w:hAnsi="Arial"/>
          <w:sz w:val="8"/>
          <w:szCs w:val="8"/>
          <w:color w:val="auto"/>
        </w:rPr>
      </w:pPr>
    </w:p>
    <w:p>
      <w:pPr>
        <w:ind w:left="640" w:hanging="432"/>
        <w:spacing w:after="0" w:line="225" w:lineRule="auto"/>
        <w:tabs>
          <w:tab w:leader="none" w:pos="424" w:val="left"/>
        </w:tabs>
        <w:numPr>
          <w:ilvl w:val="0"/>
          <w:numId w:val="23"/>
        </w:numPr>
        <w:rPr>
          <w:rFonts w:ascii="Arial" w:cs="Arial" w:eastAsia="Arial" w:hAnsi="Arial"/>
          <w:sz w:val="10"/>
          <w:szCs w:val="10"/>
          <w:color w:val="auto"/>
        </w:rPr>
      </w:pPr>
      <w:r>
        <w:rPr>
          <w:rFonts w:ascii="Arial" w:cs="Arial" w:eastAsia="Arial" w:hAnsi="Arial"/>
          <w:sz w:val="10"/>
          <w:szCs w:val="10"/>
          <w:color w:val="auto"/>
        </w:rPr>
        <w:t>HARP securities are defined as pools backed by 100% refinance loans with LTVs ≥ 80%. Our HARP securities had a weighted average LTV of 110% and 127% for 15-year and 30-year securities, respectively, as of December 31, 2015. Includes $0.9 billion and $4.0 billion of 15-year and 30-year securities, respectively, with &gt;105 LTV pools which are not deliverable into TBA securities.</w:t>
      </w:r>
    </w:p>
    <w:p>
      <w:pPr>
        <w:ind w:left="420" w:hanging="212"/>
        <w:spacing w:after="0" w:line="225" w:lineRule="auto"/>
        <w:tabs>
          <w:tab w:leader="none" w:pos="420" w:val="left"/>
        </w:tabs>
        <w:numPr>
          <w:ilvl w:val="0"/>
          <w:numId w:val="23"/>
        </w:numPr>
        <w:rPr>
          <w:rFonts w:ascii="Arial" w:cs="Arial" w:eastAsia="Arial" w:hAnsi="Arial"/>
          <w:sz w:val="10"/>
          <w:szCs w:val="10"/>
          <w:color w:val="auto"/>
        </w:rPr>
      </w:pPr>
      <w:r>
        <w:rPr>
          <w:rFonts w:ascii="Arial" w:cs="Arial" w:eastAsia="Arial" w:hAnsi="Arial"/>
          <w:sz w:val="10"/>
          <w:szCs w:val="10"/>
          <w:color w:val="auto"/>
        </w:rPr>
        <w:t>WAC represents the weighted average coupon of the underlying collateral.</w:t>
      </w:r>
    </w:p>
    <w:p>
      <w:pPr>
        <w:ind w:left="420" w:hanging="212"/>
        <w:spacing w:after="0" w:line="236" w:lineRule="auto"/>
        <w:tabs>
          <w:tab w:leader="none" w:pos="420" w:val="left"/>
        </w:tabs>
        <w:numPr>
          <w:ilvl w:val="0"/>
          <w:numId w:val="23"/>
        </w:numPr>
        <w:rPr>
          <w:rFonts w:ascii="Arial" w:cs="Arial" w:eastAsia="Arial" w:hAnsi="Arial"/>
          <w:sz w:val="10"/>
          <w:szCs w:val="10"/>
          <w:color w:val="auto"/>
        </w:rPr>
      </w:pPr>
      <w:r>
        <w:rPr>
          <w:rFonts w:ascii="Arial" w:cs="Arial" w:eastAsia="Arial" w:hAnsi="Arial"/>
          <w:sz w:val="10"/>
          <w:szCs w:val="10"/>
          <w:color w:val="auto"/>
        </w:rPr>
        <w:t>Portfolio yield incorporates a projected life CPR assumption based on forward rate assumptions as of December 31, 2015.</w:t>
      </w:r>
    </w:p>
    <w:p>
      <w:pPr>
        <w:spacing w:after="0" w:line="99" w:lineRule="exact"/>
        <w:rPr>
          <w:sz w:val="20"/>
          <w:szCs w:val="20"/>
          <w:color w:val="auto"/>
        </w:rPr>
      </w:pPr>
    </w:p>
    <w:p>
      <w:pPr>
        <w:ind w:left="260"/>
        <w:spacing w:after="0"/>
        <w:rPr>
          <w:sz w:val="20"/>
          <w:szCs w:val="20"/>
          <w:color w:val="auto"/>
        </w:rPr>
      </w:pPr>
      <w:r>
        <w:rPr>
          <w:rFonts w:ascii="Arial" w:cs="Arial" w:eastAsia="Arial" w:hAnsi="Arial"/>
          <w:sz w:val="12"/>
          <w:szCs w:val="12"/>
          <w:color w:val="auto"/>
        </w:rPr>
        <w:t>As of September 30, 2016 and December 31, 2015, the combined weighted average yield on our investment securities (excluding TBAs) was 2.68% and 2.78%, respectively.</w:t>
      </w:r>
    </w:p>
    <w:p>
      <w:pPr>
        <w:spacing w:after="0" w:line="114"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Our pass-through agency MBS collateralized by adjustable rate mortgage loans, or ARMs, have coupons linked to various indices. As of September 30, 2016 and December 31, 2015, our ARM securities had a weighted average next reset date of 40 months and 46 months, respectively.</w:t>
      </w:r>
    </w:p>
    <w:p>
      <w:pPr>
        <w:spacing w:after="0" w:line="75"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RESULTS OF OPERATIONS</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Non-GAAP Financial Measures</w:t>
      </w:r>
    </w:p>
    <w:p>
      <w:pPr>
        <w:spacing w:after="0" w:line="150"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In addition to the results presented in accordance with GAAP, our results of operations discussed below include certain non-GAAP financial information, including "adjusted net interest expense," "net spread and dollar roll income," "net spread and dollar roll income, excluding 'catch-up' premium amortization," "estimated taxable income" and the related per common share measures and certain financial metrics derived from such non-GAAP information, such as "cost of funds" and "net interest rate spread."</w:t>
      </w:r>
    </w:p>
    <w:p>
      <w:pPr>
        <w:spacing w:after="0" w:line="123" w:lineRule="exact"/>
        <w:rPr>
          <w:sz w:val="20"/>
          <w:szCs w:val="20"/>
          <w:color w:val="auto"/>
        </w:rPr>
      </w:pPr>
    </w:p>
    <w:p>
      <w:pPr>
        <w:jc w:val="both"/>
        <w:ind w:right="20" w:firstLine="270"/>
        <w:spacing w:after="0" w:line="276" w:lineRule="auto"/>
        <w:rPr>
          <w:sz w:val="20"/>
          <w:szCs w:val="20"/>
          <w:color w:val="auto"/>
        </w:rPr>
      </w:pPr>
      <w:r>
        <w:rPr>
          <w:rFonts w:ascii="Arial" w:cs="Arial" w:eastAsia="Arial" w:hAnsi="Arial"/>
          <w:sz w:val="12"/>
          <w:szCs w:val="12"/>
          <w:color w:val="auto"/>
        </w:rPr>
        <w:t>"Adjusted net interest expense" is measured as interest expense (GAAP measure) adjusted to include other interest rate swap periodic costs. "Net spread and dollar roll income" is measured as (i) net interest income (GAAP measure) adjusted to include other interest rate swap periodic costs, TBA dollar roll income, management fee income and dividends on REIT equity securities</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35</w:t>
      </w:r>
    </w:p>
    <w:p>
      <w:pPr>
        <w:sectPr>
          <w:pgSz w:w="11900" w:h="16838" w:orient="portrait"/>
          <w:cols w:equalWidth="0" w:num="1">
            <w:col w:w="11480"/>
          </w:cols>
          <w:pgMar w:left="220" w:top="692" w:right="199" w:bottom="1440" w:gutter="0" w:footer="0" w:header="0"/>
        </w:sectPr>
      </w:pPr>
    </w:p>
    <w:bookmarkStart w:id="36" w:name="page37"/>
    <w:bookmarkEnd w:id="36"/>
    <w:p>
      <w:pPr>
        <w:jc w:val="both"/>
        <w:spacing w:after="0" w:line="276" w:lineRule="auto"/>
        <w:rPr>
          <w:sz w:val="20"/>
          <w:szCs w:val="20"/>
          <w:color w:val="auto"/>
        </w:rPr>
      </w:pPr>
      <w:r>
        <w:rPr>
          <w:rFonts w:ascii="Arial" w:cs="Arial" w:eastAsia="Arial" w:hAnsi="Arial"/>
          <w:sz w:val="12"/>
          <w:szCs w:val="12"/>
          <w:color w:val="auto"/>
        </w:rPr>
        <w:t>(referred to as "adjusted net interest and dollar roll income") less (ii) total operating expenses (GAAP measure) adjusted to exclude non-recurring transaction costs (referred to as "adjusted operating expenses"). "Net spread and dollar roll income, excluding 'catch-up' premium amortization," further excludes retrospective "catch-up" adjustments to premium amortization cost or benefit due to changes in projected CPR estimates.</w:t>
      </w:r>
    </w:p>
    <w:p>
      <w:pPr>
        <w:spacing w:after="0" w:line="115"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By providing such measures, in addition to the related GAAP measures, we believe we give greater transparency into the information used by our management in its financial and operational decision-making. We also believe it is important for users of our financial information to consider information related to our current financial performance without the effects of certain measures that are not necessarily indicative of our current investment portfolio performance and operations.</w:t>
      </w:r>
    </w:p>
    <w:p>
      <w:pPr>
        <w:spacing w:after="0" w:line="123" w:lineRule="exact"/>
        <w:rPr>
          <w:sz w:val="20"/>
          <w:szCs w:val="20"/>
          <w:color w:val="auto"/>
        </w:rPr>
      </w:pPr>
    </w:p>
    <w:p>
      <w:pPr>
        <w:jc w:val="both"/>
        <w:ind w:firstLine="270"/>
        <w:spacing w:after="0" w:line="280" w:lineRule="auto"/>
        <w:rPr>
          <w:sz w:val="20"/>
          <w:szCs w:val="20"/>
          <w:color w:val="auto"/>
        </w:rPr>
      </w:pPr>
      <w:r>
        <w:rPr>
          <w:rFonts w:ascii="Arial" w:cs="Arial" w:eastAsia="Arial" w:hAnsi="Arial"/>
          <w:sz w:val="11"/>
          <w:szCs w:val="11"/>
          <w:color w:val="auto"/>
        </w:rPr>
        <w:t>Specifically, in the case of "adjusted net interest and dollar roll income," we believe the inclusion of TBA dollar roll income is meaningful as TBAs, which are accounted for under GAAP as derivative instruments with gains and losses recognized in other gain (loss) in our statement of operations, are economically equivalent to holding and financing generic agency MBS using short-term repurchase agreements. Similarly, we believe that the inclusion of periodic interest rate swap settlements in such measure and in "adjusted net interest expense," which are recognized under GAAP in other gain (loss), is meaningful as interest rate swaps are the primary instrument we use to economically hedge against fluctuations in our borrowing costs and inclusion of all periodic interest rate swap settlement costs is more indicative of our total cost of funds than interest expense alone. In the case of "net spread and dollar roll income, excluding 'catch-up' premium amortization," we believe the exclusion of "catch-up" adjustments to premium amortization cost or benefit is meaningful as it excludes the cumulative effect from prior reporting periods due to current changes in future prepayment expectations and, therefore, exclusion of such cost or benefit is more indicative of the current earnings potential of our investment portfolio. We also believe the exclusion of non-recurring transactions costs reported in general, administrative and other expense under GAAP is meaningful as they represent non-recurring transaction costs associated with our acquisition of AMM and are not representative of ongoing operating costs. In the case of estimated taxable income, we believe it is meaningful information because it directly relates to the amount of dividends we are required to distribute in order to maintain our REIT qualification status.</w:t>
      </w:r>
    </w:p>
    <w:p>
      <w:pPr>
        <w:spacing w:after="0" w:line="116" w:lineRule="exact"/>
        <w:rPr>
          <w:sz w:val="20"/>
          <w:szCs w:val="20"/>
          <w:color w:val="auto"/>
        </w:rPr>
      </w:pPr>
    </w:p>
    <w:p>
      <w:pPr>
        <w:jc w:val="both"/>
        <w:ind w:firstLine="270"/>
        <w:spacing w:after="0" w:line="298" w:lineRule="auto"/>
        <w:rPr>
          <w:sz w:val="20"/>
          <w:szCs w:val="20"/>
          <w:color w:val="auto"/>
        </w:rPr>
      </w:pPr>
      <w:r>
        <w:rPr>
          <w:rFonts w:ascii="Arial" w:cs="Arial" w:eastAsia="Arial" w:hAnsi="Arial"/>
          <w:sz w:val="11"/>
          <w:szCs w:val="11"/>
          <w:color w:val="auto"/>
        </w:rPr>
        <w:t>However, because such measures are incomplete measures of our financial performance and involve differences from results computed in accordance with GAAP, they should be considered as supplementary to, and not as a substitute for, results computed in accordance with GAAP. In addition, because not all companies use identical calculations, our presentation of such non-GAAP measures may not be comparable to other similarly-titled measures of other companies. Furthermore, estimated taxable income can include certain information that is subject to potential adjustments up to the time of filing our income tax returns, which occurs after the end of our fiscal year.</w:t>
      </w:r>
    </w:p>
    <w:p>
      <w:pPr>
        <w:spacing w:after="0" w:line="68" w:lineRule="exact"/>
        <w:rPr>
          <w:sz w:val="20"/>
          <w:szCs w:val="20"/>
          <w:color w:val="auto"/>
        </w:rPr>
      </w:pPr>
    </w:p>
    <w:p>
      <w:pPr>
        <w:spacing w:after="0"/>
        <w:rPr>
          <w:sz w:val="20"/>
          <w:szCs w:val="20"/>
          <w:color w:val="auto"/>
        </w:rPr>
      </w:pPr>
      <w:r>
        <w:rPr>
          <w:rFonts w:ascii="Arial" w:cs="Arial" w:eastAsia="Arial" w:hAnsi="Arial"/>
          <w:sz w:val="13"/>
          <w:szCs w:val="13"/>
          <w:b w:val="1"/>
          <w:bCs w:val="1"/>
          <w:i w:val="1"/>
          <w:iCs w:val="1"/>
          <w:color w:val="auto"/>
        </w:rPr>
        <w:t>Selected Financial Data</w:t>
      </w:r>
    </w:p>
    <w:p>
      <w:pPr>
        <w:spacing w:after="0" w:line="149" w:lineRule="exact"/>
        <w:rPr>
          <w:sz w:val="20"/>
          <w:szCs w:val="20"/>
          <w:color w:val="auto"/>
        </w:rPr>
      </w:pPr>
    </w:p>
    <w:p>
      <w:pPr>
        <w:ind w:left="280"/>
        <w:spacing w:after="0"/>
        <w:rPr>
          <w:sz w:val="20"/>
          <w:szCs w:val="20"/>
          <w:color w:val="auto"/>
        </w:rPr>
      </w:pPr>
      <w:r>
        <w:rPr>
          <w:rFonts w:ascii="Arial" w:cs="Arial" w:eastAsia="Arial" w:hAnsi="Arial"/>
          <w:sz w:val="11"/>
          <w:szCs w:val="11"/>
          <w:color w:val="auto"/>
        </w:rPr>
        <w:t>The following selected financial data is derived from our interim consolidated financial statements and the notes thereto. The tables below present our condensed consolidated balance sheets as of September 30, 2016 and</w:t>
      </w:r>
    </w:p>
    <w:p>
      <w:pPr>
        <w:spacing w:after="0" w:line="26" w:lineRule="exact"/>
        <w:rPr>
          <w:sz w:val="20"/>
          <w:szCs w:val="20"/>
          <w:color w:val="auto"/>
        </w:rPr>
      </w:pPr>
    </w:p>
    <w:p>
      <w:pPr>
        <w:spacing w:after="0"/>
        <w:rPr>
          <w:sz w:val="20"/>
          <w:szCs w:val="20"/>
          <w:color w:val="auto"/>
        </w:rPr>
      </w:pPr>
      <w:r>
        <w:rPr>
          <w:rFonts w:ascii="Arial" w:cs="Arial" w:eastAsia="Arial" w:hAnsi="Arial"/>
          <w:sz w:val="11"/>
          <w:szCs w:val="11"/>
          <w:color w:val="auto"/>
        </w:rPr>
        <w:t>December 31, 2015 and our condensed consolidated statements of comprehensive income and key statistics for the three and nine months ended September 30, 2016 and 2015 (in millions, except per share amounts):</w:t>
      </w:r>
    </w:p>
    <w:p>
      <w:pPr>
        <w:spacing w:after="0" w:line="225" w:lineRule="exact"/>
        <w:rPr>
          <w:sz w:val="20"/>
          <w:szCs w:val="20"/>
          <w:color w:val="auto"/>
        </w:rPr>
      </w:pPr>
    </w:p>
    <w:p>
      <w:pPr>
        <w:ind w:left="640"/>
        <w:spacing w:after="0"/>
        <w:rPr>
          <w:sz w:val="20"/>
          <w:szCs w:val="20"/>
          <w:color w:val="auto"/>
        </w:rPr>
      </w:pPr>
      <w:r>
        <w:rPr>
          <w:rFonts w:ascii="Arial" w:cs="Arial" w:eastAsia="Arial" w:hAnsi="Arial"/>
          <w:sz w:val="11"/>
          <w:szCs w:val="11"/>
          <w:b w:val="1"/>
          <w:bCs w:val="1"/>
          <w:color w:val="auto"/>
        </w:rPr>
        <w:t>($ in millions, except per share amounts)</w:t>
      </w:r>
    </w:p>
    <w:p>
      <w:pPr>
        <w:spacing w:after="0" w:line="54" w:lineRule="exact"/>
        <w:rPr>
          <w:sz w:val="20"/>
          <w:szCs w:val="20"/>
          <w:color w:val="auto"/>
        </w:rPr>
      </w:pPr>
    </w:p>
    <w:tbl>
      <w:tblPr>
        <w:tblLayout w:type="fixed"/>
        <w:tblInd w:w="620" w:type="dxa"/>
        <w:tblCellMar>
          <w:top w:w="0" w:type="dxa"/>
          <w:left w:w="0" w:type="dxa"/>
          <w:bottom w:w="0" w:type="dxa"/>
          <w:right w:w="0" w:type="dxa"/>
        </w:tblCellMar>
      </w:tblPr>
      <w:tr>
        <w:trPr>
          <w:trHeight w:val="158"/>
        </w:trPr>
        <w:tc>
          <w:tcPr>
            <w:tcW w:w="7560" w:type="dxa"/>
            <w:vAlign w:val="bottom"/>
            <w:tcBorders>
              <w:bottom w:val="single" w:sz="8" w:color="auto"/>
            </w:tcBorders>
          </w:tcPr>
          <w:p>
            <w:pPr>
              <w:ind w:left="20"/>
              <w:spacing w:after="0"/>
              <w:rPr>
                <w:sz w:val="20"/>
                <w:szCs w:val="20"/>
                <w:color w:val="auto"/>
              </w:rPr>
            </w:pPr>
            <w:r>
              <w:rPr>
                <w:rFonts w:ascii="Arial" w:cs="Arial" w:eastAsia="Arial" w:hAnsi="Arial"/>
                <w:sz w:val="11"/>
                <w:szCs w:val="11"/>
                <w:b w:val="1"/>
                <w:bCs w:val="1"/>
                <w:color w:val="auto"/>
              </w:rPr>
              <w:t>Balance Sheet Data</w:t>
            </w:r>
          </w:p>
        </w:tc>
        <w:tc>
          <w:tcPr>
            <w:tcW w:w="12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tcPr>
          <w:p>
            <w:pPr>
              <w:jc w:val="center"/>
              <w:ind w:right="87"/>
              <w:spacing w:after="0"/>
              <w:rPr>
                <w:sz w:val="20"/>
                <w:szCs w:val="20"/>
                <w:color w:val="auto"/>
              </w:rPr>
            </w:pPr>
            <w:r>
              <w:rPr>
                <w:rFonts w:ascii="Arial" w:cs="Arial" w:eastAsia="Arial" w:hAnsi="Arial"/>
                <w:sz w:val="10"/>
                <w:szCs w:val="10"/>
                <w:b w:val="1"/>
                <w:bCs w:val="1"/>
                <w:color w:val="auto"/>
                <w:w w:val="85"/>
              </w:rPr>
              <w:t>September 30, 2016</w:t>
            </w:r>
          </w:p>
        </w:tc>
        <w:tc>
          <w:tcPr>
            <w:tcW w:w="80" w:type="dxa"/>
            <w:vAlign w:val="bottom"/>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1060" w:type="dxa"/>
            <w:vAlign w:val="bottom"/>
            <w:tcBorders>
              <w:bottom w:val="single" w:sz="8" w:color="auto"/>
            </w:tcBorders>
          </w:tcPr>
          <w:p>
            <w:pPr>
              <w:jc w:val="right"/>
              <w:ind w:right="167"/>
              <w:spacing w:after="0"/>
              <w:rPr>
                <w:sz w:val="20"/>
                <w:szCs w:val="20"/>
                <w:color w:val="auto"/>
              </w:rPr>
            </w:pPr>
            <w:r>
              <w:rPr>
                <w:rFonts w:ascii="Arial" w:cs="Arial" w:eastAsia="Arial" w:hAnsi="Arial"/>
                <w:sz w:val="10"/>
                <w:szCs w:val="10"/>
                <w:b w:val="1"/>
                <w:bCs w:val="1"/>
                <w:color w:val="auto"/>
                <w:w w:val="91"/>
              </w:rPr>
              <w:t>December 31, 2015</w:t>
            </w:r>
          </w:p>
        </w:tc>
      </w:tr>
      <w:tr>
        <w:trPr>
          <w:trHeight w:val="169"/>
        </w:trPr>
        <w:tc>
          <w:tcPr>
            <w:tcW w:w="75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80" w:type="dxa"/>
            <w:vAlign w:val="bottom"/>
            <w:gridSpan w:val="2"/>
          </w:tcPr>
          <w:p>
            <w:pPr>
              <w:jc w:val="center"/>
              <w:ind w:right="220"/>
              <w:spacing w:after="0"/>
              <w:rPr>
                <w:sz w:val="20"/>
                <w:szCs w:val="20"/>
                <w:color w:val="auto"/>
              </w:rPr>
            </w:pPr>
            <w:r>
              <w:rPr>
                <w:rFonts w:ascii="Arial" w:cs="Arial" w:eastAsia="Arial" w:hAnsi="Arial"/>
                <w:sz w:val="10"/>
                <w:szCs w:val="10"/>
                <w:b w:val="1"/>
                <w:bCs w:val="1"/>
                <w:color w:val="auto"/>
                <w:w w:val="88"/>
              </w:rPr>
              <w:t>(unaudited)</w:t>
            </w:r>
          </w:p>
        </w:tc>
        <w:tc>
          <w:tcPr>
            <w:tcW w:w="160" w:type="dxa"/>
            <w:vAlign w:val="bottom"/>
          </w:tcPr>
          <w:p>
            <w:pPr>
              <w:spacing w:after="0"/>
              <w:rPr>
                <w:sz w:val="14"/>
                <w:szCs w:val="14"/>
                <w:color w:val="auto"/>
              </w:rPr>
            </w:pPr>
          </w:p>
        </w:tc>
        <w:tc>
          <w:tcPr>
            <w:tcW w:w="1060" w:type="dxa"/>
            <w:vAlign w:val="bottom"/>
          </w:tcPr>
          <w:p>
            <w:pPr>
              <w:spacing w:after="0"/>
              <w:rPr>
                <w:sz w:val="14"/>
                <w:szCs w:val="14"/>
                <w:color w:val="auto"/>
              </w:rPr>
            </w:pPr>
          </w:p>
        </w:tc>
      </w:tr>
      <w:tr>
        <w:trPr>
          <w:trHeight w:val="164"/>
        </w:trPr>
        <w:tc>
          <w:tcPr>
            <w:tcW w:w="7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Investment securities, at fair value</w:t>
            </w:r>
          </w:p>
        </w:tc>
        <w:tc>
          <w:tcPr>
            <w:tcW w:w="140" w:type="dxa"/>
            <w:vAlign w:val="bottom"/>
            <w:tcBorders>
              <w:bottom w:val="single" w:sz="8" w:color="CCEEFF"/>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47,356</w:t>
            </w:r>
          </w:p>
        </w:tc>
        <w:tc>
          <w:tcPr>
            <w:tcW w:w="80" w:type="dxa"/>
            <w:vAlign w:val="bottom"/>
            <w:tcBorders>
              <w:bottom w:val="single" w:sz="8" w:color="CCEEFF"/>
            </w:tcBorders>
            <w:shd w:val="clear" w:color="auto" w:fill="CCEEFF"/>
          </w:tcPr>
          <w:p>
            <w:pPr>
              <w:spacing w:after="0"/>
              <w:rPr>
                <w:sz w:val="14"/>
                <w:szCs w:val="14"/>
                <w:color w:val="auto"/>
              </w:rPr>
            </w:pP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06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52,473</w:t>
            </w:r>
          </w:p>
        </w:tc>
      </w:tr>
      <w:tr>
        <w:trPr>
          <w:trHeight w:val="158"/>
        </w:trPr>
        <w:tc>
          <w:tcPr>
            <w:tcW w:w="7680" w:type="dxa"/>
            <w:vAlign w:val="bottom"/>
            <w:gridSpan w:val="2"/>
          </w:tcPr>
          <w:p>
            <w:pPr>
              <w:ind w:left="20"/>
              <w:spacing w:after="0"/>
              <w:rPr>
                <w:sz w:val="20"/>
                <w:szCs w:val="20"/>
                <w:color w:val="auto"/>
              </w:rPr>
            </w:pPr>
            <w:r>
              <w:rPr>
                <w:rFonts w:ascii="Arial" w:cs="Arial" w:eastAsia="Arial" w:hAnsi="Arial"/>
                <w:sz w:val="11"/>
                <w:szCs w:val="11"/>
                <w:color w:val="auto"/>
              </w:rPr>
              <w:t>Total assets</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47"/>
              <w:spacing w:after="0"/>
              <w:rPr>
                <w:sz w:val="20"/>
                <w:szCs w:val="20"/>
                <w:color w:val="auto"/>
              </w:rPr>
            </w:pPr>
            <w:r>
              <w:rPr>
                <w:rFonts w:ascii="Arial" w:cs="Arial" w:eastAsia="Arial" w:hAnsi="Arial"/>
                <w:sz w:val="11"/>
                <w:szCs w:val="11"/>
                <w:color w:val="auto"/>
              </w:rPr>
              <w:t>55,889</w:t>
            </w:r>
          </w:p>
        </w:tc>
        <w:tc>
          <w:tcPr>
            <w:tcW w:w="80" w:type="dxa"/>
            <w:vAlign w:val="bottom"/>
          </w:tcPr>
          <w:p>
            <w:pPr>
              <w:spacing w:after="0"/>
              <w:rPr>
                <w:sz w:val="13"/>
                <w:szCs w:val="13"/>
                <w:color w:val="auto"/>
              </w:rPr>
            </w:pP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060" w:type="dxa"/>
            <w:vAlign w:val="bottom"/>
          </w:tcPr>
          <w:p>
            <w:pPr>
              <w:jc w:val="right"/>
              <w:ind w:right="47"/>
              <w:spacing w:after="0"/>
              <w:rPr>
                <w:sz w:val="20"/>
                <w:szCs w:val="20"/>
                <w:color w:val="auto"/>
              </w:rPr>
            </w:pPr>
            <w:r>
              <w:rPr>
                <w:rFonts w:ascii="Arial" w:cs="Arial" w:eastAsia="Arial" w:hAnsi="Arial"/>
                <w:sz w:val="11"/>
                <w:szCs w:val="11"/>
                <w:color w:val="auto"/>
              </w:rPr>
              <w:t>57,021</w:t>
            </w:r>
          </w:p>
        </w:tc>
      </w:tr>
      <w:tr>
        <w:trPr>
          <w:trHeight w:val="22"/>
        </w:trPr>
        <w:tc>
          <w:tcPr>
            <w:tcW w:w="7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60"/>
        </w:trPr>
        <w:tc>
          <w:tcPr>
            <w:tcW w:w="7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Repurchase agreements, Federal Home Loan Bank advances and other debt</w:t>
            </w:r>
          </w:p>
        </w:tc>
        <w:tc>
          <w:tcPr>
            <w:tcW w:w="140" w:type="dxa"/>
            <w:vAlign w:val="bottom"/>
            <w:tcBorders>
              <w:bottom w:val="single" w:sz="8" w:color="CCEEFF"/>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41,199</w:t>
            </w:r>
          </w:p>
        </w:tc>
        <w:tc>
          <w:tcPr>
            <w:tcW w:w="80" w:type="dxa"/>
            <w:vAlign w:val="bottom"/>
            <w:tcBorders>
              <w:bottom w:val="single" w:sz="8" w:color="CCEEFF"/>
            </w:tcBorders>
            <w:shd w:val="clear" w:color="auto" w:fill="CCEEFF"/>
          </w:tcPr>
          <w:p>
            <w:pPr>
              <w:spacing w:after="0"/>
              <w:rPr>
                <w:sz w:val="13"/>
                <w:szCs w:val="13"/>
                <w:color w:val="auto"/>
              </w:rPr>
            </w:pP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06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46,102</w:t>
            </w:r>
          </w:p>
        </w:tc>
      </w:tr>
      <w:tr>
        <w:trPr>
          <w:trHeight w:val="158"/>
        </w:trPr>
        <w:tc>
          <w:tcPr>
            <w:tcW w:w="7680" w:type="dxa"/>
            <w:vAlign w:val="bottom"/>
            <w:gridSpan w:val="2"/>
          </w:tcPr>
          <w:p>
            <w:pPr>
              <w:ind w:left="20"/>
              <w:spacing w:after="0"/>
              <w:rPr>
                <w:sz w:val="20"/>
                <w:szCs w:val="20"/>
                <w:color w:val="auto"/>
              </w:rPr>
            </w:pPr>
            <w:r>
              <w:rPr>
                <w:rFonts w:ascii="Arial" w:cs="Arial" w:eastAsia="Arial" w:hAnsi="Arial"/>
                <w:sz w:val="11"/>
                <w:szCs w:val="11"/>
                <w:color w:val="auto"/>
              </w:rPr>
              <w:t>Total liabilities</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47"/>
              <w:spacing w:after="0"/>
              <w:rPr>
                <w:sz w:val="20"/>
                <w:szCs w:val="20"/>
                <w:color w:val="auto"/>
              </w:rPr>
            </w:pPr>
            <w:r>
              <w:rPr>
                <w:rFonts w:ascii="Arial" w:cs="Arial" w:eastAsia="Arial" w:hAnsi="Arial"/>
                <w:sz w:val="11"/>
                <w:szCs w:val="11"/>
                <w:color w:val="auto"/>
              </w:rPr>
              <w:t>47,958</w:t>
            </w:r>
          </w:p>
        </w:tc>
        <w:tc>
          <w:tcPr>
            <w:tcW w:w="80" w:type="dxa"/>
            <w:vAlign w:val="bottom"/>
          </w:tcPr>
          <w:p>
            <w:pPr>
              <w:spacing w:after="0"/>
              <w:rPr>
                <w:sz w:val="13"/>
                <w:szCs w:val="13"/>
                <w:color w:val="auto"/>
              </w:rPr>
            </w:pP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060" w:type="dxa"/>
            <w:vAlign w:val="bottom"/>
          </w:tcPr>
          <w:p>
            <w:pPr>
              <w:jc w:val="right"/>
              <w:ind w:right="47"/>
              <w:spacing w:after="0"/>
              <w:rPr>
                <w:sz w:val="20"/>
                <w:szCs w:val="20"/>
                <w:color w:val="auto"/>
              </w:rPr>
            </w:pPr>
            <w:r>
              <w:rPr>
                <w:rFonts w:ascii="Arial" w:cs="Arial" w:eastAsia="Arial" w:hAnsi="Arial"/>
                <w:sz w:val="11"/>
                <w:szCs w:val="11"/>
                <w:color w:val="auto"/>
              </w:rPr>
              <w:t>49,050</w:t>
            </w:r>
          </w:p>
        </w:tc>
      </w:tr>
      <w:tr>
        <w:trPr>
          <w:trHeight w:val="22"/>
        </w:trPr>
        <w:tc>
          <w:tcPr>
            <w:tcW w:w="7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60"/>
        </w:trPr>
        <w:tc>
          <w:tcPr>
            <w:tcW w:w="76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Total stockholders' equity</w:t>
            </w:r>
          </w:p>
        </w:tc>
        <w:tc>
          <w:tcPr>
            <w:tcW w:w="140" w:type="dxa"/>
            <w:vAlign w:val="bottom"/>
            <w:tcBorders>
              <w:bottom w:val="single" w:sz="8" w:color="CCEEFF"/>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7,931</w:t>
            </w:r>
          </w:p>
        </w:tc>
        <w:tc>
          <w:tcPr>
            <w:tcW w:w="80" w:type="dxa"/>
            <w:vAlign w:val="bottom"/>
            <w:tcBorders>
              <w:bottom w:val="single" w:sz="8" w:color="CCEEFF"/>
            </w:tcBorders>
            <w:shd w:val="clear" w:color="auto" w:fill="CCEEFF"/>
          </w:tcPr>
          <w:p>
            <w:pPr>
              <w:spacing w:after="0"/>
              <w:rPr>
                <w:sz w:val="13"/>
                <w:szCs w:val="13"/>
                <w:color w:val="auto"/>
              </w:rPr>
            </w:pP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060" w:type="dxa"/>
            <w:vAlign w:val="bottom"/>
            <w:tcBorders>
              <w:bottom w:val="single" w:sz="8" w:color="CCEEFF"/>
            </w:tcBorders>
            <w:shd w:val="clear" w:color="auto" w:fill="CCEEFF"/>
          </w:tcPr>
          <w:p>
            <w:pPr>
              <w:jc w:val="right"/>
              <w:ind w:right="47"/>
              <w:spacing w:after="0"/>
              <w:rPr>
                <w:sz w:val="20"/>
                <w:szCs w:val="20"/>
                <w:color w:val="auto"/>
              </w:rPr>
            </w:pPr>
            <w:r>
              <w:rPr>
                <w:rFonts w:ascii="Arial" w:cs="Arial" w:eastAsia="Arial" w:hAnsi="Arial"/>
                <w:sz w:val="11"/>
                <w:szCs w:val="11"/>
                <w:color w:val="auto"/>
              </w:rPr>
              <w:t>7,971</w:t>
            </w:r>
          </w:p>
        </w:tc>
      </w:tr>
      <w:tr>
        <w:trPr>
          <w:trHeight w:val="180"/>
        </w:trPr>
        <w:tc>
          <w:tcPr>
            <w:tcW w:w="7680" w:type="dxa"/>
            <w:vAlign w:val="bottom"/>
            <w:gridSpan w:val="2"/>
          </w:tcPr>
          <w:p>
            <w:pPr>
              <w:ind w:left="20"/>
              <w:spacing w:after="0"/>
              <w:rPr>
                <w:sz w:val="20"/>
                <w:szCs w:val="20"/>
                <w:color w:val="auto"/>
              </w:rPr>
            </w:pPr>
            <w:r>
              <w:rPr>
                <w:rFonts w:ascii="Arial" w:cs="Arial" w:eastAsia="Arial" w:hAnsi="Arial"/>
                <w:sz w:val="11"/>
                <w:szCs w:val="11"/>
                <w:color w:val="auto"/>
              </w:rPr>
              <w:t xml:space="preserve">Net asset value per common share as of period end </w:t>
            </w:r>
            <w:r>
              <w:rPr>
                <w:rFonts w:ascii="Arial" w:cs="Arial" w:eastAsia="Arial" w:hAnsi="Arial"/>
                <w:sz w:val="14"/>
                <w:szCs w:val="14"/>
                <w:color w:val="auto"/>
                <w:vertAlign w:val="superscript"/>
              </w:rPr>
              <w:t>1</w:t>
            </w: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47"/>
              <w:spacing w:after="0"/>
              <w:rPr>
                <w:sz w:val="20"/>
                <w:szCs w:val="20"/>
                <w:color w:val="auto"/>
              </w:rPr>
            </w:pPr>
            <w:r>
              <w:rPr>
                <w:rFonts w:ascii="Arial" w:cs="Arial" w:eastAsia="Arial" w:hAnsi="Arial"/>
                <w:sz w:val="11"/>
                <w:szCs w:val="11"/>
                <w:color w:val="auto"/>
              </w:rPr>
              <w:t>22.91</w:t>
            </w:r>
          </w:p>
        </w:tc>
        <w:tc>
          <w:tcPr>
            <w:tcW w:w="80" w:type="dxa"/>
            <w:vAlign w:val="bottom"/>
          </w:tcPr>
          <w:p>
            <w:pPr>
              <w:spacing w:after="0"/>
              <w:rPr>
                <w:sz w:val="15"/>
                <w:szCs w:val="15"/>
                <w:color w:val="auto"/>
              </w:rPr>
            </w:pP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060" w:type="dxa"/>
            <w:vAlign w:val="bottom"/>
          </w:tcPr>
          <w:p>
            <w:pPr>
              <w:jc w:val="right"/>
              <w:ind w:right="47"/>
              <w:spacing w:after="0"/>
              <w:rPr>
                <w:sz w:val="20"/>
                <w:szCs w:val="20"/>
                <w:color w:val="auto"/>
              </w:rPr>
            </w:pPr>
            <w:r>
              <w:rPr>
                <w:rFonts w:ascii="Arial" w:cs="Arial" w:eastAsia="Arial" w:hAnsi="Arial"/>
                <w:sz w:val="11"/>
                <w:szCs w:val="11"/>
                <w:color w:val="auto"/>
              </w:rPr>
              <w:t>22.59</w:t>
            </w:r>
          </w:p>
        </w:tc>
      </w:tr>
      <w:tr>
        <w:trPr>
          <w:trHeight w:val="180"/>
        </w:trPr>
        <w:tc>
          <w:tcPr>
            <w:tcW w:w="7680" w:type="dxa"/>
            <w:vAlign w:val="bottom"/>
            <w:gridSpan w:val="2"/>
            <w:shd w:val="clear" w:color="auto" w:fill="CCEEFF"/>
          </w:tcPr>
          <w:p>
            <w:pPr>
              <w:ind w:left="20"/>
              <w:spacing w:after="0"/>
              <w:rPr>
                <w:sz w:val="20"/>
                <w:szCs w:val="20"/>
                <w:color w:val="auto"/>
              </w:rPr>
            </w:pPr>
            <w:r>
              <w:rPr>
                <w:rFonts w:ascii="Arial" w:cs="Arial" w:eastAsia="Arial" w:hAnsi="Arial"/>
                <w:sz w:val="11"/>
                <w:szCs w:val="11"/>
                <w:color w:val="auto"/>
              </w:rPr>
              <w:t xml:space="preserve">Tangible net asset value per common share as of period end </w:t>
            </w:r>
            <w:r>
              <w:rPr>
                <w:rFonts w:ascii="Arial" w:cs="Arial" w:eastAsia="Arial" w:hAnsi="Arial"/>
                <w:sz w:val="14"/>
                <w:szCs w:val="14"/>
                <w:color w:val="auto"/>
                <w:vertAlign w:val="superscript"/>
              </w:rPr>
              <w:t>2</w:t>
            </w: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21.23</w:t>
            </w:r>
          </w:p>
        </w:tc>
        <w:tc>
          <w:tcPr>
            <w:tcW w:w="8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06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N/A</w:t>
            </w:r>
          </w:p>
        </w:tc>
      </w:tr>
    </w:tbl>
    <w:p>
      <w:pPr>
        <w:spacing w:after="0" w:line="15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36</w:t>
      </w:r>
    </w:p>
    <w:p>
      <w:pPr>
        <w:sectPr>
          <w:pgSz w:w="11900" w:h="16838" w:orient="portrait"/>
          <w:cols w:equalWidth="0" w:num="1">
            <w:col w:w="11480"/>
          </w:cols>
          <w:pgMar w:left="220" w:top="437" w:right="199" w:bottom="1440" w:gutter="0" w:footer="0" w:header="0"/>
        </w:sectPr>
      </w:pPr>
    </w:p>
    <w:bookmarkStart w:id="37" w:name="page38"/>
    <w:bookmarkEnd w:id="37"/>
    <w:tbl>
      <w:tblPr>
        <w:tblLayout w:type="fixed"/>
        <w:tblInd w:w="0" w:type="dxa"/>
        <w:tblCellMar>
          <w:top w:w="0" w:type="dxa"/>
          <w:left w:w="0" w:type="dxa"/>
          <w:bottom w:w="0" w:type="dxa"/>
          <w:right w:w="0" w:type="dxa"/>
        </w:tblCellMar>
      </w:tblPr>
      <w:tr>
        <w:trPr>
          <w:trHeight w:val="128"/>
        </w:trPr>
        <w:tc>
          <w:tcPr>
            <w:tcW w:w="67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880" w:type="dxa"/>
            <w:vAlign w:val="bottom"/>
            <w:gridSpan w:val="5"/>
          </w:tcPr>
          <w:p>
            <w:pPr>
              <w:ind w:left="80"/>
              <w:spacing w:after="0"/>
              <w:rPr>
                <w:sz w:val="20"/>
                <w:szCs w:val="20"/>
                <w:color w:val="auto"/>
              </w:rPr>
            </w:pPr>
            <w:r>
              <w:rPr>
                <w:rFonts w:ascii="Arial" w:cs="Arial" w:eastAsia="Arial" w:hAnsi="Arial"/>
                <w:sz w:val="10"/>
                <w:szCs w:val="10"/>
                <w:b w:val="1"/>
                <w:bCs w:val="1"/>
                <w:color w:val="auto"/>
              </w:rPr>
              <w:t>Three Months Ended September 30,</w:t>
            </w:r>
          </w:p>
        </w:tc>
        <w:tc>
          <w:tcPr>
            <w:tcW w:w="140" w:type="dxa"/>
            <w:vAlign w:val="bottom"/>
          </w:tcPr>
          <w:p>
            <w:pPr>
              <w:spacing w:after="0"/>
              <w:rPr>
                <w:sz w:val="11"/>
                <w:szCs w:val="11"/>
                <w:color w:val="auto"/>
              </w:rPr>
            </w:pPr>
          </w:p>
        </w:tc>
        <w:tc>
          <w:tcPr>
            <w:tcW w:w="1760" w:type="dxa"/>
            <w:vAlign w:val="bottom"/>
            <w:gridSpan w:val="4"/>
          </w:tcPr>
          <w:p>
            <w:pPr>
              <w:jc w:val="right"/>
              <w:ind w:right="186"/>
              <w:spacing w:after="0"/>
              <w:rPr>
                <w:sz w:val="20"/>
                <w:szCs w:val="20"/>
                <w:color w:val="auto"/>
              </w:rPr>
            </w:pPr>
            <w:r>
              <w:rPr>
                <w:rFonts w:ascii="Arial" w:cs="Arial" w:eastAsia="Arial" w:hAnsi="Arial"/>
                <w:sz w:val="10"/>
                <w:szCs w:val="10"/>
                <w:b w:val="1"/>
                <w:bCs w:val="1"/>
                <w:color w:val="auto"/>
                <w:w w:val="91"/>
              </w:rPr>
              <w:t>Nine Months Ended September 30,</w:t>
            </w:r>
          </w:p>
        </w:tc>
      </w:tr>
      <w:tr>
        <w:trPr>
          <w:trHeight w:val="169"/>
        </w:trPr>
        <w:tc>
          <w:tcPr>
            <w:tcW w:w="6780" w:type="dxa"/>
            <w:vAlign w:val="bottom"/>
            <w:tcBorders>
              <w:bottom w:val="single" w:sz="8" w:color="auto"/>
            </w:tcBorders>
          </w:tcPr>
          <w:p>
            <w:pPr>
              <w:spacing w:after="0"/>
              <w:rPr>
                <w:sz w:val="20"/>
                <w:szCs w:val="20"/>
                <w:color w:val="auto"/>
              </w:rPr>
            </w:pPr>
            <w:r>
              <w:rPr>
                <w:rFonts w:ascii="Arial" w:cs="Arial" w:eastAsia="Arial" w:hAnsi="Arial"/>
                <w:sz w:val="10"/>
                <w:szCs w:val="10"/>
                <w:b w:val="1"/>
                <w:bCs w:val="1"/>
                <w:color w:val="auto"/>
              </w:rPr>
              <w:t>Statement of Comprehensive Income Data (unaudited)</w:t>
            </w:r>
          </w:p>
        </w:tc>
        <w:tc>
          <w:tcPr>
            <w:tcW w:w="100" w:type="dxa"/>
            <w:vAlign w:val="bottom"/>
            <w:tcBorders>
              <w:bottom w:val="single" w:sz="8" w:color="CCEEFF"/>
            </w:tcBorders>
          </w:tcPr>
          <w:p>
            <w:pPr>
              <w:spacing w:after="0"/>
              <w:rPr>
                <w:sz w:val="14"/>
                <w:szCs w:val="14"/>
                <w:color w:val="auto"/>
              </w:rPr>
            </w:pPr>
          </w:p>
        </w:tc>
        <w:tc>
          <w:tcPr>
            <w:tcW w:w="140" w:type="dxa"/>
            <w:vAlign w:val="bottom"/>
            <w:tcBorders>
              <w:top w:val="single" w:sz="8" w:color="auto"/>
              <w:bottom w:val="single" w:sz="8" w:color="auto"/>
            </w:tcBorders>
          </w:tcPr>
          <w:p>
            <w:pPr>
              <w:spacing w:after="0"/>
              <w:rPr>
                <w:sz w:val="14"/>
                <w:szCs w:val="14"/>
                <w:color w:val="auto"/>
              </w:rPr>
            </w:pPr>
          </w:p>
        </w:tc>
        <w:tc>
          <w:tcPr>
            <w:tcW w:w="760" w:type="dxa"/>
            <w:vAlign w:val="bottom"/>
            <w:tcBorders>
              <w:top w:val="single" w:sz="8" w:color="auto"/>
              <w:bottom w:val="single" w:sz="8" w:color="auto"/>
            </w:tcBorders>
          </w:tcPr>
          <w:p>
            <w:pPr>
              <w:jc w:val="right"/>
              <w:ind w:right="307"/>
              <w:spacing w:after="0"/>
              <w:rPr>
                <w:sz w:val="20"/>
                <w:szCs w:val="20"/>
                <w:color w:val="auto"/>
              </w:rPr>
            </w:pPr>
            <w:r>
              <w:rPr>
                <w:rFonts w:ascii="Arial" w:cs="Arial" w:eastAsia="Arial" w:hAnsi="Arial"/>
                <w:sz w:val="10"/>
                <w:szCs w:val="10"/>
                <w:b w:val="1"/>
                <w:bCs w:val="1"/>
                <w:color w:val="auto"/>
              </w:rPr>
              <w:t>2016</w:t>
            </w:r>
          </w:p>
        </w:tc>
        <w:tc>
          <w:tcPr>
            <w:tcW w:w="100" w:type="dxa"/>
            <w:vAlign w:val="bottom"/>
            <w:tcBorders>
              <w:top w:val="single" w:sz="8" w:color="auto"/>
              <w:bottom w:val="single" w:sz="8" w:color="CCEEFF"/>
            </w:tcBorders>
          </w:tcPr>
          <w:p>
            <w:pPr>
              <w:spacing w:after="0"/>
              <w:rPr>
                <w:sz w:val="14"/>
                <w:szCs w:val="14"/>
                <w:color w:val="auto"/>
              </w:rPr>
            </w:pPr>
          </w:p>
        </w:tc>
        <w:tc>
          <w:tcPr>
            <w:tcW w:w="220" w:type="dxa"/>
            <w:vAlign w:val="bottom"/>
            <w:tcBorders>
              <w:top w:val="single" w:sz="8" w:color="auto"/>
              <w:bottom w:val="single" w:sz="8" w:color="auto"/>
            </w:tcBorders>
          </w:tcPr>
          <w:p>
            <w:pPr>
              <w:spacing w:after="0"/>
              <w:rPr>
                <w:sz w:val="14"/>
                <w:szCs w:val="14"/>
                <w:color w:val="auto"/>
              </w:rPr>
            </w:pPr>
          </w:p>
        </w:tc>
        <w:tc>
          <w:tcPr>
            <w:tcW w:w="680" w:type="dxa"/>
            <w:vAlign w:val="bottom"/>
            <w:tcBorders>
              <w:top w:val="single" w:sz="8" w:color="auto"/>
              <w:bottom w:val="single" w:sz="8" w:color="auto"/>
            </w:tcBorders>
          </w:tcPr>
          <w:p>
            <w:pPr>
              <w:jc w:val="right"/>
              <w:ind w:right="306"/>
              <w:spacing w:after="0"/>
              <w:rPr>
                <w:sz w:val="20"/>
                <w:szCs w:val="20"/>
                <w:color w:val="auto"/>
              </w:rPr>
            </w:pPr>
            <w:r>
              <w:rPr>
                <w:rFonts w:ascii="Arial" w:cs="Arial" w:eastAsia="Arial" w:hAnsi="Arial"/>
                <w:sz w:val="10"/>
                <w:szCs w:val="10"/>
                <w:b w:val="1"/>
                <w:bCs w:val="1"/>
                <w:color w:val="auto"/>
              </w:rPr>
              <w:t>2015</w:t>
            </w:r>
          </w:p>
        </w:tc>
        <w:tc>
          <w:tcPr>
            <w:tcW w:w="120" w:type="dxa"/>
            <w:vAlign w:val="bottom"/>
            <w:tcBorders>
              <w:bottom w:val="single" w:sz="8" w:color="CCEEFF"/>
            </w:tcBorders>
          </w:tcPr>
          <w:p>
            <w:pPr>
              <w:spacing w:after="0"/>
              <w:rPr>
                <w:sz w:val="14"/>
                <w:szCs w:val="14"/>
                <w:color w:val="auto"/>
              </w:rPr>
            </w:pPr>
          </w:p>
        </w:tc>
        <w:tc>
          <w:tcPr>
            <w:tcW w:w="140" w:type="dxa"/>
            <w:vAlign w:val="bottom"/>
            <w:tcBorders>
              <w:top w:val="single" w:sz="8" w:color="auto"/>
              <w:bottom w:val="single" w:sz="8" w:color="auto"/>
            </w:tcBorders>
          </w:tcPr>
          <w:p>
            <w:pPr>
              <w:spacing w:after="0"/>
              <w:rPr>
                <w:sz w:val="14"/>
                <w:szCs w:val="14"/>
                <w:color w:val="auto"/>
              </w:rPr>
            </w:pPr>
          </w:p>
        </w:tc>
        <w:tc>
          <w:tcPr>
            <w:tcW w:w="760" w:type="dxa"/>
            <w:vAlign w:val="bottom"/>
            <w:tcBorders>
              <w:top w:val="single" w:sz="8" w:color="auto"/>
              <w:bottom w:val="single" w:sz="8" w:color="auto"/>
            </w:tcBorders>
          </w:tcPr>
          <w:p>
            <w:pPr>
              <w:jc w:val="right"/>
              <w:ind w:right="307"/>
              <w:spacing w:after="0"/>
              <w:rPr>
                <w:sz w:val="20"/>
                <w:szCs w:val="20"/>
                <w:color w:val="auto"/>
              </w:rPr>
            </w:pPr>
            <w:r>
              <w:rPr>
                <w:rFonts w:ascii="Arial" w:cs="Arial" w:eastAsia="Arial" w:hAnsi="Arial"/>
                <w:sz w:val="10"/>
                <w:szCs w:val="10"/>
                <w:b w:val="1"/>
                <w:bCs w:val="1"/>
                <w:color w:val="auto"/>
              </w:rPr>
              <w:t>2016</w:t>
            </w:r>
          </w:p>
        </w:tc>
        <w:tc>
          <w:tcPr>
            <w:tcW w:w="100" w:type="dxa"/>
            <w:vAlign w:val="bottom"/>
            <w:tcBorders>
              <w:top w:val="single" w:sz="8" w:color="auto"/>
              <w:bottom w:val="single" w:sz="8" w:color="CCEEFF"/>
            </w:tcBorders>
          </w:tcPr>
          <w:p>
            <w:pPr>
              <w:spacing w:after="0"/>
              <w:rPr>
                <w:sz w:val="14"/>
                <w:szCs w:val="14"/>
                <w:color w:val="auto"/>
              </w:rPr>
            </w:pPr>
          </w:p>
        </w:tc>
        <w:tc>
          <w:tcPr>
            <w:tcW w:w="220" w:type="dxa"/>
            <w:vAlign w:val="bottom"/>
            <w:tcBorders>
              <w:top w:val="single" w:sz="8" w:color="auto"/>
              <w:bottom w:val="single" w:sz="8" w:color="auto"/>
            </w:tcBorders>
          </w:tcPr>
          <w:p>
            <w:pPr>
              <w:spacing w:after="0"/>
              <w:rPr>
                <w:sz w:val="14"/>
                <w:szCs w:val="14"/>
                <w:color w:val="auto"/>
              </w:rPr>
            </w:pPr>
          </w:p>
        </w:tc>
        <w:tc>
          <w:tcPr>
            <w:tcW w:w="680" w:type="dxa"/>
            <w:vAlign w:val="bottom"/>
            <w:tcBorders>
              <w:top w:val="single" w:sz="8" w:color="auto"/>
              <w:bottom w:val="single" w:sz="8" w:color="auto"/>
            </w:tcBorders>
          </w:tcPr>
          <w:p>
            <w:pPr>
              <w:jc w:val="right"/>
              <w:ind w:right="306"/>
              <w:spacing w:after="0"/>
              <w:rPr>
                <w:sz w:val="20"/>
                <w:szCs w:val="20"/>
                <w:color w:val="auto"/>
              </w:rPr>
            </w:pPr>
            <w:r>
              <w:rPr>
                <w:rFonts w:ascii="Arial" w:cs="Arial" w:eastAsia="Arial" w:hAnsi="Arial"/>
                <w:sz w:val="10"/>
                <w:szCs w:val="10"/>
                <w:b w:val="1"/>
                <w:bCs w:val="1"/>
                <w:color w:val="auto"/>
              </w:rPr>
              <w:t>2015</w:t>
            </w:r>
          </w:p>
        </w:tc>
      </w:tr>
      <w:tr>
        <w:trPr>
          <w:trHeight w:val="164"/>
        </w:trPr>
        <w:tc>
          <w:tcPr>
            <w:tcW w:w="68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Interest income</w:t>
            </w:r>
          </w:p>
        </w:tc>
        <w:tc>
          <w:tcPr>
            <w:tcW w:w="14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760" w:type="dxa"/>
            <w:vAlign w:val="bottom"/>
            <w:shd w:val="clear" w:color="auto" w:fill="CCEEFF"/>
          </w:tcPr>
          <w:p>
            <w:pPr>
              <w:jc w:val="right"/>
              <w:ind w:right="107"/>
              <w:spacing w:after="0"/>
              <w:rPr>
                <w:sz w:val="20"/>
                <w:szCs w:val="20"/>
                <w:color w:val="auto"/>
              </w:rPr>
            </w:pPr>
            <w:r>
              <w:rPr>
                <w:rFonts w:ascii="Arial" w:cs="Arial" w:eastAsia="Arial" w:hAnsi="Arial"/>
                <w:sz w:val="11"/>
                <w:szCs w:val="11"/>
                <w:color w:val="auto"/>
              </w:rPr>
              <w:t>315</w:t>
            </w:r>
          </w:p>
        </w:tc>
        <w:tc>
          <w:tcPr>
            <w:tcW w:w="100" w:type="dxa"/>
            <w:vAlign w:val="bottom"/>
            <w:shd w:val="clear" w:color="auto" w:fill="CCEEFF"/>
          </w:tcPr>
          <w:p>
            <w:pPr>
              <w:spacing w:after="0"/>
              <w:rPr>
                <w:sz w:val="14"/>
                <w:szCs w:val="14"/>
                <w:color w:val="auto"/>
              </w:rPr>
            </w:pPr>
          </w:p>
        </w:tc>
        <w:tc>
          <w:tcPr>
            <w:tcW w:w="22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w w:val="97"/>
              </w:rPr>
              <w:t>$</w:t>
            </w:r>
          </w:p>
        </w:tc>
        <w:tc>
          <w:tcPr>
            <w:tcW w:w="68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rPr>
              <w:t>295</w:t>
            </w: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ind w:right="107"/>
              <w:spacing w:after="0"/>
              <w:rPr>
                <w:sz w:val="20"/>
                <w:szCs w:val="20"/>
                <w:color w:val="auto"/>
              </w:rPr>
            </w:pPr>
            <w:r>
              <w:rPr>
                <w:rFonts w:ascii="Arial" w:cs="Arial" w:eastAsia="Arial" w:hAnsi="Arial"/>
                <w:sz w:val="11"/>
                <w:szCs w:val="11"/>
                <w:color w:val="auto"/>
              </w:rPr>
              <w:t>928</w:t>
            </w:r>
          </w:p>
        </w:tc>
        <w:tc>
          <w:tcPr>
            <w:tcW w:w="100" w:type="dxa"/>
            <w:vAlign w:val="bottom"/>
            <w:shd w:val="clear" w:color="auto" w:fill="CCEEFF"/>
          </w:tcPr>
          <w:p>
            <w:pPr>
              <w:spacing w:after="0"/>
              <w:rPr>
                <w:sz w:val="14"/>
                <w:szCs w:val="14"/>
                <w:color w:val="auto"/>
              </w:rPr>
            </w:pPr>
          </w:p>
        </w:tc>
        <w:tc>
          <w:tcPr>
            <w:tcW w:w="220" w:type="dxa"/>
            <w:vAlign w:val="bottom"/>
            <w:shd w:val="clear" w:color="auto" w:fill="CCEEFF"/>
          </w:tcPr>
          <w:p>
            <w:pPr>
              <w:jc w:val="right"/>
              <w:ind w:right="111"/>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rPr>
              <w:t>1,092</w:t>
            </w:r>
          </w:p>
        </w:tc>
      </w:tr>
      <w:tr>
        <w:trPr>
          <w:trHeight w:val="176"/>
        </w:trPr>
        <w:tc>
          <w:tcPr>
            <w:tcW w:w="688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 xml:space="preserve">Interest expense </w:t>
            </w:r>
            <w:r>
              <w:rPr>
                <w:rFonts w:ascii="Arial" w:cs="Arial" w:eastAsia="Arial" w:hAnsi="Arial"/>
                <w:sz w:val="5"/>
                <w:szCs w:val="5"/>
                <w:color w:val="auto"/>
              </w:rPr>
              <w:t>3</w:t>
            </w:r>
          </w:p>
        </w:tc>
        <w:tc>
          <w:tcPr>
            <w:tcW w:w="14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96</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86"/>
              <w:spacing w:after="0"/>
              <w:rPr>
                <w:sz w:val="20"/>
                <w:szCs w:val="20"/>
                <w:color w:val="auto"/>
              </w:rPr>
            </w:pPr>
            <w:r>
              <w:rPr>
                <w:rFonts w:ascii="Arial" w:cs="Arial" w:eastAsia="Arial" w:hAnsi="Arial"/>
                <w:sz w:val="11"/>
                <w:szCs w:val="11"/>
                <w:color w:val="auto"/>
              </w:rPr>
              <w:t>77</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296</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86"/>
              <w:spacing w:after="0"/>
              <w:rPr>
                <w:sz w:val="20"/>
                <w:szCs w:val="20"/>
                <w:color w:val="auto"/>
              </w:rPr>
            </w:pPr>
            <w:r>
              <w:rPr>
                <w:rFonts w:ascii="Arial" w:cs="Arial" w:eastAsia="Arial" w:hAnsi="Arial"/>
                <w:sz w:val="11"/>
                <w:szCs w:val="11"/>
                <w:color w:val="auto"/>
              </w:rPr>
              <w:t>244</w:t>
            </w:r>
          </w:p>
        </w:tc>
      </w:tr>
      <w:tr>
        <w:trPr>
          <w:trHeight w:val="160"/>
        </w:trPr>
        <w:tc>
          <w:tcPr>
            <w:tcW w:w="68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Net interest income</w:t>
            </w:r>
          </w:p>
        </w:tc>
        <w:tc>
          <w:tcPr>
            <w:tcW w:w="140" w:type="dxa"/>
            <w:vAlign w:val="bottom"/>
            <w:tcBorders>
              <w:bottom w:val="single" w:sz="8" w:color="auto"/>
            </w:tcBorders>
            <w:shd w:val="clear" w:color="auto" w:fill="CCEEFF"/>
          </w:tcPr>
          <w:p>
            <w:pPr>
              <w:spacing w:after="0"/>
              <w:rPr>
                <w:sz w:val="13"/>
                <w:szCs w:val="13"/>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219</w:t>
            </w:r>
          </w:p>
        </w:tc>
        <w:tc>
          <w:tcPr>
            <w:tcW w:w="10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218</w:t>
            </w:r>
          </w:p>
        </w:tc>
        <w:tc>
          <w:tcPr>
            <w:tcW w:w="120" w:type="dxa"/>
            <w:vAlign w:val="bottom"/>
            <w:shd w:val="clear" w:color="auto" w:fill="CCEEFF"/>
          </w:tcPr>
          <w:p>
            <w:pPr>
              <w:spacing w:after="0"/>
              <w:rPr>
                <w:sz w:val="13"/>
                <w:szCs w:val="13"/>
                <w:color w:val="auto"/>
              </w:rPr>
            </w:pPr>
          </w:p>
        </w:tc>
        <w:tc>
          <w:tcPr>
            <w:tcW w:w="140" w:type="dxa"/>
            <w:vAlign w:val="bottom"/>
            <w:tcBorders>
              <w:bottom w:val="single" w:sz="8" w:color="auto"/>
            </w:tcBorders>
            <w:shd w:val="clear" w:color="auto" w:fill="CCEEFF"/>
          </w:tcPr>
          <w:p>
            <w:pPr>
              <w:spacing w:after="0"/>
              <w:rPr>
                <w:sz w:val="13"/>
                <w:szCs w:val="13"/>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632</w:t>
            </w:r>
          </w:p>
        </w:tc>
        <w:tc>
          <w:tcPr>
            <w:tcW w:w="10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848</w:t>
            </w:r>
          </w:p>
        </w:tc>
      </w:tr>
      <w:tr>
        <w:trPr>
          <w:trHeight w:val="160"/>
        </w:trPr>
        <w:tc>
          <w:tcPr>
            <w:tcW w:w="6880" w:type="dxa"/>
            <w:vAlign w:val="bottom"/>
            <w:gridSpan w:val="2"/>
          </w:tcPr>
          <w:p>
            <w:pPr>
              <w:spacing w:after="0"/>
              <w:rPr>
                <w:sz w:val="20"/>
                <w:szCs w:val="20"/>
                <w:color w:val="auto"/>
              </w:rPr>
            </w:pPr>
            <w:r>
              <w:rPr>
                <w:rFonts w:ascii="Arial" w:cs="Arial" w:eastAsia="Arial" w:hAnsi="Arial"/>
                <w:sz w:val="10"/>
                <w:szCs w:val="10"/>
                <w:color w:val="auto"/>
              </w:rPr>
              <w:t xml:space="preserve">Other gain (loss), net </w:t>
            </w:r>
            <w:r>
              <w:rPr>
                <w:rFonts w:ascii="Arial" w:cs="Arial" w:eastAsia="Arial" w:hAnsi="Arial"/>
                <w:sz w:val="5"/>
                <w:szCs w:val="5"/>
                <w:color w:val="auto"/>
              </w:rPr>
              <w:t>3</w:t>
            </w:r>
          </w:p>
        </w:tc>
        <w:tc>
          <w:tcPr>
            <w:tcW w:w="140" w:type="dxa"/>
            <w:vAlign w:val="bottom"/>
          </w:tcPr>
          <w:p>
            <w:pPr>
              <w:spacing w:after="0"/>
              <w:rPr>
                <w:sz w:val="13"/>
                <w:szCs w:val="13"/>
                <w:color w:val="auto"/>
              </w:rPr>
            </w:pPr>
          </w:p>
        </w:tc>
        <w:tc>
          <w:tcPr>
            <w:tcW w:w="760" w:type="dxa"/>
            <w:vAlign w:val="bottom"/>
          </w:tcPr>
          <w:p>
            <w:pPr>
              <w:jc w:val="right"/>
              <w:ind w:right="107"/>
              <w:spacing w:after="0"/>
              <w:rPr>
                <w:sz w:val="20"/>
                <w:szCs w:val="20"/>
                <w:color w:val="auto"/>
              </w:rPr>
            </w:pPr>
            <w:r>
              <w:rPr>
                <w:rFonts w:ascii="Arial" w:cs="Arial" w:eastAsia="Arial" w:hAnsi="Arial"/>
                <w:sz w:val="11"/>
                <w:szCs w:val="11"/>
                <w:color w:val="auto"/>
              </w:rPr>
              <w:t>307</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(817)</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tcPr>
          <w:p>
            <w:pPr>
              <w:jc w:val="right"/>
              <w:ind w:right="67"/>
              <w:spacing w:after="0"/>
              <w:rPr>
                <w:sz w:val="20"/>
                <w:szCs w:val="20"/>
                <w:color w:val="auto"/>
              </w:rPr>
            </w:pPr>
            <w:r>
              <w:rPr>
                <w:rFonts w:ascii="Arial" w:cs="Arial" w:eastAsia="Arial" w:hAnsi="Arial"/>
                <w:sz w:val="11"/>
                <w:szCs w:val="11"/>
                <w:color w:val="auto"/>
              </w:rPr>
              <w:t>(940)</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(1,115)</w:t>
            </w:r>
          </w:p>
        </w:tc>
      </w:tr>
      <w:tr>
        <w:trPr>
          <w:trHeight w:val="180"/>
        </w:trPr>
        <w:tc>
          <w:tcPr>
            <w:tcW w:w="68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Operating Expenses</w:t>
            </w:r>
          </w:p>
        </w:tc>
        <w:tc>
          <w:tcPr>
            <w:tcW w:w="14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15</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34</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88</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106</w:t>
            </w:r>
          </w:p>
        </w:tc>
      </w:tr>
      <w:tr>
        <w:trPr>
          <w:trHeight w:val="160"/>
        </w:trPr>
        <w:tc>
          <w:tcPr>
            <w:tcW w:w="6880" w:type="dxa"/>
            <w:vAlign w:val="bottom"/>
            <w:gridSpan w:val="2"/>
          </w:tcPr>
          <w:p>
            <w:pPr>
              <w:spacing w:after="0"/>
              <w:rPr>
                <w:sz w:val="20"/>
                <w:szCs w:val="20"/>
                <w:color w:val="auto"/>
              </w:rPr>
            </w:pPr>
            <w:r>
              <w:rPr>
                <w:rFonts w:ascii="Arial" w:cs="Arial" w:eastAsia="Arial" w:hAnsi="Arial"/>
                <w:sz w:val="10"/>
                <w:szCs w:val="10"/>
                <w:color w:val="auto"/>
              </w:rPr>
              <w:t>Net income (loss)</w:t>
            </w:r>
          </w:p>
        </w:tc>
        <w:tc>
          <w:tcPr>
            <w:tcW w:w="140" w:type="dxa"/>
            <w:vAlign w:val="bottom"/>
          </w:tcPr>
          <w:p>
            <w:pPr>
              <w:spacing w:after="0"/>
              <w:rPr>
                <w:sz w:val="13"/>
                <w:szCs w:val="13"/>
                <w:color w:val="auto"/>
              </w:rPr>
            </w:pPr>
          </w:p>
        </w:tc>
        <w:tc>
          <w:tcPr>
            <w:tcW w:w="760" w:type="dxa"/>
            <w:vAlign w:val="bottom"/>
          </w:tcPr>
          <w:p>
            <w:pPr>
              <w:jc w:val="right"/>
              <w:ind w:right="107"/>
              <w:spacing w:after="0"/>
              <w:rPr>
                <w:sz w:val="20"/>
                <w:szCs w:val="20"/>
                <w:color w:val="auto"/>
              </w:rPr>
            </w:pPr>
            <w:r>
              <w:rPr>
                <w:rFonts w:ascii="Arial" w:cs="Arial" w:eastAsia="Arial" w:hAnsi="Arial"/>
                <w:sz w:val="11"/>
                <w:szCs w:val="11"/>
                <w:color w:val="auto"/>
              </w:rPr>
              <w:t>511</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(633)</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tcPr>
          <w:p>
            <w:pPr>
              <w:jc w:val="right"/>
              <w:ind w:right="67"/>
              <w:spacing w:after="0"/>
              <w:rPr>
                <w:sz w:val="20"/>
                <w:szCs w:val="20"/>
                <w:color w:val="auto"/>
              </w:rPr>
            </w:pPr>
            <w:r>
              <w:rPr>
                <w:rFonts w:ascii="Arial" w:cs="Arial" w:eastAsia="Arial" w:hAnsi="Arial"/>
                <w:sz w:val="11"/>
                <w:szCs w:val="11"/>
                <w:color w:val="auto"/>
              </w:rPr>
              <w:t>(396)</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(373)</w:t>
            </w:r>
          </w:p>
        </w:tc>
      </w:tr>
      <w:tr>
        <w:trPr>
          <w:trHeight w:val="180"/>
        </w:trPr>
        <w:tc>
          <w:tcPr>
            <w:tcW w:w="68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Dividend on preferred stock</w:t>
            </w:r>
          </w:p>
        </w:tc>
        <w:tc>
          <w:tcPr>
            <w:tcW w:w="14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7</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7</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21</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21</w:t>
            </w:r>
          </w:p>
        </w:tc>
      </w:tr>
      <w:tr>
        <w:trPr>
          <w:trHeight w:val="171"/>
        </w:trPr>
        <w:tc>
          <w:tcPr>
            <w:tcW w:w="688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Net income (loss) available (attributable) to common stockholders</w:t>
            </w:r>
          </w:p>
        </w:tc>
        <w:tc>
          <w:tcPr>
            <w:tcW w:w="140" w:type="dxa"/>
            <w:vAlign w:val="bottom"/>
            <w:tcBorders>
              <w:bottom w:val="single" w:sz="8" w:color="auto"/>
            </w:tcBorders>
          </w:tcPr>
          <w:p>
            <w:pPr>
              <w:jc w:val="right"/>
              <w:ind w:right="6"/>
              <w:spacing w:after="0"/>
              <w:rPr>
                <w:sz w:val="20"/>
                <w:szCs w:val="20"/>
                <w:color w:val="auto"/>
              </w:rPr>
            </w:pPr>
            <w:r>
              <w:rPr>
                <w:rFonts w:ascii="Arial" w:cs="Arial" w:eastAsia="Arial" w:hAnsi="Arial"/>
                <w:sz w:val="11"/>
                <w:szCs w:val="11"/>
                <w:color w:val="auto"/>
                <w:w w:val="97"/>
              </w:rPr>
              <w:t>$</w:t>
            </w: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504</w:t>
            </w:r>
          </w:p>
        </w:tc>
        <w:tc>
          <w:tcPr>
            <w:tcW w:w="10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jc w:val="right"/>
              <w:ind w:right="86"/>
              <w:spacing w:after="0"/>
              <w:rPr>
                <w:sz w:val="20"/>
                <w:szCs w:val="20"/>
                <w:color w:val="auto"/>
              </w:rPr>
            </w:pPr>
            <w:r>
              <w:rPr>
                <w:rFonts w:ascii="Arial" w:cs="Arial" w:eastAsia="Arial" w:hAnsi="Arial"/>
                <w:sz w:val="11"/>
                <w:szCs w:val="11"/>
                <w:color w:val="auto"/>
                <w:w w:val="97"/>
              </w:rPr>
              <w:t>$</w:t>
            </w:r>
          </w:p>
        </w:tc>
        <w:tc>
          <w:tcPr>
            <w:tcW w:w="680" w:type="dxa"/>
            <w:vAlign w:val="bottom"/>
            <w:tcBorders>
              <w:bottom w:val="single" w:sz="8" w:color="auto"/>
            </w:tcBorders>
          </w:tcPr>
          <w:p>
            <w:pPr>
              <w:jc w:val="right"/>
              <w:ind w:right="46"/>
              <w:spacing w:after="0"/>
              <w:rPr>
                <w:sz w:val="20"/>
                <w:szCs w:val="20"/>
                <w:color w:val="auto"/>
              </w:rPr>
            </w:pPr>
            <w:r>
              <w:rPr>
                <w:rFonts w:ascii="Arial" w:cs="Arial" w:eastAsia="Arial" w:hAnsi="Arial"/>
                <w:sz w:val="11"/>
                <w:szCs w:val="11"/>
                <w:color w:val="auto"/>
              </w:rPr>
              <w:t>(640)</w:t>
            </w:r>
          </w:p>
        </w:tc>
        <w:tc>
          <w:tcPr>
            <w:tcW w:w="12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tcPr>
          <w:p>
            <w:pPr>
              <w:jc w:val="right"/>
              <w:ind w:right="67"/>
              <w:spacing w:after="0"/>
              <w:rPr>
                <w:sz w:val="20"/>
                <w:szCs w:val="20"/>
                <w:color w:val="auto"/>
              </w:rPr>
            </w:pPr>
            <w:r>
              <w:rPr>
                <w:rFonts w:ascii="Arial" w:cs="Arial" w:eastAsia="Arial" w:hAnsi="Arial"/>
                <w:sz w:val="11"/>
                <w:szCs w:val="11"/>
                <w:color w:val="auto"/>
              </w:rPr>
              <w:t>(417)</w:t>
            </w:r>
          </w:p>
        </w:tc>
        <w:tc>
          <w:tcPr>
            <w:tcW w:w="10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jc w:val="right"/>
              <w:ind w:right="1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ind w:right="46"/>
              <w:spacing w:after="0"/>
              <w:rPr>
                <w:sz w:val="20"/>
                <w:szCs w:val="20"/>
                <w:color w:val="auto"/>
              </w:rPr>
            </w:pPr>
            <w:r>
              <w:rPr>
                <w:rFonts w:ascii="Arial" w:cs="Arial" w:eastAsia="Arial" w:hAnsi="Arial"/>
                <w:sz w:val="11"/>
                <w:szCs w:val="11"/>
                <w:color w:val="auto"/>
              </w:rPr>
              <w:t>(394)</w:t>
            </w:r>
          </w:p>
        </w:tc>
      </w:tr>
      <w:tr>
        <w:trPr>
          <w:trHeight w:val="198"/>
        </w:trPr>
        <w:tc>
          <w:tcPr>
            <w:tcW w:w="67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r>
      <w:tr>
        <w:trPr>
          <w:trHeight w:val="176"/>
        </w:trPr>
        <w:tc>
          <w:tcPr>
            <w:tcW w:w="6880" w:type="dxa"/>
            <w:vAlign w:val="bottom"/>
            <w:gridSpan w:val="2"/>
          </w:tcPr>
          <w:p>
            <w:pPr>
              <w:spacing w:after="0"/>
              <w:rPr>
                <w:sz w:val="20"/>
                <w:szCs w:val="20"/>
                <w:color w:val="auto"/>
              </w:rPr>
            </w:pPr>
            <w:r>
              <w:rPr>
                <w:rFonts w:ascii="Arial" w:cs="Arial" w:eastAsia="Arial" w:hAnsi="Arial"/>
                <w:sz w:val="10"/>
                <w:szCs w:val="10"/>
                <w:color w:val="auto"/>
              </w:rPr>
              <w:t>Net income (loss)</w:t>
            </w:r>
          </w:p>
        </w:tc>
        <w:tc>
          <w:tcPr>
            <w:tcW w:w="140" w:type="dxa"/>
            <w:vAlign w:val="bottom"/>
          </w:tcPr>
          <w:p>
            <w:pPr>
              <w:jc w:val="right"/>
              <w:ind w:right="6"/>
              <w:spacing w:after="0"/>
              <w:rPr>
                <w:sz w:val="20"/>
                <w:szCs w:val="20"/>
                <w:color w:val="auto"/>
              </w:rPr>
            </w:pPr>
            <w:r>
              <w:rPr>
                <w:rFonts w:ascii="Arial" w:cs="Arial" w:eastAsia="Arial" w:hAnsi="Arial"/>
                <w:sz w:val="11"/>
                <w:szCs w:val="11"/>
                <w:color w:val="auto"/>
                <w:w w:val="97"/>
              </w:rPr>
              <w:t>$</w:t>
            </w:r>
          </w:p>
        </w:tc>
        <w:tc>
          <w:tcPr>
            <w:tcW w:w="760" w:type="dxa"/>
            <w:vAlign w:val="bottom"/>
          </w:tcPr>
          <w:p>
            <w:pPr>
              <w:jc w:val="right"/>
              <w:ind w:right="107"/>
              <w:spacing w:after="0"/>
              <w:rPr>
                <w:sz w:val="20"/>
                <w:szCs w:val="20"/>
                <w:color w:val="auto"/>
              </w:rPr>
            </w:pPr>
            <w:r>
              <w:rPr>
                <w:rFonts w:ascii="Arial" w:cs="Arial" w:eastAsia="Arial" w:hAnsi="Arial"/>
                <w:sz w:val="11"/>
                <w:szCs w:val="11"/>
                <w:color w:val="auto"/>
              </w:rPr>
              <w:t>511</w:t>
            </w:r>
          </w:p>
        </w:tc>
        <w:tc>
          <w:tcPr>
            <w:tcW w:w="100" w:type="dxa"/>
            <w:vAlign w:val="bottom"/>
          </w:tcPr>
          <w:p>
            <w:pPr>
              <w:spacing w:after="0"/>
              <w:rPr>
                <w:sz w:val="15"/>
                <w:szCs w:val="15"/>
                <w:color w:val="auto"/>
              </w:rPr>
            </w:pPr>
          </w:p>
        </w:tc>
        <w:tc>
          <w:tcPr>
            <w:tcW w:w="220" w:type="dxa"/>
            <w:vAlign w:val="bottom"/>
          </w:tcPr>
          <w:p>
            <w:pPr>
              <w:jc w:val="right"/>
              <w:ind w:right="86"/>
              <w:spacing w:after="0"/>
              <w:rPr>
                <w:sz w:val="20"/>
                <w:szCs w:val="20"/>
                <w:color w:val="auto"/>
              </w:rPr>
            </w:pPr>
            <w:r>
              <w:rPr>
                <w:rFonts w:ascii="Arial" w:cs="Arial" w:eastAsia="Arial" w:hAnsi="Arial"/>
                <w:sz w:val="11"/>
                <w:szCs w:val="11"/>
                <w:color w:val="auto"/>
                <w:w w:val="97"/>
              </w:rPr>
              <w:t>$</w:t>
            </w: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(633)</w:t>
            </w:r>
          </w:p>
        </w:tc>
        <w:tc>
          <w:tcPr>
            <w:tcW w:w="120" w:type="dxa"/>
            <w:vAlign w:val="bottom"/>
          </w:tcPr>
          <w:p>
            <w:pPr>
              <w:spacing w:after="0"/>
              <w:rPr>
                <w:sz w:val="15"/>
                <w:szCs w:val="15"/>
                <w:color w:val="auto"/>
              </w:rPr>
            </w:pPr>
          </w:p>
        </w:tc>
        <w:tc>
          <w:tcPr>
            <w:tcW w:w="140" w:type="dxa"/>
            <w:vAlign w:val="bottom"/>
          </w:tcPr>
          <w:p>
            <w:pPr>
              <w:jc w:val="right"/>
              <w:ind w:right="31"/>
              <w:spacing w:after="0"/>
              <w:rPr>
                <w:sz w:val="20"/>
                <w:szCs w:val="20"/>
                <w:color w:val="auto"/>
              </w:rPr>
            </w:pPr>
            <w:r>
              <w:rPr>
                <w:rFonts w:ascii="Arial" w:cs="Arial" w:eastAsia="Arial" w:hAnsi="Arial"/>
                <w:sz w:val="10"/>
                <w:szCs w:val="10"/>
                <w:color w:val="auto"/>
                <w:w w:val="71"/>
              </w:rPr>
              <w:t>$</w:t>
            </w:r>
          </w:p>
        </w:tc>
        <w:tc>
          <w:tcPr>
            <w:tcW w:w="760" w:type="dxa"/>
            <w:vAlign w:val="bottom"/>
          </w:tcPr>
          <w:p>
            <w:pPr>
              <w:jc w:val="right"/>
              <w:ind w:right="67"/>
              <w:spacing w:after="0"/>
              <w:rPr>
                <w:sz w:val="20"/>
                <w:szCs w:val="20"/>
                <w:color w:val="auto"/>
              </w:rPr>
            </w:pPr>
            <w:r>
              <w:rPr>
                <w:rFonts w:ascii="Arial" w:cs="Arial" w:eastAsia="Arial" w:hAnsi="Arial"/>
                <w:sz w:val="11"/>
                <w:szCs w:val="11"/>
                <w:color w:val="auto"/>
              </w:rPr>
              <w:t>(396)</w:t>
            </w:r>
          </w:p>
        </w:tc>
        <w:tc>
          <w:tcPr>
            <w:tcW w:w="100" w:type="dxa"/>
            <w:vAlign w:val="bottom"/>
          </w:tcPr>
          <w:p>
            <w:pPr>
              <w:spacing w:after="0"/>
              <w:rPr>
                <w:sz w:val="15"/>
                <w:szCs w:val="15"/>
                <w:color w:val="auto"/>
              </w:rPr>
            </w:pPr>
          </w:p>
        </w:tc>
        <w:tc>
          <w:tcPr>
            <w:tcW w:w="220" w:type="dxa"/>
            <w:vAlign w:val="bottom"/>
          </w:tcPr>
          <w:p>
            <w:pPr>
              <w:jc w:val="right"/>
              <w:ind w:right="111"/>
              <w:spacing w:after="0"/>
              <w:rPr>
                <w:sz w:val="20"/>
                <w:szCs w:val="20"/>
                <w:color w:val="auto"/>
              </w:rPr>
            </w:pPr>
            <w:r>
              <w:rPr>
                <w:rFonts w:ascii="Arial" w:cs="Arial" w:eastAsia="Arial" w:hAnsi="Arial"/>
                <w:sz w:val="10"/>
                <w:szCs w:val="10"/>
                <w:color w:val="auto"/>
                <w:w w:val="71"/>
              </w:rPr>
              <w:t>$</w:t>
            </w: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(373)</w:t>
            </w:r>
          </w:p>
        </w:tc>
      </w:tr>
      <w:tr>
        <w:trPr>
          <w:trHeight w:val="180"/>
        </w:trPr>
        <w:tc>
          <w:tcPr>
            <w:tcW w:w="68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 xml:space="preserve">Other comprehensive income (loss) </w:t>
            </w:r>
            <w:r>
              <w:rPr>
                <w:rFonts w:ascii="Arial" w:cs="Arial" w:eastAsia="Arial" w:hAnsi="Arial"/>
                <w:sz w:val="5"/>
                <w:szCs w:val="5"/>
                <w:color w:val="auto"/>
              </w:rPr>
              <w:t>3</w:t>
            </w:r>
          </w:p>
        </w:tc>
        <w:tc>
          <w:tcPr>
            <w:tcW w:w="14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(90)</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491</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1,076</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65</w:t>
            </w:r>
          </w:p>
        </w:tc>
      </w:tr>
      <w:tr>
        <w:trPr>
          <w:trHeight w:val="160"/>
        </w:trPr>
        <w:tc>
          <w:tcPr>
            <w:tcW w:w="6880" w:type="dxa"/>
            <w:vAlign w:val="bottom"/>
            <w:gridSpan w:val="2"/>
          </w:tcPr>
          <w:p>
            <w:pPr>
              <w:spacing w:after="0"/>
              <w:rPr>
                <w:sz w:val="20"/>
                <w:szCs w:val="20"/>
                <w:color w:val="auto"/>
              </w:rPr>
            </w:pPr>
            <w:r>
              <w:rPr>
                <w:rFonts w:ascii="Arial" w:cs="Arial" w:eastAsia="Arial" w:hAnsi="Arial"/>
                <w:sz w:val="10"/>
                <w:szCs w:val="10"/>
                <w:color w:val="auto"/>
              </w:rPr>
              <w:t>Comprehensive income (loss)</w:t>
            </w:r>
          </w:p>
        </w:tc>
        <w:tc>
          <w:tcPr>
            <w:tcW w:w="140" w:type="dxa"/>
            <w:vAlign w:val="bottom"/>
          </w:tcPr>
          <w:p>
            <w:pPr>
              <w:spacing w:after="0"/>
              <w:rPr>
                <w:sz w:val="13"/>
                <w:szCs w:val="13"/>
                <w:color w:val="auto"/>
              </w:rPr>
            </w:pPr>
          </w:p>
        </w:tc>
        <w:tc>
          <w:tcPr>
            <w:tcW w:w="760" w:type="dxa"/>
            <w:vAlign w:val="bottom"/>
          </w:tcPr>
          <w:p>
            <w:pPr>
              <w:jc w:val="right"/>
              <w:ind w:right="107"/>
              <w:spacing w:after="0"/>
              <w:rPr>
                <w:sz w:val="20"/>
                <w:szCs w:val="20"/>
                <w:color w:val="auto"/>
              </w:rPr>
            </w:pPr>
            <w:r>
              <w:rPr>
                <w:rFonts w:ascii="Arial" w:cs="Arial" w:eastAsia="Arial" w:hAnsi="Arial"/>
                <w:sz w:val="11"/>
                <w:szCs w:val="11"/>
                <w:color w:val="auto"/>
              </w:rPr>
              <w:t>421</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(142)</w:t>
            </w: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tcPr>
          <w:p>
            <w:pPr>
              <w:jc w:val="right"/>
              <w:ind w:right="107"/>
              <w:spacing w:after="0"/>
              <w:rPr>
                <w:sz w:val="20"/>
                <w:szCs w:val="20"/>
                <w:color w:val="auto"/>
              </w:rPr>
            </w:pPr>
            <w:r>
              <w:rPr>
                <w:rFonts w:ascii="Arial" w:cs="Arial" w:eastAsia="Arial" w:hAnsi="Arial"/>
                <w:sz w:val="11"/>
                <w:szCs w:val="11"/>
                <w:color w:val="auto"/>
              </w:rPr>
              <w:t>680</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tcPr>
          <w:p>
            <w:pPr>
              <w:jc w:val="right"/>
              <w:ind w:right="46"/>
              <w:spacing w:after="0"/>
              <w:rPr>
                <w:sz w:val="20"/>
                <w:szCs w:val="20"/>
                <w:color w:val="auto"/>
              </w:rPr>
            </w:pPr>
            <w:r>
              <w:rPr>
                <w:rFonts w:ascii="Arial" w:cs="Arial" w:eastAsia="Arial" w:hAnsi="Arial"/>
                <w:sz w:val="11"/>
                <w:szCs w:val="11"/>
                <w:color w:val="auto"/>
              </w:rPr>
              <w:t>(308)</w:t>
            </w:r>
          </w:p>
        </w:tc>
      </w:tr>
      <w:tr>
        <w:trPr>
          <w:trHeight w:val="180"/>
        </w:trPr>
        <w:tc>
          <w:tcPr>
            <w:tcW w:w="68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Dividend on preferred stock</w:t>
            </w:r>
          </w:p>
        </w:tc>
        <w:tc>
          <w:tcPr>
            <w:tcW w:w="14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7</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7</w:t>
            </w:r>
          </w:p>
        </w:tc>
        <w:tc>
          <w:tcPr>
            <w:tcW w:w="12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21</w:t>
            </w:r>
          </w:p>
        </w:tc>
        <w:tc>
          <w:tcPr>
            <w:tcW w:w="100" w:type="dxa"/>
            <w:vAlign w:val="bottom"/>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21</w:t>
            </w:r>
          </w:p>
        </w:tc>
      </w:tr>
      <w:tr>
        <w:trPr>
          <w:trHeight w:val="171"/>
        </w:trPr>
        <w:tc>
          <w:tcPr>
            <w:tcW w:w="688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Comprehensive income (loss) available (attributable) to common stockholders</w:t>
            </w:r>
          </w:p>
        </w:tc>
        <w:tc>
          <w:tcPr>
            <w:tcW w:w="140" w:type="dxa"/>
            <w:vAlign w:val="bottom"/>
            <w:tcBorders>
              <w:bottom w:val="single" w:sz="8" w:color="auto"/>
            </w:tcBorders>
          </w:tcPr>
          <w:p>
            <w:pPr>
              <w:jc w:val="right"/>
              <w:ind w:right="6"/>
              <w:spacing w:after="0"/>
              <w:rPr>
                <w:sz w:val="20"/>
                <w:szCs w:val="20"/>
                <w:color w:val="auto"/>
              </w:rPr>
            </w:pPr>
            <w:r>
              <w:rPr>
                <w:rFonts w:ascii="Arial" w:cs="Arial" w:eastAsia="Arial" w:hAnsi="Arial"/>
                <w:sz w:val="11"/>
                <w:szCs w:val="11"/>
                <w:color w:val="auto"/>
                <w:w w:val="97"/>
              </w:rPr>
              <w:t>$</w:t>
            </w: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414</w:t>
            </w:r>
          </w:p>
        </w:tc>
        <w:tc>
          <w:tcPr>
            <w:tcW w:w="10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jc w:val="right"/>
              <w:ind w:right="86"/>
              <w:spacing w:after="0"/>
              <w:rPr>
                <w:sz w:val="20"/>
                <w:szCs w:val="20"/>
                <w:color w:val="auto"/>
              </w:rPr>
            </w:pPr>
            <w:r>
              <w:rPr>
                <w:rFonts w:ascii="Arial" w:cs="Arial" w:eastAsia="Arial" w:hAnsi="Arial"/>
                <w:sz w:val="11"/>
                <w:szCs w:val="11"/>
                <w:color w:val="auto"/>
                <w:w w:val="97"/>
              </w:rPr>
              <w:t>$</w:t>
            </w:r>
          </w:p>
        </w:tc>
        <w:tc>
          <w:tcPr>
            <w:tcW w:w="680" w:type="dxa"/>
            <w:vAlign w:val="bottom"/>
            <w:tcBorders>
              <w:bottom w:val="single" w:sz="8" w:color="auto"/>
            </w:tcBorders>
          </w:tcPr>
          <w:p>
            <w:pPr>
              <w:jc w:val="right"/>
              <w:ind w:right="46"/>
              <w:spacing w:after="0"/>
              <w:rPr>
                <w:sz w:val="20"/>
                <w:szCs w:val="20"/>
                <w:color w:val="auto"/>
              </w:rPr>
            </w:pPr>
            <w:r>
              <w:rPr>
                <w:rFonts w:ascii="Arial" w:cs="Arial" w:eastAsia="Arial" w:hAnsi="Arial"/>
                <w:sz w:val="11"/>
                <w:szCs w:val="11"/>
                <w:color w:val="auto"/>
              </w:rPr>
              <w:t>(149)</w:t>
            </w:r>
          </w:p>
        </w:tc>
        <w:tc>
          <w:tcPr>
            <w:tcW w:w="12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659</w:t>
            </w:r>
          </w:p>
        </w:tc>
        <w:tc>
          <w:tcPr>
            <w:tcW w:w="10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jc w:val="right"/>
              <w:ind w:right="1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ind w:right="46"/>
              <w:spacing w:after="0"/>
              <w:rPr>
                <w:sz w:val="20"/>
                <w:szCs w:val="20"/>
                <w:color w:val="auto"/>
              </w:rPr>
            </w:pPr>
            <w:r>
              <w:rPr>
                <w:rFonts w:ascii="Arial" w:cs="Arial" w:eastAsia="Arial" w:hAnsi="Arial"/>
                <w:sz w:val="11"/>
                <w:szCs w:val="11"/>
                <w:color w:val="auto"/>
              </w:rPr>
              <w:t>(329)</w:t>
            </w:r>
          </w:p>
        </w:tc>
      </w:tr>
      <w:tr>
        <w:trPr>
          <w:trHeight w:val="198"/>
        </w:trPr>
        <w:tc>
          <w:tcPr>
            <w:tcW w:w="67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r>
      <w:tr>
        <w:trPr>
          <w:trHeight w:val="178"/>
        </w:trPr>
        <w:tc>
          <w:tcPr>
            <w:tcW w:w="688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Weighted average number of common shares outstanding - basic and diluted</w:t>
            </w:r>
          </w:p>
        </w:tc>
        <w:tc>
          <w:tcPr>
            <w:tcW w:w="14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331.0</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86"/>
              <w:spacing w:after="0"/>
              <w:rPr>
                <w:sz w:val="20"/>
                <w:szCs w:val="20"/>
                <w:color w:val="auto"/>
              </w:rPr>
            </w:pPr>
            <w:r>
              <w:rPr>
                <w:rFonts w:ascii="Arial" w:cs="Arial" w:eastAsia="Arial" w:hAnsi="Arial"/>
                <w:sz w:val="11"/>
                <w:szCs w:val="11"/>
                <w:color w:val="auto"/>
              </w:rPr>
              <w:t>347.8</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332.1</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86"/>
              <w:spacing w:after="0"/>
              <w:rPr>
                <w:sz w:val="20"/>
                <w:szCs w:val="20"/>
                <w:color w:val="auto"/>
              </w:rPr>
            </w:pPr>
            <w:r>
              <w:rPr>
                <w:rFonts w:ascii="Arial" w:cs="Arial" w:eastAsia="Arial" w:hAnsi="Arial"/>
                <w:sz w:val="11"/>
                <w:szCs w:val="11"/>
                <w:color w:val="auto"/>
              </w:rPr>
              <w:t>350.9</w:t>
            </w:r>
          </w:p>
        </w:tc>
      </w:tr>
      <w:tr>
        <w:trPr>
          <w:trHeight w:val="178"/>
        </w:trPr>
        <w:tc>
          <w:tcPr>
            <w:tcW w:w="68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Net income (loss) per common share - basic and diluted</w:t>
            </w:r>
          </w:p>
        </w:tc>
        <w:tc>
          <w:tcPr>
            <w:tcW w:w="140" w:type="dxa"/>
            <w:vAlign w:val="bottom"/>
            <w:tcBorders>
              <w:bottom w:val="single" w:sz="8" w:color="auto"/>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1.52</w:t>
            </w:r>
          </w:p>
        </w:tc>
        <w:tc>
          <w:tcPr>
            <w:tcW w:w="100" w:type="dxa"/>
            <w:vAlign w:val="bottom"/>
            <w:tcBorders>
              <w:bottom w:val="single" w:sz="8" w:color="CCEEFF"/>
            </w:tcBorders>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w w:val="97"/>
              </w:rPr>
              <w:t>$</w:t>
            </w:r>
          </w:p>
        </w:tc>
        <w:tc>
          <w:tcPr>
            <w:tcW w:w="680" w:type="dxa"/>
            <w:vAlign w:val="bottom"/>
            <w:tcBorders>
              <w:bottom w:val="single" w:sz="8" w:color="auto"/>
            </w:tcBorders>
            <w:shd w:val="clear" w:color="auto" w:fill="CCEEFF"/>
          </w:tcPr>
          <w:p>
            <w:pPr>
              <w:jc w:val="right"/>
              <w:ind w:right="46"/>
              <w:spacing w:after="0"/>
              <w:rPr>
                <w:sz w:val="20"/>
                <w:szCs w:val="20"/>
                <w:color w:val="auto"/>
              </w:rPr>
            </w:pPr>
            <w:r>
              <w:rPr>
                <w:rFonts w:ascii="Arial" w:cs="Arial" w:eastAsia="Arial" w:hAnsi="Arial"/>
                <w:sz w:val="11"/>
                <w:szCs w:val="11"/>
                <w:color w:val="auto"/>
              </w:rPr>
              <w:t>(1.84)</w:t>
            </w:r>
          </w:p>
        </w:tc>
        <w:tc>
          <w:tcPr>
            <w:tcW w:w="120" w:type="dxa"/>
            <w:vAlign w:val="bottom"/>
            <w:tcBorders>
              <w:bottom w:val="single" w:sz="8" w:color="CCEEFF"/>
            </w:tcBorders>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(1.26)</w:t>
            </w:r>
          </w:p>
        </w:tc>
        <w:tc>
          <w:tcPr>
            <w:tcW w:w="100" w:type="dxa"/>
            <w:vAlign w:val="bottom"/>
            <w:tcBorders>
              <w:bottom w:val="single" w:sz="8" w:color="CCEEFF"/>
            </w:tcBorders>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jc w:val="right"/>
              <w:ind w:right="1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ind w:right="46"/>
              <w:spacing w:after="0"/>
              <w:rPr>
                <w:sz w:val="20"/>
                <w:szCs w:val="20"/>
                <w:color w:val="auto"/>
              </w:rPr>
            </w:pPr>
            <w:r>
              <w:rPr>
                <w:rFonts w:ascii="Arial" w:cs="Arial" w:eastAsia="Arial" w:hAnsi="Arial"/>
                <w:sz w:val="11"/>
                <w:szCs w:val="11"/>
                <w:color w:val="auto"/>
              </w:rPr>
              <w:t>(1.12)</w:t>
            </w:r>
          </w:p>
        </w:tc>
      </w:tr>
      <w:tr>
        <w:trPr>
          <w:trHeight w:val="178"/>
        </w:trPr>
        <w:tc>
          <w:tcPr>
            <w:tcW w:w="688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Comprehensive income (loss) per common share - basic and diluted</w:t>
            </w:r>
          </w:p>
        </w:tc>
        <w:tc>
          <w:tcPr>
            <w:tcW w:w="140" w:type="dxa"/>
            <w:vAlign w:val="bottom"/>
            <w:tcBorders>
              <w:bottom w:val="single" w:sz="8" w:color="auto"/>
            </w:tcBorders>
          </w:tcPr>
          <w:p>
            <w:pPr>
              <w:jc w:val="right"/>
              <w:ind w:right="6"/>
              <w:spacing w:after="0"/>
              <w:rPr>
                <w:sz w:val="20"/>
                <w:szCs w:val="20"/>
                <w:color w:val="auto"/>
              </w:rPr>
            </w:pPr>
            <w:r>
              <w:rPr>
                <w:rFonts w:ascii="Arial" w:cs="Arial" w:eastAsia="Arial" w:hAnsi="Arial"/>
                <w:sz w:val="11"/>
                <w:szCs w:val="11"/>
                <w:color w:val="auto"/>
                <w:w w:val="97"/>
              </w:rPr>
              <w:t>$</w:t>
            </w: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1.25</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jc w:val="right"/>
              <w:ind w:right="86"/>
              <w:spacing w:after="0"/>
              <w:rPr>
                <w:sz w:val="20"/>
                <w:szCs w:val="20"/>
                <w:color w:val="auto"/>
              </w:rPr>
            </w:pPr>
            <w:r>
              <w:rPr>
                <w:rFonts w:ascii="Arial" w:cs="Arial" w:eastAsia="Arial" w:hAnsi="Arial"/>
                <w:sz w:val="11"/>
                <w:szCs w:val="11"/>
                <w:color w:val="auto"/>
                <w:w w:val="97"/>
              </w:rPr>
              <w:t>$</w:t>
            </w:r>
          </w:p>
        </w:tc>
        <w:tc>
          <w:tcPr>
            <w:tcW w:w="680" w:type="dxa"/>
            <w:vAlign w:val="bottom"/>
            <w:tcBorders>
              <w:bottom w:val="single" w:sz="8" w:color="auto"/>
            </w:tcBorders>
          </w:tcPr>
          <w:p>
            <w:pPr>
              <w:jc w:val="right"/>
              <w:ind w:right="46"/>
              <w:spacing w:after="0"/>
              <w:rPr>
                <w:sz w:val="20"/>
                <w:szCs w:val="20"/>
                <w:color w:val="auto"/>
              </w:rPr>
            </w:pPr>
            <w:r>
              <w:rPr>
                <w:rFonts w:ascii="Arial" w:cs="Arial" w:eastAsia="Arial" w:hAnsi="Arial"/>
                <w:sz w:val="11"/>
                <w:szCs w:val="11"/>
                <w:color w:val="auto"/>
              </w:rPr>
              <w:t>(0.43)</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tcPr>
          <w:p>
            <w:pPr>
              <w:jc w:val="right"/>
              <w:ind w:right="107"/>
              <w:spacing w:after="0"/>
              <w:rPr>
                <w:sz w:val="20"/>
                <w:szCs w:val="20"/>
                <w:color w:val="auto"/>
              </w:rPr>
            </w:pPr>
            <w:r>
              <w:rPr>
                <w:rFonts w:ascii="Arial" w:cs="Arial" w:eastAsia="Arial" w:hAnsi="Arial"/>
                <w:sz w:val="11"/>
                <w:szCs w:val="11"/>
                <w:color w:val="auto"/>
              </w:rPr>
              <w:t>1.98</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jc w:val="right"/>
              <w:ind w:right="1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ind w:right="46"/>
              <w:spacing w:after="0"/>
              <w:rPr>
                <w:sz w:val="20"/>
                <w:szCs w:val="20"/>
                <w:color w:val="auto"/>
              </w:rPr>
            </w:pPr>
            <w:r>
              <w:rPr>
                <w:rFonts w:ascii="Arial" w:cs="Arial" w:eastAsia="Arial" w:hAnsi="Arial"/>
                <w:sz w:val="11"/>
                <w:szCs w:val="11"/>
                <w:color w:val="auto"/>
              </w:rPr>
              <w:t>(0.94)</w:t>
            </w:r>
          </w:p>
        </w:tc>
      </w:tr>
      <w:tr>
        <w:trPr>
          <w:trHeight w:val="178"/>
        </w:trPr>
        <w:tc>
          <w:tcPr>
            <w:tcW w:w="68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Dividends declared per common share</w:t>
            </w:r>
          </w:p>
        </w:tc>
        <w:tc>
          <w:tcPr>
            <w:tcW w:w="140" w:type="dxa"/>
            <w:vAlign w:val="bottom"/>
            <w:tcBorders>
              <w:bottom w:val="single" w:sz="8" w:color="auto"/>
            </w:tcBorders>
            <w:shd w:val="clear" w:color="auto" w:fill="CCEEFF"/>
          </w:tcPr>
          <w:p>
            <w:pPr>
              <w:jc w:val="right"/>
              <w:ind w:right="6"/>
              <w:spacing w:after="0"/>
              <w:rPr>
                <w:sz w:val="20"/>
                <w:szCs w:val="20"/>
                <w:color w:val="auto"/>
              </w:rPr>
            </w:pPr>
            <w:r>
              <w:rPr>
                <w:rFonts w:ascii="Arial" w:cs="Arial" w:eastAsia="Arial" w:hAnsi="Arial"/>
                <w:sz w:val="11"/>
                <w:szCs w:val="11"/>
                <w:color w:val="auto"/>
                <w:w w:val="97"/>
              </w:rPr>
              <w:t>$</w:t>
            </w: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0.56</w:t>
            </w:r>
          </w:p>
        </w:tc>
        <w:tc>
          <w:tcPr>
            <w:tcW w:w="100" w:type="dxa"/>
            <w:vAlign w:val="bottom"/>
            <w:tcBorders>
              <w:bottom w:val="single" w:sz="8" w:color="CCEEFF"/>
            </w:tcBorders>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w w:val="97"/>
              </w:rPr>
              <w:t>$</w:t>
            </w: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0.60</w:t>
            </w:r>
          </w:p>
        </w:tc>
        <w:tc>
          <w:tcPr>
            <w:tcW w:w="120" w:type="dxa"/>
            <w:vAlign w:val="bottom"/>
            <w:tcBorders>
              <w:bottom w:val="single" w:sz="8" w:color="CCEEFF"/>
            </w:tcBorders>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jc w:val="right"/>
              <w:ind w:right="31"/>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1.76</w:t>
            </w:r>
          </w:p>
        </w:tc>
        <w:tc>
          <w:tcPr>
            <w:tcW w:w="100" w:type="dxa"/>
            <w:vAlign w:val="bottom"/>
            <w:tcBorders>
              <w:bottom w:val="single" w:sz="8" w:color="CCEEFF"/>
            </w:tcBorders>
            <w:shd w:val="clear" w:color="auto" w:fill="CCEEFF"/>
          </w:tcPr>
          <w:p>
            <w:pPr>
              <w:spacing w:after="0"/>
              <w:rPr>
                <w:sz w:val="15"/>
                <w:szCs w:val="15"/>
                <w:color w:val="auto"/>
              </w:rPr>
            </w:pPr>
          </w:p>
        </w:tc>
        <w:tc>
          <w:tcPr>
            <w:tcW w:w="220" w:type="dxa"/>
            <w:vAlign w:val="bottom"/>
            <w:tcBorders>
              <w:bottom w:val="single" w:sz="8" w:color="auto"/>
            </w:tcBorders>
            <w:shd w:val="clear" w:color="auto" w:fill="CCEEFF"/>
          </w:tcPr>
          <w:p>
            <w:pPr>
              <w:jc w:val="right"/>
              <w:ind w:right="1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ind w:right="86"/>
              <w:spacing w:after="0"/>
              <w:rPr>
                <w:sz w:val="20"/>
                <w:szCs w:val="20"/>
                <w:color w:val="auto"/>
              </w:rPr>
            </w:pPr>
            <w:r>
              <w:rPr>
                <w:rFonts w:ascii="Arial" w:cs="Arial" w:eastAsia="Arial" w:hAnsi="Arial"/>
                <w:sz w:val="11"/>
                <w:szCs w:val="11"/>
                <w:color w:val="auto"/>
              </w:rPr>
              <w:t>1.88</w:t>
            </w:r>
          </w:p>
        </w:tc>
      </w:tr>
    </w:tbl>
    <w:p>
      <w:pPr>
        <w:spacing w:after="0" w:line="200" w:lineRule="exact"/>
        <w:rPr>
          <w:sz w:val="20"/>
          <w:szCs w:val="20"/>
          <w:color w:val="auto"/>
        </w:rPr>
      </w:pPr>
    </w:p>
    <w:p>
      <w:pPr>
        <w:sectPr>
          <w:pgSz w:w="11900" w:h="16838" w:orient="portrait"/>
          <w:cols w:equalWidth="0" w:num="1">
            <w:col w:w="10800"/>
          </w:cols>
          <w:pgMar w:left="560" w:top="584" w:right="539" w:bottom="1440" w:gutter="0" w:footer="0" w:header="0"/>
        </w:sectPr>
      </w:pPr>
    </w:p>
    <w:p>
      <w:pPr>
        <w:spacing w:after="0" w:line="299" w:lineRule="exact"/>
        <w:rPr>
          <w:sz w:val="20"/>
          <w:szCs w:val="20"/>
          <w:color w:val="auto"/>
        </w:rPr>
      </w:pPr>
    </w:p>
    <w:p>
      <w:pPr>
        <w:spacing w:after="0"/>
        <w:rPr>
          <w:sz w:val="20"/>
          <w:szCs w:val="20"/>
          <w:color w:val="auto"/>
        </w:rPr>
      </w:pPr>
      <w:r>
        <w:rPr>
          <w:rFonts w:ascii="Arial" w:cs="Arial" w:eastAsia="Arial" w:hAnsi="Arial"/>
          <w:sz w:val="10"/>
          <w:szCs w:val="10"/>
          <w:b w:val="1"/>
          <w:bCs w:val="1"/>
          <w:color w:val="auto"/>
        </w:rPr>
        <w:t>Other Data (unaudited)</w:t>
      </w:r>
    </w:p>
    <w:p>
      <w:pPr>
        <w:spacing w:after="0" w:line="67" w:lineRule="exact"/>
        <w:rPr>
          <w:sz w:val="20"/>
          <w:szCs w:val="20"/>
          <w:color w:val="auto"/>
        </w:rPr>
      </w:pPr>
    </w:p>
    <w:p>
      <w:pPr>
        <w:spacing w:after="0"/>
        <w:rPr>
          <w:sz w:val="20"/>
          <w:szCs w:val="20"/>
          <w:color w:val="auto"/>
        </w:rPr>
      </w:pPr>
      <w:r>
        <w:rPr>
          <w:rFonts w:ascii="Arial" w:cs="Arial" w:eastAsia="Arial" w:hAnsi="Arial"/>
          <w:sz w:val="10"/>
          <w:szCs w:val="10"/>
          <w:color w:val="auto"/>
        </w:rPr>
        <w:t>Average investment securities - at par</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Average investment securities - at cost</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Average net TBA portfolio - at cost</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Average total assets - at fair value</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mortgage borrowings outstanding </w:t>
      </w:r>
      <w:r>
        <w:rPr>
          <w:rFonts w:ascii="Arial" w:cs="Arial" w:eastAsia="Arial" w:hAnsi="Arial"/>
          <w:sz w:val="5"/>
          <w:szCs w:val="5"/>
          <w:color w:val="auto"/>
        </w:rPr>
        <w:t>4</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stockholders' equity </w:t>
      </w:r>
      <w:r>
        <w:rPr>
          <w:rFonts w:ascii="Arial" w:cs="Arial" w:eastAsia="Arial" w:hAnsi="Arial"/>
          <w:sz w:val="5"/>
          <w:szCs w:val="5"/>
          <w:color w:val="auto"/>
        </w:rPr>
        <w:t>5</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coupon </w:t>
      </w:r>
      <w:r>
        <w:rPr>
          <w:rFonts w:ascii="Arial" w:cs="Arial" w:eastAsia="Arial" w:hAnsi="Arial"/>
          <w:sz w:val="5"/>
          <w:szCs w:val="5"/>
          <w:color w:val="auto"/>
        </w:rPr>
        <w:t>6</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asset yield </w:t>
      </w:r>
      <w:r>
        <w:rPr>
          <w:rFonts w:ascii="Arial" w:cs="Arial" w:eastAsia="Arial" w:hAnsi="Arial"/>
          <w:sz w:val="5"/>
          <w:szCs w:val="5"/>
          <w:color w:val="auto"/>
        </w:rPr>
        <w:t>7</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cost of funds </w:t>
      </w:r>
      <w:r>
        <w:rPr>
          <w:rFonts w:ascii="Arial" w:cs="Arial" w:eastAsia="Arial" w:hAnsi="Arial"/>
          <w:sz w:val="5"/>
          <w:szCs w:val="5"/>
          <w:color w:val="auto"/>
        </w:rPr>
        <w:t>8</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Average net interest rate spread</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net interest rate spread, including TBA dollar roll income </w:t>
      </w:r>
      <w:r>
        <w:rPr>
          <w:rFonts w:ascii="Arial" w:cs="Arial" w:eastAsia="Arial" w:hAnsi="Arial"/>
          <w:sz w:val="5"/>
          <w:szCs w:val="5"/>
          <w:color w:val="auto"/>
        </w:rPr>
        <w:t>9</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coupon </w:t>
      </w:r>
      <w:r>
        <w:rPr>
          <w:rFonts w:ascii="Arial" w:cs="Arial" w:eastAsia="Arial" w:hAnsi="Arial"/>
          <w:sz w:val="10"/>
          <w:szCs w:val="10"/>
          <w:i w:val="1"/>
          <w:iCs w:val="1"/>
          <w:color w:val="auto"/>
        </w:rPr>
        <w:t>(as of period end)</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asset yield </w:t>
      </w:r>
      <w:r>
        <w:rPr>
          <w:rFonts w:ascii="Arial" w:cs="Arial" w:eastAsia="Arial" w:hAnsi="Arial"/>
          <w:sz w:val="10"/>
          <w:szCs w:val="10"/>
          <w:i w:val="1"/>
          <w:iCs w:val="1"/>
          <w:color w:val="auto"/>
        </w:rPr>
        <w:t>(as of period end)</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cost of funds </w:t>
      </w:r>
      <w:r>
        <w:rPr>
          <w:rFonts w:ascii="Arial" w:cs="Arial" w:eastAsia="Arial" w:hAnsi="Arial"/>
          <w:sz w:val="10"/>
          <w:szCs w:val="10"/>
          <w:i w:val="1"/>
          <w:iCs w:val="1"/>
          <w:color w:val="auto"/>
        </w:rPr>
        <w:t>(as of period end)</w:t>
      </w:r>
      <w:r>
        <w:rPr>
          <w:rFonts w:ascii="Arial" w:cs="Arial" w:eastAsia="Arial" w:hAnsi="Arial"/>
          <w:sz w:val="10"/>
          <w:szCs w:val="10"/>
          <w:color w:val="auto"/>
        </w:rPr>
        <w:t xml:space="preserve"> </w:t>
      </w:r>
      <w:r>
        <w:rPr>
          <w:rFonts w:ascii="Arial" w:cs="Arial" w:eastAsia="Arial" w:hAnsi="Arial"/>
          <w:sz w:val="5"/>
          <w:szCs w:val="5"/>
          <w:color w:val="auto"/>
        </w:rPr>
        <w:t>10</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net interest rate spread </w:t>
      </w:r>
      <w:r>
        <w:rPr>
          <w:rFonts w:ascii="Arial" w:cs="Arial" w:eastAsia="Arial" w:hAnsi="Arial"/>
          <w:sz w:val="10"/>
          <w:szCs w:val="10"/>
          <w:i w:val="1"/>
          <w:iCs w:val="1"/>
          <w:color w:val="auto"/>
        </w:rPr>
        <w:t>(as of period end)</w:t>
      </w:r>
    </w:p>
    <w:p>
      <w:pPr>
        <w:spacing w:after="0" w:line="65" w:lineRule="exact"/>
        <w:rPr>
          <w:sz w:val="20"/>
          <w:szCs w:val="20"/>
          <w:color w:val="auto"/>
        </w:rPr>
      </w:pPr>
    </w:p>
    <w:p>
      <w:pPr>
        <w:spacing w:after="0"/>
        <w:rPr>
          <w:sz w:val="20"/>
          <w:szCs w:val="20"/>
          <w:color w:val="auto"/>
        </w:rPr>
      </w:pPr>
      <w:r>
        <w:rPr>
          <w:rFonts w:ascii="Arial" w:cs="Arial" w:eastAsia="Arial" w:hAnsi="Arial"/>
          <w:sz w:val="8"/>
          <w:szCs w:val="8"/>
          <w:color w:val="auto"/>
        </w:rPr>
        <w:t xml:space="preserve">Net comprehensive income return on average common equity - annualized </w:t>
      </w:r>
      <w:r>
        <w:rPr>
          <w:rFonts w:ascii="Arial" w:cs="Arial" w:eastAsia="Arial" w:hAnsi="Arial"/>
          <w:sz w:val="4"/>
          <w:szCs w:val="4"/>
          <w:color w:val="auto"/>
        </w:rPr>
        <w:t>11</w:t>
      </w:r>
    </w:p>
    <w:p>
      <w:pPr>
        <w:spacing w:after="0" w:line="88"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Economic return on common equity </w:t>
      </w:r>
      <w:r>
        <w:rPr>
          <w:rFonts w:ascii="Arial" w:cs="Arial" w:eastAsia="Arial" w:hAnsi="Arial"/>
          <w:sz w:val="5"/>
          <w:szCs w:val="5"/>
          <w:color w:val="auto"/>
        </w:rPr>
        <w:t>12</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"at risk" leverage </w:t>
      </w:r>
      <w:r>
        <w:rPr>
          <w:rFonts w:ascii="Arial" w:cs="Arial" w:eastAsia="Arial" w:hAnsi="Arial"/>
          <w:sz w:val="5"/>
          <w:szCs w:val="5"/>
          <w:color w:val="auto"/>
        </w:rPr>
        <w:t>13</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Average tangible net book value "at risk" leverage </w:t>
      </w:r>
      <w:r>
        <w:rPr>
          <w:rFonts w:ascii="Arial" w:cs="Arial" w:eastAsia="Arial" w:hAnsi="Arial"/>
          <w:sz w:val="5"/>
          <w:szCs w:val="5"/>
          <w:color w:val="auto"/>
        </w:rPr>
        <w:t>15</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"At risk" leverage </w:t>
      </w:r>
      <w:r>
        <w:rPr>
          <w:rFonts w:ascii="Arial" w:cs="Arial" w:eastAsia="Arial" w:hAnsi="Arial"/>
          <w:sz w:val="10"/>
          <w:szCs w:val="10"/>
          <w:i w:val="1"/>
          <w:iCs w:val="1"/>
          <w:color w:val="auto"/>
        </w:rPr>
        <w:t>(as of period end)</w:t>
      </w:r>
      <w:r>
        <w:rPr>
          <w:rFonts w:ascii="Arial" w:cs="Arial" w:eastAsia="Arial" w:hAnsi="Arial"/>
          <w:sz w:val="10"/>
          <w:szCs w:val="10"/>
          <w:color w:val="auto"/>
        </w:rPr>
        <w:t xml:space="preserve"> </w:t>
      </w:r>
      <w:r>
        <w:rPr>
          <w:rFonts w:ascii="Arial" w:cs="Arial" w:eastAsia="Arial" w:hAnsi="Arial"/>
          <w:sz w:val="5"/>
          <w:szCs w:val="5"/>
          <w:color w:val="auto"/>
        </w:rPr>
        <w:t>14</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 xml:space="preserve">Tangible net book value "at risk" leverage </w:t>
      </w:r>
      <w:r>
        <w:rPr>
          <w:rFonts w:ascii="Arial" w:cs="Arial" w:eastAsia="Arial" w:hAnsi="Arial"/>
          <w:sz w:val="10"/>
          <w:szCs w:val="10"/>
          <w:i w:val="1"/>
          <w:iCs w:val="1"/>
          <w:color w:val="auto"/>
        </w:rPr>
        <w:t>(as of period end)</w:t>
      </w:r>
      <w:r>
        <w:rPr>
          <w:rFonts w:ascii="Arial" w:cs="Arial" w:eastAsia="Arial" w:hAnsi="Arial"/>
          <w:sz w:val="10"/>
          <w:szCs w:val="10"/>
          <w:color w:val="auto"/>
        </w:rPr>
        <w:t xml:space="preserve"> </w:t>
      </w:r>
      <w:r>
        <w:rPr>
          <w:rFonts w:ascii="Arial" w:cs="Arial" w:eastAsia="Arial" w:hAnsi="Arial"/>
          <w:sz w:val="5"/>
          <w:szCs w:val="5"/>
          <w:color w:val="auto"/>
        </w:rPr>
        <w:t>15</w:t>
      </w:r>
    </w:p>
    <w:p>
      <w:pPr>
        <w:spacing w:after="0" w:line="65" w:lineRule="exact"/>
        <w:rPr>
          <w:sz w:val="20"/>
          <w:szCs w:val="20"/>
          <w:color w:val="auto"/>
        </w:rPr>
      </w:pPr>
    </w:p>
    <w:p>
      <w:pPr>
        <w:spacing w:after="0"/>
        <w:rPr>
          <w:sz w:val="20"/>
          <w:szCs w:val="20"/>
          <w:color w:val="auto"/>
        </w:rPr>
      </w:pPr>
      <w:r>
        <w:rPr>
          <w:rFonts w:ascii="Arial" w:cs="Arial" w:eastAsia="Arial" w:hAnsi="Arial"/>
          <w:sz w:val="10"/>
          <w:szCs w:val="10"/>
          <w:color w:val="auto"/>
        </w:rPr>
        <w:t>Expenses % of average total assets</w:t>
      </w:r>
    </w:p>
    <w:p>
      <w:pPr>
        <w:spacing w:after="0" w:line="65" w:lineRule="exact"/>
        <w:rPr>
          <w:sz w:val="20"/>
          <w:szCs w:val="20"/>
          <w:color w:val="auto"/>
        </w:rPr>
      </w:pPr>
    </w:p>
    <w:p>
      <w:pPr>
        <w:spacing w:after="0"/>
        <w:rPr>
          <w:sz w:val="20"/>
          <w:szCs w:val="20"/>
          <w:color w:val="auto"/>
        </w:rPr>
      </w:pPr>
      <w:r>
        <w:rPr>
          <w:rFonts w:ascii="Arial" w:cs="Arial" w:eastAsia="Arial" w:hAnsi="Arial"/>
          <w:sz w:val="8"/>
          <w:szCs w:val="8"/>
          <w:color w:val="auto"/>
        </w:rPr>
        <w:t>Expenses % of average assets, including average net TBA position</w:t>
      </w:r>
    </w:p>
    <w:p>
      <w:pPr>
        <w:spacing w:after="0" w:line="88" w:lineRule="exact"/>
        <w:rPr>
          <w:sz w:val="20"/>
          <w:szCs w:val="20"/>
          <w:color w:val="auto"/>
        </w:rPr>
      </w:pPr>
    </w:p>
    <w:p>
      <w:pPr>
        <w:spacing w:after="0"/>
        <w:rPr>
          <w:sz w:val="20"/>
          <w:szCs w:val="20"/>
          <w:color w:val="auto"/>
        </w:rPr>
      </w:pPr>
      <w:r>
        <w:rPr>
          <w:rFonts w:ascii="Arial" w:cs="Arial" w:eastAsia="Arial" w:hAnsi="Arial"/>
          <w:sz w:val="10"/>
          <w:szCs w:val="10"/>
          <w:color w:val="auto"/>
        </w:rPr>
        <w:t>Expenses % of average stockholders' equity</w:t>
      </w:r>
    </w:p>
    <w:p>
      <w:pPr>
        <w:spacing w:after="0" w:line="20" w:lineRule="exact"/>
        <w:rPr>
          <w:sz w:val="20"/>
          <w:szCs w:val="20"/>
          <w:color w:val="auto"/>
        </w:rPr>
      </w:pPr>
      <w:r>
        <w:rPr>
          <w:sz w:val="20"/>
          <w:szCs w:val="20"/>
          <w:color w:val="auto"/>
        </w:rPr>
        <w:br w:type="column"/>
      </w:r>
    </w:p>
    <w:p>
      <w:pPr>
        <w:spacing w:after="0" w:line="9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28"/>
        </w:trPr>
        <w:tc>
          <w:tcPr>
            <w:tcW w:w="2020" w:type="dxa"/>
            <w:vAlign w:val="bottom"/>
            <w:gridSpan w:val="4"/>
          </w:tcPr>
          <w:p>
            <w:pPr>
              <w:ind w:left="220"/>
              <w:spacing w:after="0"/>
              <w:rPr>
                <w:sz w:val="20"/>
                <w:szCs w:val="20"/>
                <w:color w:val="auto"/>
              </w:rPr>
            </w:pPr>
            <w:r>
              <w:rPr>
                <w:rFonts w:ascii="Arial" w:cs="Arial" w:eastAsia="Arial" w:hAnsi="Arial"/>
                <w:sz w:val="10"/>
                <w:szCs w:val="10"/>
                <w:b w:val="1"/>
                <w:bCs w:val="1"/>
                <w:color w:val="auto"/>
              </w:rPr>
              <w:t>Three Months Ended September 30,</w:t>
            </w:r>
          </w:p>
        </w:tc>
        <w:tc>
          <w:tcPr>
            <w:tcW w:w="1900" w:type="dxa"/>
            <w:vAlign w:val="bottom"/>
            <w:gridSpan w:val="3"/>
          </w:tcPr>
          <w:p>
            <w:pPr>
              <w:jc w:val="right"/>
              <w:ind w:right="186"/>
              <w:spacing w:after="0"/>
              <w:rPr>
                <w:sz w:val="20"/>
                <w:szCs w:val="20"/>
                <w:color w:val="auto"/>
              </w:rPr>
            </w:pPr>
            <w:r>
              <w:rPr>
                <w:rFonts w:ascii="Arial" w:cs="Arial" w:eastAsia="Arial" w:hAnsi="Arial"/>
                <w:sz w:val="10"/>
                <w:szCs w:val="10"/>
                <w:b w:val="1"/>
                <w:bCs w:val="1"/>
                <w:color w:val="auto"/>
                <w:w w:val="99"/>
              </w:rPr>
              <w:t>Nine Months Ended September 30,</w:t>
            </w:r>
          </w:p>
        </w:tc>
      </w:tr>
      <w:tr>
        <w:trPr>
          <w:trHeight w:val="169"/>
        </w:trPr>
        <w:tc>
          <w:tcPr>
            <w:tcW w:w="9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0"/>
              </w:rPr>
              <w:t>2016</w:t>
            </w:r>
          </w:p>
        </w:tc>
        <w:tc>
          <w:tcPr>
            <w:tcW w:w="100" w:type="dxa"/>
            <w:vAlign w:val="bottom"/>
            <w:tcBorders>
              <w:top w:val="single" w:sz="8" w:color="auto"/>
            </w:tcBorders>
          </w:tcPr>
          <w:p>
            <w:pPr>
              <w:spacing w:after="0"/>
              <w:rPr>
                <w:sz w:val="14"/>
                <w:szCs w:val="14"/>
                <w:color w:val="auto"/>
              </w:rPr>
            </w:pPr>
          </w:p>
        </w:tc>
        <w:tc>
          <w:tcPr>
            <w:tcW w:w="9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0"/>
              </w:rPr>
              <w:t>2015</w:t>
            </w:r>
          </w:p>
        </w:tc>
        <w:tc>
          <w:tcPr>
            <w:tcW w:w="120" w:type="dxa"/>
            <w:vAlign w:val="bottom"/>
          </w:tcPr>
          <w:p>
            <w:pPr>
              <w:spacing w:after="0"/>
              <w:rPr>
                <w:sz w:val="14"/>
                <w:szCs w:val="14"/>
                <w:color w:val="auto"/>
              </w:rPr>
            </w:pPr>
          </w:p>
        </w:tc>
        <w:tc>
          <w:tcPr>
            <w:tcW w:w="9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2016</w:t>
            </w:r>
          </w:p>
        </w:tc>
        <w:tc>
          <w:tcPr>
            <w:tcW w:w="100" w:type="dxa"/>
            <w:vAlign w:val="bottom"/>
            <w:tcBorders>
              <w:top w:val="single" w:sz="8" w:color="auto"/>
            </w:tcBorders>
          </w:tcPr>
          <w:p>
            <w:pPr>
              <w:spacing w:after="0"/>
              <w:rPr>
                <w:sz w:val="14"/>
                <w:szCs w:val="14"/>
                <w:color w:val="auto"/>
              </w:rPr>
            </w:pPr>
          </w:p>
        </w:tc>
        <w:tc>
          <w:tcPr>
            <w:tcW w:w="9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0"/>
              </w:rPr>
              <w:t>2015</w:t>
            </w:r>
          </w:p>
        </w:tc>
      </w:tr>
      <w:tr>
        <w:trPr>
          <w:trHeight w:val="142"/>
        </w:trPr>
        <w:tc>
          <w:tcPr>
            <w:tcW w:w="900" w:type="dxa"/>
            <w:vAlign w:val="bottom"/>
          </w:tcPr>
          <w:p>
            <w:pPr>
              <w:jc w:val="center"/>
              <w:spacing w:after="0"/>
              <w:rPr>
                <w:sz w:val="20"/>
                <w:szCs w:val="20"/>
                <w:color w:val="auto"/>
              </w:rPr>
            </w:pPr>
            <w:r>
              <w:rPr>
                <w:rFonts w:ascii="Arial" w:cs="Arial" w:eastAsia="Arial" w:hAnsi="Arial"/>
                <w:sz w:val="11"/>
                <w:szCs w:val="11"/>
                <w:color w:val="auto"/>
                <w:w w:val="85"/>
              </w:rPr>
              <w:t>$46,372</w:t>
            </w:r>
          </w:p>
        </w:tc>
        <w:tc>
          <w:tcPr>
            <w:tcW w:w="100" w:type="dxa"/>
            <w:vAlign w:val="bottom"/>
          </w:tcPr>
          <w:p>
            <w:pPr>
              <w:spacing w:after="0"/>
              <w:rPr>
                <w:sz w:val="12"/>
                <w:szCs w:val="12"/>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5"/>
              </w:rPr>
              <w:t>$46,610</w:t>
            </w:r>
          </w:p>
        </w:tc>
        <w:tc>
          <w:tcPr>
            <w:tcW w:w="120" w:type="dxa"/>
            <w:vAlign w:val="bottom"/>
          </w:tcPr>
          <w:p>
            <w:pPr>
              <w:spacing w:after="0"/>
              <w:rPr>
                <w:sz w:val="12"/>
                <w:szCs w:val="12"/>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90"/>
              </w:rPr>
              <w:t>$48,201</w:t>
            </w:r>
          </w:p>
        </w:tc>
        <w:tc>
          <w:tcPr>
            <w:tcW w:w="100" w:type="dxa"/>
            <w:vAlign w:val="bottom"/>
          </w:tcPr>
          <w:p>
            <w:pPr>
              <w:spacing w:after="0"/>
              <w:rPr>
                <w:sz w:val="12"/>
                <w:szCs w:val="12"/>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5"/>
              </w:rPr>
              <w:t>$52,381</w:t>
            </w:r>
          </w:p>
        </w:tc>
      </w:tr>
      <w:tr>
        <w:trPr>
          <w:trHeight w:val="180"/>
        </w:trPr>
        <w:tc>
          <w:tcPr>
            <w:tcW w:w="900" w:type="dxa"/>
            <w:vAlign w:val="bottom"/>
          </w:tcPr>
          <w:p>
            <w:pPr>
              <w:jc w:val="center"/>
              <w:spacing w:after="0"/>
              <w:rPr>
                <w:sz w:val="20"/>
                <w:szCs w:val="20"/>
                <w:color w:val="auto"/>
              </w:rPr>
            </w:pPr>
            <w:r>
              <w:rPr>
                <w:rFonts w:ascii="Arial" w:cs="Arial" w:eastAsia="Arial" w:hAnsi="Arial"/>
                <w:sz w:val="11"/>
                <w:szCs w:val="11"/>
                <w:color w:val="auto"/>
                <w:w w:val="85"/>
              </w:rPr>
              <w:t>$48,548</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5"/>
              </w:rPr>
              <w:t>$48,711</w:t>
            </w:r>
          </w:p>
        </w:tc>
        <w:tc>
          <w:tcPr>
            <w:tcW w:w="12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90"/>
              </w:rPr>
              <w:t>$50,388</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5"/>
              </w:rPr>
              <w:t>$54,682</w:t>
            </w:r>
          </w:p>
        </w:tc>
      </w:tr>
      <w:tr>
        <w:trPr>
          <w:trHeight w:val="180"/>
        </w:trPr>
        <w:tc>
          <w:tcPr>
            <w:tcW w:w="900" w:type="dxa"/>
            <w:vAlign w:val="bottom"/>
          </w:tcPr>
          <w:p>
            <w:pPr>
              <w:jc w:val="center"/>
              <w:spacing w:after="0"/>
              <w:rPr>
                <w:sz w:val="20"/>
                <w:szCs w:val="20"/>
                <w:color w:val="auto"/>
              </w:rPr>
            </w:pPr>
            <w:r>
              <w:rPr>
                <w:rFonts w:ascii="Arial" w:cs="Arial" w:eastAsia="Arial" w:hAnsi="Arial"/>
                <w:sz w:val="11"/>
                <w:szCs w:val="11"/>
                <w:color w:val="auto"/>
                <w:w w:val="85"/>
              </w:rPr>
              <w:t>$10,748</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9"/>
              </w:rPr>
              <w:t>$9,434</w:t>
            </w:r>
          </w:p>
        </w:tc>
        <w:tc>
          <w:tcPr>
            <w:tcW w:w="12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3"/>
              </w:rPr>
              <w:t>$9,050</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9"/>
              </w:rPr>
              <w:t>$7,464</w:t>
            </w:r>
          </w:p>
        </w:tc>
      </w:tr>
      <w:tr>
        <w:trPr>
          <w:trHeight w:val="180"/>
        </w:trPr>
        <w:tc>
          <w:tcPr>
            <w:tcW w:w="900" w:type="dxa"/>
            <w:vAlign w:val="bottom"/>
          </w:tcPr>
          <w:p>
            <w:pPr>
              <w:jc w:val="center"/>
              <w:spacing w:after="0"/>
              <w:rPr>
                <w:sz w:val="20"/>
                <w:szCs w:val="20"/>
                <w:color w:val="auto"/>
              </w:rPr>
            </w:pPr>
            <w:r>
              <w:rPr>
                <w:rFonts w:ascii="Arial" w:cs="Arial" w:eastAsia="Arial" w:hAnsi="Arial"/>
                <w:sz w:val="11"/>
                <w:szCs w:val="11"/>
                <w:color w:val="auto"/>
                <w:w w:val="85"/>
              </w:rPr>
              <w:t>$57,088</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5"/>
              </w:rPr>
              <w:t>$54,353</w:t>
            </w:r>
          </w:p>
        </w:tc>
        <w:tc>
          <w:tcPr>
            <w:tcW w:w="12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90"/>
              </w:rPr>
              <w:t>$57,361</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5"/>
              </w:rPr>
              <w:t>$61,439</w:t>
            </w:r>
          </w:p>
        </w:tc>
      </w:tr>
      <w:tr>
        <w:trPr>
          <w:trHeight w:val="180"/>
        </w:trPr>
        <w:tc>
          <w:tcPr>
            <w:tcW w:w="900" w:type="dxa"/>
            <w:vAlign w:val="bottom"/>
          </w:tcPr>
          <w:p>
            <w:pPr>
              <w:jc w:val="center"/>
              <w:spacing w:after="0"/>
              <w:rPr>
                <w:sz w:val="20"/>
                <w:szCs w:val="20"/>
                <w:color w:val="auto"/>
              </w:rPr>
            </w:pPr>
            <w:r>
              <w:rPr>
                <w:rFonts w:ascii="Arial" w:cs="Arial" w:eastAsia="Arial" w:hAnsi="Arial"/>
                <w:sz w:val="11"/>
                <w:szCs w:val="11"/>
                <w:color w:val="auto"/>
                <w:w w:val="85"/>
              </w:rPr>
              <w:t>$44,401</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5"/>
              </w:rPr>
              <w:t>$43,308</w:t>
            </w:r>
          </w:p>
        </w:tc>
        <w:tc>
          <w:tcPr>
            <w:tcW w:w="12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90"/>
              </w:rPr>
              <w:t>$45,753</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5"/>
              </w:rPr>
              <w:t>$49,188</w:t>
            </w:r>
          </w:p>
        </w:tc>
      </w:tr>
      <w:tr>
        <w:trPr>
          <w:trHeight w:val="180"/>
        </w:trPr>
        <w:tc>
          <w:tcPr>
            <w:tcW w:w="900" w:type="dxa"/>
            <w:vAlign w:val="bottom"/>
          </w:tcPr>
          <w:p>
            <w:pPr>
              <w:jc w:val="center"/>
              <w:spacing w:after="0"/>
              <w:rPr>
                <w:sz w:val="20"/>
                <w:szCs w:val="20"/>
                <w:color w:val="auto"/>
              </w:rPr>
            </w:pPr>
            <w:r>
              <w:rPr>
                <w:rFonts w:ascii="Arial" w:cs="Arial" w:eastAsia="Arial" w:hAnsi="Arial"/>
                <w:sz w:val="11"/>
                <w:szCs w:val="11"/>
                <w:color w:val="auto"/>
                <w:w w:val="89"/>
              </w:rPr>
              <w:t>$7,803</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9"/>
              </w:rPr>
              <w:t>$8,603</w:t>
            </w:r>
          </w:p>
        </w:tc>
        <w:tc>
          <w:tcPr>
            <w:tcW w:w="12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3"/>
              </w:rPr>
              <w:t>$7,785</w:t>
            </w:r>
          </w:p>
        </w:tc>
        <w:tc>
          <w:tcPr>
            <w:tcW w:w="1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1"/>
                <w:szCs w:val="11"/>
                <w:color w:val="auto"/>
                <w:w w:val="89"/>
              </w:rPr>
              <w:t>$9,037</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3.65 %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3.62 %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3.64 %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3.62 %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2.60 %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2.42 %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2.46 %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2.66 %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(1.32)%</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(1.70)%</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(1.47)%</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(1.45)%</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1.28 %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0.72 %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0.99 %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1.21 %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1.42 %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1.14 %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1.18 %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1.48 %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3.64 %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3.61 %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3.64 %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3.61 %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2.68 %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2.76 %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2.68 %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2.76 %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(1.30)%</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(1.64)%</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(1.30)%</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(1.64)%</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1.38 %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1.12 %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1.38 %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1.12 %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22.0 %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(7.1)%</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11.8 %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(5.1)%</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22.4 %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(6.6)%</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12.3 %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(4.4)%</w:t>
            </w:r>
          </w:p>
        </w:tc>
      </w:tr>
      <w:tr>
        <w:trPr>
          <w:trHeight w:val="180"/>
        </w:trPr>
        <w:tc>
          <w:tcPr>
            <w:tcW w:w="900" w:type="dxa"/>
            <w:vAlign w:val="bottom"/>
          </w:tcPr>
          <w:p>
            <w:pPr>
              <w:jc w:val="right"/>
              <w:ind w:right="106"/>
              <w:spacing w:after="0"/>
              <w:rPr>
                <w:sz w:val="20"/>
                <w:szCs w:val="20"/>
                <w:color w:val="auto"/>
              </w:rPr>
            </w:pPr>
            <w:r>
              <w:rPr>
                <w:rFonts w:ascii="Arial" w:cs="Arial" w:eastAsia="Arial" w:hAnsi="Arial"/>
                <w:sz w:val="11"/>
                <w:szCs w:val="11"/>
                <w:color w:val="auto"/>
              </w:rPr>
              <w:t>7.1:1</w:t>
            </w:r>
          </w:p>
        </w:tc>
        <w:tc>
          <w:tcPr>
            <w:tcW w:w="100" w:type="dxa"/>
            <w:vAlign w:val="bottom"/>
          </w:tcPr>
          <w:p>
            <w:pPr>
              <w:spacing w:after="0"/>
              <w:rPr>
                <w:sz w:val="15"/>
                <w:szCs w:val="15"/>
                <w:color w:val="auto"/>
              </w:rPr>
            </w:pPr>
          </w:p>
        </w:tc>
        <w:tc>
          <w:tcPr>
            <w:tcW w:w="900" w:type="dxa"/>
            <w:vAlign w:val="bottom"/>
          </w:tcPr>
          <w:p>
            <w:pPr>
              <w:jc w:val="right"/>
              <w:ind w:right="86"/>
              <w:spacing w:after="0"/>
              <w:rPr>
                <w:sz w:val="20"/>
                <w:szCs w:val="20"/>
                <w:color w:val="auto"/>
              </w:rPr>
            </w:pPr>
            <w:r>
              <w:rPr>
                <w:rFonts w:ascii="Arial" w:cs="Arial" w:eastAsia="Arial" w:hAnsi="Arial"/>
                <w:sz w:val="11"/>
                <w:szCs w:val="11"/>
                <w:color w:val="auto"/>
              </w:rPr>
              <w:t>6.2:1</w:t>
            </w:r>
          </w:p>
        </w:tc>
        <w:tc>
          <w:tcPr>
            <w:tcW w:w="120" w:type="dxa"/>
            <w:vAlign w:val="bottom"/>
          </w:tcPr>
          <w:p>
            <w:pPr>
              <w:spacing w:after="0"/>
              <w:rPr>
                <w:sz w:val="15"/>
                <w:szCs w:val="15"/>
                <w:color w:val="auto"/>
              </w:rPr>
            </w:pPr>
          </w:p>
        </w:tc>
        <w:tc>
          <w:tcPr>
            <w:tcW w:w="900" w:type="dxa"/>
            <w:vAlign w:val="bottom"/>
          </w:tcPr>
          <w:p>
            <w:pPr>
              <w:jc w:val="right"/>
              <w:ind w:right="106"/>
              <w:spacing w:after="0"/>
              <w:rPr>
                <w:sz w:val="20"/>
                <w:szCs w:val="20"/>
                <w:color w:val="auto"/>
              </w:rPr>
            </w:pPr>
            <w:r>
              <w:rPr>
                <w:rFonts w:ascii="Arial" w:cs="Arial" w:eastAsia="Arial" w:hAnsi="Arial"/>
                <w:sz w:val="11"/>
                <w:szCs w:val="11"/>
                <w:color w:val="auto"/>
              </w:rPr>
              <w:t>7.1:1</w:t>
            </w:r>
          </w:p>
        </w:tc>
        <w:tc>
          <w:tcPr>
            <w:tcW w:w="100" w:type="dxa"/>
            <w:vAlign w:val="bottom"/>
          </w:tcPr>
          <w:p>
            <w:pPr>
              <w:spacing w:after="0"/>
              <w:rPr>
                <w:sz w:val="15"/>
                <w:szCs w:val="15"/>
                <w:color w:val="auto"/>
              </w:rPr>
            </w:pPr>
          </w:p>
        </w:tc>
        <w:tc>
          <w:tcPr>
            <w:tcW w:w="900" w:type="dxa"/>
            <w:vAlign w:val="bottom"/>
          </w:tcPr>
          <w:p>
            <w:pPr>
              <w:jc w:val="right"/>
              <w:ind w:right="86"/>
              <w:spacing w:after="0"/>
              <w:rPr>
                <w:sz w:val="20"/>
                <w:szCs w:val="20"/>
                <w:color w:val="auto"/>
              </w:rPr>
            </w:pPr>
            <w:r>
              <w:rPr>
                <w:rFonts w:ascii="Arial" w:cs="Arial" w:eastAsia="Arial" w:hAnsi="Arial"/>
                <w:sz w:val="11"/>
                <w:szCs w:val="11"/>
                <w:color w:val="auto"/>
              </w:rPr>
              <w:t>6.3:1</w:t>
            </w:r>
          </w:p>
        </w:tc>
      </w:tr>
      <w:tr>
        <w:trPr>
          <w:trHeight w:val="180"/>
        </w:trPr>
        <w:tc>
          <w:tcPr>
            <w:tcW w:w="900" w:type="dxa"/>
            <w:vAlign w:val="bottom"/>
          </w:tcPr>
          <w:p>
            <w:pPr>
              <w:jc w:val="right"/>
              <w:ind w:right="106"/>
              <w:spacing w:after="0"/>
              <w:rPr>
                <w:sz w:val="20"/>
                <w:szCs w:val="20"/>
                <w:color w:val="auto"/>
              </w:rPr>
            </w:pPr>
            <w:r>
              <w:rPr>
                <w:rFonts w:ascii="Arial" w:cs="Arial" w:eastAsia="Arial" w:hAnsi="Arial"/>
                <w:sz w:val="11"/>
                <w:szCs w:val="11"/>
                <w:color w:val="auto"/>
              </w:rPr>
              <w:t>7.6:1</w:t>
            </w:r>
          </w:p>
        </w:tc>
        <w:tc>
          <w:tcPr>
            <w:tcW w:w="100" w:type="dxa"/>
            <w:vAlign w:val="bottom"/>
          </w:tcPr>
          <w:p>
            <w:pPr>
              <w:spacing w:after="0"/>
              <w:rPr>
                <w:sz w:val="15"/>
                <w:szCs w:val="15"/>
                <w:color w:val="auto"/>
              </w:rPr>
            </w:pPr>
          </w:p>
        </w:tc>
        <w:tc>
          <w:tcPr>
            <w:tcW w:w="1020" w:type="dxa"/>
            <w:vAlign w:val="bottom"/>
            <w:gridSpan w:val="2"/>
          </w:tcPr>
          <w:p>
            <w:pPr>
              <w:ind w:left="580"/>
              <w:spacing w:after="0"/>
              <w:rPr>
                <w:sz w:val="20"/>
                <w:szCs w:val="20"/>
                <w:color w:val="auto"/>
              </w:rPr>
            </w:pPr>
            <w:r>
              <w:rPr>
                <w:rFonts w:ascii="Arial" w:cs="Arial" w:eastAsia="Arial" w:hAnsi="Arial"/>
                <w:sz w:val="11"/>
                <w:szCs w:val="11"/>
                <w:color w:val="auto"/>
              </w:rPr>
              <w:t>N/A</w:t>
            </w:r>
          </w:p>
        </w:tc>
        <w:tc>
          <w:tcPr>
            <w:tcW w:w="900" w:type="dxa"/>
            <w:vAlign w:val="bottom"/>
          </w:tcPr>
          <w:p>
            <w:pPr>
              <w:jc w:val="right"/>
              <w:ind w:right="106"/>
              <w:spacing w:after="0"/>
              <w:rPr>
                <w:sz w:val="20"/>
                <w:szCs w:val="20"/>
                <w:color w:val="auto"/>
              </w:rPr>
            </w:pPr>
            <w:r>
              <w:rPr>
                <w:rFonts w:ascii="Arial" w:cs="Arial" w:eastAsia="Arial" w:hAnsi="Arial"/>
                <w:sz w:val="11"/>
                <w:szCs w:val="11"/>
                <w:color w:val="auto"/>
              </w:rPr>
              <w:t>7.3:1</w:t>
            </w:r>
          </w:p>
        </w:tc>
        <w:tc>
          <w:tcPr>
            <w:tcW w:w="100" w:type="dxa"/>
            <w:vAlign w:val="bottom"/>
          </w:tcPr>
          <w:p>
            <w:pPr>
              <w:spacing w:after="0"/>
              <w:rPr>
                <w:sz w:val="15"/>
                <w:szCs w:val="15"/>
                <w:color w:val="auto"/>
              </w:rPr>
            </w:pPr>
          </w:p>
        </w:tc>
        <w:tc>
          <w:tcPr>
            <w:tcW w:w="900" w:type="dxa"/>
            <w:vAlign w:val="bottom"/>
          </w:tcPr>
          <w:p>
            <w:pPr>
              <w:jc w:val="right"/>
              <w:ind w:right="86"/>
              <w:spacing w:after="0"/>
              <w:rPr>
                <w:sz w:val="20"/>
                <w:szCs w:val="20"/>
                <w:color w:val="auto"/>
              </w:rPr>
            </w:pPr>
            <w:r>
              <w:rPr>
                <w:rFonts w:ascii="Arial" w:cs="Arial" w:eastAsia="Arial" w:hAnsi="Arial"/>
                <w:sz w:val="11"/>
                <w:szCs w:val="11"/>
                <w:color w:val="auto"/>
              </w:rPr>
              <w:t>N/A</w:t>
            </w:r>
          </w:p>
        </w:tc>
      </w:tr>
      <w:tr>
        <w:trPr>
          <w:trHeight w:val="180"/>
        </w:trPr>
        <w:tc>
          <w:tcPr>
            <w:tcW w:w="900" w:type="dxa"/>
            <w:vAlign w:val="bottom"/>
          </w:tcPr>
          <w:p>
            <w:pPr>
              <w:jc w:val="right"/>
              <w:ind w:right="106"/>
              <w:spacing w:after="0"/>
              <w:rPr>
                <w:sz w:val="20"/>
                <w:szCs w:val="20"/>
                <w:color w:val="auto"/>
              </w:rPr>
            </w:pPr>
            <w:r>
              <w:rPr>
                <w:rFonts w:ascii="Arial" w:cs="Arial" w:eastAsia="Arial" w:hAnsi="Arial"/>
                <w:sz w:val="11"/>
                <w:szCs w:val="11"/>
                <w:color w:val="auto"/>
              </w:rPr>
              <w:t>7.2:1</w:t>
            </w:r>
          </w:p>
        </w:tc>
        <w:tc>
          <w:tcPr>
            <w:tcW w:w="100" w:type="dxa"/>
            <w:vAlign w:val="bottom"/>
          </w:tcPr>
          <w:p>
            <w:pPr>
              <w:spacing w:after="0"/>
              <w:rPr>
                <w:sz w:val="15"/>
                <w:szCs w:val="15"/>
                <w:color w:val="auto"/>
              </w:rPr>
            </w:pPr>
          </w:p>
        </w:tc>
        <w:tc>
          <w:tcPr>
            <w:tcW w:w="900" w:type="dxa"/>
            <w:vAlign w:val="bottom"/>
          </w:tcPr>
          <w:p>
            <w:pPr>
              <w:jc w:val="right"/>
              <w:ind w:right="86"/>
              <w:spacing w:after="0"/>
              <w:rPr>
                <w:sz w:val="20"/>
                <w:szCs w:val="20"/>
                <w:color w:val="auto"/>
              </w:rPr>
            </w:pPr>
            <w:r>
              <w:rPr>
                <w:rFonts w:ascii="Arial" w:cs="Arial" w:eastAsia="Arial" w:hAnsi="Arial"/>
                <w:sz w:val="11"/>
                <w:szCs w:val="11"/>
                <w:color w:val="auto"/>
              </w:rPr>
              <w:t>6.8:1</w:t>
            </w:r>
          </w:p>
        </w:tc>
        <w:tc>
          <w:tcPr>
            <w:tcW w:w="120" w:type="dxa"/>
            <w:vAlign w:val="bottom"/>
          </w:tcPr>
          <w:p>
            <w:pPr>
              <w:spacing w:after="0"/>
              <w:rPr>
                <w:sz w:val="15"/>
                <w:szCs w:val="15"/>
                <w:color w:val="auto"/>
              </w:rPr>
            </w:pPr>
          </w:p>
        </w:tc>
        <w:tc>
          <w:tcPr>
            <w:tcW w:w="900" w:type="dxa"/>
            <w:vAlign w:val="bottom"/>
          </w:tcPr>
          <w:p>
            <w:pPr>
              <w:jc w:val="right"/>
              <w:ind w:right="106"/>
              <w:spacing w:after="0"/>
              <w:rPr>
                <w:sz w:val="20"/>
                <w:szCs w:val="20"/>
                <w:color w:val="auto"/>
              </w:rPr>
            </w:pPr>
            <w:r>
              <w:rPr>
                <w:rFonts w:ascii="Arial" w:cs="Arial" w:eastAsia="Arial" w:hAnsi="Arial"/>
                <w:sz w:val="11"/>
                <w:szCs w:val="11"/>
                <w:color w:val="auto"/>
              </w:rPr>
              <w:t>7.2:1</w:t>
            </w:r>
          </w:p>
        </w:tc>
        <w:tc>
          <w:tcPr>
            <w:tcW w:w="100" w:type="dxa"/>
            <w:vAlign w:val="bottom"/>
          </w:tcPr>
          <w:p>
            <w:pPr>
              <w:spacing w:after="0"/>
              <w:rPr>
                <w:sz w:val="15"/>
                <w:szCs w:val="15"/>
                <w:color w:val="auto"/>
              </w:rPr>
            </w:pPr>
          </w:p>
        </w:tc>
        <w:tc>
          <w:tcPr>
            <w:tcW w:w="900" w:type="dxa"/>
            <w:vAlign w:val="bottom"/>
          </w:tcPr>
          <w:p>
            <w:pPr>
              <w:jc w:val="right"/>
              <w:ind w:right="86"/>
              <w:spacing w:after="0"/>
              <w:rPr>
                <w:sz w:val="20"/>
                <w:szCs w:val="20"/>
                <w:color w:val="auto"/>
              </w:rPr>
            </w:pPr>
            <w:r>
              <w:rPr>
                <w:rFonts w:ascii="Arial" w:cs="Arial" w:eastAsia="Arial" w:hAnsi="Arial"/>
                <w:sz w:val="11"/>
                <w:szCs w:val="11"/>
                <w:color w:val="auto"/>
              </w:rPr>
              <w:t>6.8:1</w:t>
            </w:r>
          </w:p>
        </w:tc>
      </w:tr>
      <w:tr>
        <w:trPr>
          <w:trHeight w:val="180"/>
        </w:trPr>
        <w:tc>
          <w:tcPr>
            <w:tcW w:w="900" w:type="dxa"/>
            <w:vAlign w:val="bottom"/>
          </w:tcPr>
          <w:p>
            <w:pPr>
              <w:jc w:val="right"/>
              <w:ind w:right="106"/>
              <w:spacing w:after="0"/>
              <w:rPr>
                <w:sz w:val="20"/>
                <w:szCs w:val="20"/>
                <w:color w:val="auto"/>
              </w:rPr>
            </w:pPr>
            <w:r>
              <w:rPr>
                <w:rFonts w:ascii="Arial" w:cs="Arial" w:eastAsia="Arial" w:hAnsi="Arial"/>
                <w:sz w:val="11"/>
                <w:szCs w:val="11"/>
                <w:color w:val="auto"/>
              </w:rPr>
              <w:t>7.7:1</w:t>
            </w:r>
          </w:p>
        </w:tc>
        <w:tc>
          <w:tcPr>
            <w:tcW w:w="100" w:type="dxa"/>
            <w:vAlign w:val="bottom"/>
          </w:tcPr>
          <w:p>
            <w:pPr>
              <w:spacing w:after="0"/>
              <w:rPr>
                <w:sz w:val="15"/>
                <w:szCs w:val="15"/>
                <w:color w:val="auto"/>
              </w:rPr>
            </w:pPr>
          </w:p>
        </w:tc>
        <w:tc>
          <w:tcPr>
            <w:tcW w:w="1020" w:type="dxa"/>
            <w:vAlign w:val="bottom"/>
            <w:gridSpan w:val="2"/>
          </w:tcPr>
          <w:p>
            <w:pPr>
              <w:ind w:left="580"/>
              <w:spacing w:after="0"/>
              <w:rPr>
                <w:sz w:val="20"/>
                <w:szCs w:val="20"/>
                <w:color w:val="auto"/>
              </w:rPr>
            </w:pPr>
            <w:r>
              <w:rPr>
                <w:rFonts w:ascii="Arial" w:cs="Arial" w:eastAsia="Arial" w:hAnsi="Arial"/>
                <w:sz w:val="11"/>
                <w:szCs w:val="11"/>
                <w:color w:val="auto"/>
              </w:rPr>
              <w:t>N/A</w:t>
            </w:r>
          </w:p>
        </w:tc>
        <w:tc>
          <w:tcPr>
            <w:tcW w:w="900" w:type="dxa"/>
            <w:vAlign w:val="bottom"/>
          </w:tcPr>
          <w:p>
            <w:pPr>
              <w:jc w:val="right"/>
              <w:ind w:right="106"/>
              <w:spacing w:after="0"/>
              <w:rPr>
                <w:sz w:val="20"/>
                <w:szCs w:val="20"/>
                <w:color w:val="auto"/>
              </w:rPr>
            </w:pPr>
            <w:r>
              <w:rPr>
                <w:rFonts w:ascii="Arial" w:cs="Arial" w:eastAsia="Arial" w:hAnsi="Arial"/>
                <w:sz w:val="11"/>
                <w:szCs w:val="11"/>
                <w:color w:val="auto"/>
              </w:rPr>
              <w:t>7.7:1</w:t>
            </w:r>
          </w:p>
        </w:tc>
        <w:tc>
          <w:tcPr>
            <w:tcW w:w="100" w:type="dxa"/>
            <w:vAlign w:val="bottom"/>
          </w:tcPr>
          <w:p>
            <w:pPr>
              <w:spacing w:after="0"/>
              <w:rPr>
                <w:sz w:val="15"/>
                <w:szCs w:val="15"/>
                <w:color w:val="auto"/>
              </w:rPr>
            </w:pPr>
          </w:p>
        </w:tc>
        <w:tc>
          <w:tcPr>
            <w:tcW w:w="900" w:type="dxa"/>
            <w:vAlign w:val="bottom"/>
          </w:tcPr>
          <w:p>
            <w:pPr>
              <w:jc w:val="right"/>
              <w:ind w:right="86"/>
              <w:spacing w:after="0"/>
              <w:rPr>
                <w:sz w:val="20"/>
                <w:szCs w:val="20"/>
                <w:color w:val="auto"/>
              </w:rPr>
            </w:pPr>
            <w:r>
              <w:rPr>
                <w:rFonts w:ascii="Arial" w:cs="Arial" w:eastAsia="Arial" w:hAnsi="Arial"/>
                <w:sz w:val="11"/>
                <w:szCs w:val="11"/>
                <w:color w:val="auto"/>
              </w:rPr>
              <w:t>N/A</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0.10 %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0.25 %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0.20 %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0.23 %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0.09 %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0.21 %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0.18 %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0.21 %</w:t>
            </w:r>
          </w:p>
        </w:tc>
      </w:tr>
      <w:tr>
        <w:trPr>
          <w:trHeight w:val="180"/>
        </w:trPr>
        <w:tc>
          <w:tcPr>
            <w:tcW w:w="900" w:type="dxa"/>
            <w:vAlign w:val="bottom"/>
          </w:tcPr>
          <w:p>
            <w:pPr>
              <w:jc w:val="right"/>
              <w:spacing w:after="0"/>
              <w:rPr>
                <w:sz w:val="20"/>
                <w:szCs w:val="20"/>
                <w:color w:val="auto"/>
              </w:rPr>
            </w:pPr>
            <w:r>
              <w:rPr>
                <w:rFonts w:ascii="Arial" w:cs="Arial" w:eastAsia="Arial" w:hAnsi="Arial"/>
                <w:sz w:val="11"/>
                <w:szCs w:val="11"/>
                <w:color w:val="auto"/>
              </w:rPr>
              <w:t>0.76 %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1.57 %</w:t>
            </w:r>
          </w:p>
        </w:tc>
        <w:tc>
          <w:tcPr>
            <w:tcW w:w="12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1.51 %</w:t>
            </w:r>
          </w:p>
        </w:tc>
        <w:tc>
          <w:tcPr>
            <w:tcW w:w="100" w:type="dxa"/>
            <w:vAlign w:val="bottom"/>
          </w:tcPr>
          <w:p>
            <w:pPr>
              <w:spacing w:after="0"/>
              <w:rPr>
                <w:sz w:val="15"/>
                <w:szCs w:val="15"/>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1.57 %</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-4371975</wp:posOffset>
            </wp:positionH>
            <wp:positionV relativeFrom="paragraph">
              <wp:posOffset>-2501900</wp:posOffset>
            </wp:positionV>
            <wp:extent cx="6863080" cy="1143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-2273300</wp:posOffset>
            </wp:positionV>
            <wp:extent cx="6863080" cy="1143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-2044065</wp:posOffset>
            </wp:positionV>
            <wp:extent cx="6863080" cy="1143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-1815465</wp:posOffset>
            </wp:positionV>
            <wp:extent cx="6863080" cy="1143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-1586865</wp:posOffset>
            </wp:positionV>
            <wp:extent cx="6863080" cy="1143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-1358265</wp:posOffset>
            </wp:positionV>
            <wp:extent cx="6863080" cy="1143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-1129030</wp:posOffset>
            </wp:positionV>
            <wp:extent cx="6863080" cy="1143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-900430</wp:posOffset>
            </wp:positionV>
            <wp:extent cx="6863080" cy="1143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-671830</wp:posOffset>
            </wp:positionV>
            <wp:extent cx="6863080" cy="1143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-443230</wp:posOffset>
            </wp:positionV>
            <wp:extent cx="6863080" cy="1143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-213995</wp:posOffset>
            </wp:positionV>
            <wp:extent cx="6863080" cy="1143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863080" cy="114300"/>
                    </a:xfrm>
                    <a:prstGeom prst="rect">
                      <a:avLst/>
                    </a:prstGeom>
                    <a:noFill/>
                  </pic:spPr>
                </pic:pic>
              </a:graphicData>
            </a:graphic>
          </wp:anchor>
        </w:drawing>
        <w:drawing>
          <wp:anchor simplePos="0" relativeHeight="251657728" behindDoc="1" locked="0" layoutInCell="0" allowOverlap="1">
            <wp:simplePos x="0" y="0"/>
            <wp:positionH relativeFrom="column">
              <wp:posOffset>-4371975</wp:posOffset>
            </wp:positionH>
            <wp:positionV relativeFrom="paragraph">
              <wp:posOffset>-2730500</wp:posOffset>
            </wp:positionV>
            <wp:extent cx="6863080" cy="1143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863080" cy="114300"/>
                    </a:xfrm>
                    <a:prstGeom prst="rect">
                      <a:avLst/>
                    </a:prstGeom>
                    <a:noFill/>
                  </pic:spPr>
                </pic:pic>
              </a:graphicData>
            </a:graphic>
          </wp:anchor>
        </w:drawing>
      </w:r>
    </w:p>
    <w:p>
      <w:pPr>
        <w:spacing w:after="0" w:line="175" w:lineRule="exact"/>
        <w:rPr>
          <w:sz w:val="20"/>
          <w:szCs w:val="20"/>
          <w:color w:val="auto"/>
        </w:rPr>
      </w:pPr>
    </w:p>
    <w:p>
      <w:pPr>
        <w:sectPr>
          <w:pgSz w:w="11900" w:h="16838" w:orient="portrait"/>
          <w:cols w:equalWidth="0" w:num="2">
            <w:col w:w="6160" w:space="720"/>
            <w:col w:w="3920"/>
          </w:cols>
          <w:pgMar w:left="560" w:top="584" w:right="539" w:bottom="1440" w:gutter="0" w:footer="0" w:header="0"/>
          <w:type w:val="continuous"/>
        </w:sectPr>
      </w:pPr>
    </w:p>
    <w:p>
      <w:pPr>
        <w:jc w:val="center"/>
        <w:spacing w:after="0"/>
        <w:rPr>
          <w:sz w:val="20"/>
          <w:szCs w:val="20"/>
          <w:color w:val="auto"/>
        </w:rPr>
      </w:pPr>
      <w:r>
        <w:rPr>
          <w:rFonts w:ascii="Arial" w:cs="Arial" w:eastAsia="Arial" w:hAnsi="Arial"/>
          <w:sz w:val="10"/>
          <w:szCs w:val="10"/>
          <w:color w:val="auto"/>
        </w:rPr>
        <w:t>37</w:t>
      </w:r>
    </w:p>
    <w:p>
      <w:pPr>
        <w:sectPr>
          <w:pgSz w:w="11900" w:h="16838" w:orient="portrait"/>
          <w:cols w:equalWidth="0" w:num="1">
            <w:col w:w="10800"/>
          </w:cols>
          <w:pgMar w:left="560" w:top="584" w:right="539" w:bottom="1440" w:gutter="0" w:footer="0" w:header="0"/>
          <w:type w:val="continuous"/>
        </w:sectPr>
      </w:pPr>
    </w:p>
    <w:bookmarkStart w:id="38" w:name="page39"/>
    <w:bookmarkEnd w:id="38"/>
    <w:p>
      <w:pPr>
        <w:spacing w:after="0"/>
        <w:rPr>
          <w:sz w:val="20"/>
          <w:szCs w:val="20"/>
          <w:color w:val="auto"/>
        </w:rPr>
      </w:pPr>
      <w:r>
        <w:rPr>
          <w:rFonts w:ascii="Arial" w:cs="Arial" w:eastAsia="Arial" w:hAnsi="Arial"/>
          <w:sz w:val="10"/>
          <w:szCs w:val="10"/>
          <w:color w:val="auto"/>
        </w:rPr>
        <w:t>_______________________</w:t>
      </w:r>
    </w:p>
    <w:p>
      <w:pPr>
        <w:spacing w:after="0" w:line="1" w:lineRule="exact"/>
        <w:rPr>
          <w:sz w:val="20"/>
          <w:szCs w:val="20"/>
          <w:color w:val="auto"/>
        </w:rPr>
      </w:pPr>
    </w:p>
    <w:p>
      <w:pPr>
        <w:ind w:left="200" w:right="5700" w:firstLine="8"/>
        <w:spacing w:after="0" w:line="231" w:lineRule="auto"/>
        <w:tabs>
          <w:tab w:leader="none" w:pos="272" w:val="left"/>
        </w:tabs>
        <w:numPr>
          <w:ilvl w:val="0"/>
          <w:numId w:val="24"/>
        </w:numPr>
        <w:rPr>
          <w:rFonts w:ascii="Arial" w:cs="Arial" w:eastAsia="Arial" w:hAnsi="Arial"/>
          <w:sz w:val="10"/>
          <w:szCs w:val="10"/>
          <w:color w:val="auto"/>
        </w:rPr>
      </w:pPr>
      <w:r>
        <w:rPr>
          <w:rFonts w:ascii="Arial" w:cs="Arial" w:eastAsia="Arial" w:hAnsi="Arial"/>
          <w:sz w:val="10"/>
          <w:szCs w:val="10"/>
          <w:color w:val="auto"/>
        </w:rPr>
        <w:t>Except as noted below, average numbers for each period are weighted based on days on our books and records. All percentages are annualized. N/A - Not applicable</w:t>
      </w:r>
    </w:p>
    <w:p>
      <w:pPr>
        <w:spacing w:after="0" w:line="95" w:lineRule="exact"/>
        <w:rPr>
          <w:sz w:val="20"/>
          <w:szCs w:val="20"/>
          <w:color w:val="auto"/>
        </w:rPr>
      </w:pPr>
    </w:p>
    <w:p>
      <w:pPr>
        <w:ind w:left="420" w:hanging="212"/>
        <w:spacing w:after="0"/>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Net asset value per common share is calculated as our total stockholders' equity, less our Series A and Series B Preferred Stock aggregate liquidation preference, divided by our number of common shares outstanding as of period end.</w:t>
      </w:r>
    </w:p>
    <w:p>
      <w:pPr>
        <w:spacing w:after="0" w:line="1" w:lineRule="exact"/>
        <w:rPr>
          <w:rFonts w:ascii="Arial" w:cs="Arial" w:eastAsia="Arial" w:hAnsi="Arial"/>
          <w:sz w:val="10"/>
          <w:szCs w:val="10"/>
          <w:color w:val="auto"/>
        </w:rPr>
      </w:pPr>
    </w:p>
    <w:p>
      <w:pPr>
        <w:ind w:left="420" w:hanging="212"/>
        <w:spacing w:after="0" w:line="225"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Tangible net asset value per common share excludes goodwill and other intangible assets, net.</w:t>
      </w:r>
    </w:p>
    <w:p>
      <w:pPr>
        <w:ind w:left="640" w:right="20" w:hanging="432"/>
        <w:spacing w:after="0" w:line="225" w:lineRule="auto"/>
        <w:tabs>
          <w:tab w:leader="none" w:pos="424" w:val="left"/>
        </w:tabs>
        <w:numPr>
          <w:ilvl w:val="0"/>
          <w:numId w:val="25"/>
        </w:numPr>
        <w:rPr>
          <w:rFonts w:ascii="Arial" w:cs="Arial" w:eastAsia="Arial" w:hAnsi="Arial"/>
          <w:sz w:val="10"/>
          <w:szCs w:val="10"/>
          <w:color w:val="auto"/>
        </w:rPr>
      </w:pPr>
      <w:r>
        <w:rPr>
          <w:rFonts w:ascii="Arial" w:cs="Arial" w:eastAsia="Arial" w:hAnsi="Arial"/>
          <w:sz w:val="10"/>
          <w:szCs w:val="10"/>
          <w:color w:val="auto"/>
        </w:rPr>
        <w:t xml:space="preserve">We voluntarily discontinued hedge accounting for our interest rate swaps as of September 30, 2011. Please refer to our </w:t>
      </w:r>
      <w:r>
        <w:rPr>
          <w:rFonts w:ascii="Arial" w:cs="Arial" w:eastAsia="Arial" w:hAnsi="Arial"/>
          <w:sz w:val="10"/>
          <w:szCs w:val="10"/>
          <w:i w:val="1"/>
          <w:iCs w:val="1"/>
          <w:color w:val="auto"/>
        </w:rPr>
        <w:t>Interest Expense and Cost of Funds</w:t>
      </w:r>
      <w:r>
        <w:rPr>
          <w:rFonts w:ascii="Arial" w:cs="Arial" w:eastAsia="Arial" w:hAnsi="Arial"/>
          <w:sz w:val="10"/>
          <w:szCs w:val="10"/>
          <w:color w:val="auto"/>
        </w:rPr>
        <w:t xml:space="preserve"> discussion in </w:t>
      </w:r>
      <w:r>
        <w:rPr>
          <w:rFonts w:ascii="Arial" w:cs="Arial" w:eastAsia="Arial" w:hAnsi="Arial"/>
          <w:sz w:val="10"/>
          <w:szCs w:val="10"/>
          <w:i w:val="1"/>
          <w:iCs w:val="1"/>
          <w:color w:val="auto"/>
        </w:rPr>
        <w:t>Management's Discussion and Analysis of Financial Condition and Results of Operations</w:t>
      </w:r>
      <w:r>
        <w:rPr>
          <w:rFonts w:ascii="Arial" w:cs="Arial" w:eastAsia="Arial" w:hAnsi="Arial"/>
          <w:sz w:val="10"/>
          <w:szCs w:val="10"/>
          <w:color w:val="auto"/>
        </w:rPr>
        <w:t xml:space="preserve"> and Notes 3 and 6 of our </w:t>
      </w:r>
      <w:r>
        <w:rPr>
          <w:rFonts w:ascii="Arial" w:cs="Arial" w:eastAsia="Arial" w:hAnsi="Arial"/>
          <w:sz w:val="10"/>
          <w:szCs w:val="10"/>
          <w:i w:val="1"/>
          <w:iCs w:val="1"/>
          <w:color w:val="auto"/>
        </w:rPr>
        <w:t xml:space="preserve">Consolidated Financial Statements </w:t>
      </w:r>
      <w:r>
        <w:rPr>
          <w:rFonts w:ascii="Arial" w:cs="Arial" w:eastAsia="Arial" w:hAnsi="Arial"/>
          <w:sz w:val="10"/>
          <w:szCs w:val="10"/>
          <w:color w:val="auto"/>
        </w:rPr>
        <w:t>in this Quarterly Report on Form 10-Q for additional information regarding our discontinuance of hedge accounting.</w:t>
      </w:r>
    </w:p>
    <w:p>
      <w:pPr>
        <w:ind w:left="420" w:hanging="212"/>
        <w:spacing w:after="0" w:line="225"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mortgage borrowings include agency repo, FHLB advances and debt of consolidated VIEs. Amount excludes U.S. Treasury repo agreements and TBA contracts.</w:t>
      </w:r>
    </w:p>
    <w:p>
      <w:pPr>
        <w:ind w:left="420" w:hanging="212"/>
        <w:spacing w:after="0" w:line="225"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stockholders' equity calculated as our average month-end stockholders' equity during the period.</w:t>
      </w:r>
    </w:p>
    <w:p>
      <w:pPr>
        <w:ind w:left="420" w:hanging="212"/>
        <w:spacing w:after="0" w:line="225"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coupon for the period was calculated by dividing our total coupon (or cash) interest income on investment securities by our average investment securities held at par.</w:t>
      </w:r>
    </w:p>
    <w:p>
      <w:pPr>
        <w:ind w:left="420" w:hanging="212"/>
        <w:spacing w:after="0" w:line="225"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asset yield for the period was calculated by dividing our total cash interest income on investment securities, adjusted for amortization of premiums and discounts, by our average amortized cost of investment securities held.</w:t>
      </w:r>
    </w:p>
    <w:p>
      <w:pPr>
        <w:ind w:left="640" w:hanging="432"/>
        <w:spacing w:after="0" w:line="225" w:lineRule="auto"/>
        <w:tabs>
          <w:tab w:leader="none" w:pos="424"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cost of funds includes mortgage borrowings and interest rate swap periodic costs. Amount excludes interest rate swap termination fees, forward starting swaps and costs associated with other supplemental hedges, such as interest rate swaptions and U.S. Treasury positions. Average cost of funds for the period was calculated by dividing our total cost of funds by our average mortgage borrowings outstanding for the period.</w:t>
      </w:r>
    </w:p>
    <w:p>
      <w:pPr>
        <w:ind w:left="420" w:hanging="212"/>
        <w:spacing w:after="0" w:line="225"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TBA dollar roll income / (loss) is net of short TBAs used for hedging purposes. Dollar roll income excludes the impact of other supplemental hedges, and is recognized in gain (loss) on derivative instruments and other securities, net.</w:t>
      </w:r>
    </w:p>
    <w:p>
      <w:pPr>
        <w:ind w:left="420" w:hanging="212"/>
        <w:spacing w:after="0" w:line="225"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cost of funds as of period end includes mortgage borrowings outstanding and interest rate swap hedges. Amount excludes costs associated with other supplemental hedges such as swaptions, U.S. Treasuries and TBA positions.</w:t>
      </w:r>
    </w:p>
    <w:p>
      <w:pPr>
        <w:ind w:left="640" w:hanging="432"/>
        <w:spacing w:after="0" w:line="225" w:lineRule="auto"/>
        <w:tabs>
          <w:tab w:leader="none" w:pos="424" w:val="left"/>
        </w:tabs>
        <w:numPr>
          <w:ilvl w:val="0"/>
          <w:numId w:val="25"/>
        </w:numPr>
        <w:rPr>
          <w:rFonts w:ascii="Arial" w:cs="Arial" w:eastAsia="Arial" w:hAnsi="Arial"/>
          <w:sz w:val="10"/>
          <w:szCs w:val="10"/>
          <w:color w:val="auto"/>
        </w:rPr>
      </w:pPr>
      <w:r>
        <w:rPr>
          <w:rFonts w:ascii="Arial" w:cs="Arial" w:eastAsia="Arial" w:hAnsi="Arial"/>
          <w:sz w:val="10"/>
          <w:szCs w:val="10"/>
          <w:color w:val="auto"/>
        </w:rPr>
        <w:t>Net comprehensive income (loss) return on average common equity for the period was calculated by dividing our comprehensive income/(loss) available /(attributable) to common stockholders by our average stockholders' equity, net of the Series A and Series B Preferred Stock aggregate liquidation preference.</w:t>
      </w:r>
    </w:p>
    <w:p>
      <w:pPr>
        <w:ind w:left="420" w:hanging="212"/>
        <w:spacing w:after="0" w:line="225"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Economic return (loss) on common equity represents the sum of the change in our net asset value per common share and our dividends declared on common stock during the period over our beginning net asset value per common share.</w:t>
      </w:r>
    </w:p>
    <w:p>
      <w:pPr>
        <w:ind w:left="640" w:hanging="432"/>
        <w:spacing w:after="0" w:line="225" w:lineRule="auto"/>
        <w:tabs>
          <w:tab w:leader="none" w:pos="424"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"at risk" leverage is calculated by dividing the sum of our daily weighted average mortgage borrowings outstanding and our weighted average net TBA dollar position (at cost) for the period by the sum of our average stockholders' equity less our average investment in REIT equity securities for the period. Leverage excludes U.S. Treasury repurchase agreements.</w:t>
      </w:r>
    </w:p>
    <w:p>
      <w:pPr>
        <w:ind w:left="640" w:right="20" w:hanging="432"/>
        <w:spacing w:after="0" w:line="225" w:lineRule="auto"/>
        <w:tabs>
          <w:tab w:leader="none" w:pos="424" w:val="left"/>
        </w:tabs>
        <w:numPr>
          <w:ilvl w:val="0"/>
          <w:numId w:val="25"/>
        </w:numPr>
        <w:rPr>
          <w:rFonts w:ascii="Arial" w:cs="Arial" w:eastAsia="Arial" w:hAnsi="Arial"/>
          <w:sz w:val="10"/>
          <w:szCs w:val="10"/>
          <w:color w:val="auto"/>
        </w:rPr>
      </w:pPr>
      <w:r>
        <w:rPr>
          <w:rFonts w:ascii="Arial" w:cs="Arial" w:eastAsia="Arial" w:hAnsi="Arial"/>
          <w:sz w:val="10"/>
          <w:szCs w:val="10"/>
          <w:color w:val="auto"/>
        </w:rPr>
        <w:t>"At risk" leverage as of period end is calculated by dividing the sum of our mortgage borrowings outstanding, our receivable / payable for unsettled investment securities and our net TBA dollar roll position outstanding as of period end (at cost) by the sum of our total stockholders' equity less the fair value of investments in REIT equity securities at period end. Leverage excludes U.S. Treasury repurchase agreements.</w:t>
      </w:r>
    </w:p>
    <w:p>
      <w:pPr>
        <w:ind w:left="420" w:hanging="212"/>
        <w:spacing w:after="0" w:line="236"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Tangible net book value "at risk" leverage includes the components of "at risk" leverage, with stockholders' equity adjusted to exclude goodwill and other intangible assets, net.</w:t>
      </w:r>
    </w:p>
    <w:p>
      <w:pPr>
        <w:spacing w:after="0" w:line="9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Interest Income and Asset Yield</w:t>
      </w:r>
    </w:p>
    <w:p>
      <w:pPr>
        <w:spacing w:after="0" w:line="114"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our interest income for the three and nine months ended September 30, 2016 and 2015 (dollars in millions):</w:t>
      </w:r>
    </w:p>
    <w:p>
      <w:pPr>
        <w:spacing w:after="0" w:line="262" w:lineRule="exact"/>
        <w:rPr>
          <w:sz w:val="20"/>
          <w:szCs w:val="20"/>
          <w:color w:val="auto"/>
        </w:rPr>
      </w:pPr>
    </w:p>
    <w:tbl>
      <w:tblPr>
        <w:tblLayout w:type="fixed"/>
        <w:tblInd w:w="20" w:type="dxa"/>
        <w:tblCellMar>
          <w:top w:w="0" w:type="dxa"/>
          <w:left w:w="0" w:type="dxa"/>
          <w:bottom w:w="0" w:type="dxa"/>
          <w:right w:w="0" w:type="dxa"/>
        </w:tblCellMar>
      </w:tblPr>
      <w:tr>
        <w:trPr>
          <w:trHeight w:val="128"/>
        </w:trPr>
        <w:tc>
          <w:tcPr>
            <w:tcW w:w="424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920" w:type="dxa"/>
            <w:vAlign w:val="bottom"/>
            <w:tcBorders>
              <w:bottom w:val="single" w:sz="8" w:color="auto"/>
            </w:tcBorders>
            <w:gridSpan w:val="6"/>
          </w:tcPr>
          <w:p>
            <w:pPr>
              <w:jc w:val="right"/>
              <w:ind w:right="400"/>
              <w:spacing w:after="0"/>
              <w:rPr>
                <w:sz w:val="20"/>
                <w:szCs w:val="20"/>
                <w:color w:val="auto"/>
              </w:rPr>
            </w:pPr>
            <w:r>
              <w:rPr>
                <w:rFonts w:ascii="Arial" w:cs="Arial" w:eastAsia="Arial" w:hAnsi="Arial"/>
                <w:sz w:val="10"/>
                <w:szCs w:val="10"/>
                <w:b w:val="1"/>
                <w:bCs w:val="1"/>
                <w:color w:val="auto"/>
                <w:w w:val="88"/>
              </w:rPr>
              <w:t>Three Months Ended September 30,</w:t>
            </w:r>
          </w:p>
        </w:tc>
        <w:tc>
          <w:tcPr>
            <w:tcW w:w="64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560" w:type="dxa"/>
            <w:vAlign w:val="bottom"/>
            <w:tcBorders>
              <w:bottom w:val="single" w:sz="8" w:color="auto"/>
            </w:tcBorders>
            <w:gridSpan w:val="4"/>
          </w:tcPr>
          <w:p>
            <w:pPr>
              <w:jc w:val="right"/>
              <w:ind w:right="32"/>
              <w:spacing w:after="0"/>
              <w:rPr>
                <w:sz w:val="20"/>
                <w:szCs w:val="20"/>
                <w:color w:val="auto"/>
              </w:rPr>
            </w:pPr>
            <w:r>
              <w:rPr>
                <w:rFonts w:ascii="Arial" w:cs="Arial" w:eastAsia="Arial" w:hAnsi="Arial"/>
                <w:sz w:val="10"/>
                <w:szCs w:val="10"/>
                <w:b w:val="1"/>
                <w:bCs w:val="1"/>
                <w:color w:val="auto"/>
                <w:w w:val="88"/>
              </w:rPr>
              <w:t>Nine Months Ended September 30,</w:t>
            </w:r>
          </w:p>
        </w:tc>
        <w:tc>
          <w:tcPr>
            <w:tcW w:w="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spacing w:after="0"/>
              <w:rPr>
                <w:sz w:val="11"/>
                <w:szCs w:val="11"/>
                <w:color w:val="auto"/>
              </w:rPr>
            </w:pPr>
          </w:p>
        </w:tc>
      </w:tr>
      <w:tr>
        <w:trPr>
          <w:trHeight w:val="169"/>
        </w:trPr>
        <w:tc>
          <w:tcPr>
            <w:tcW w:w="42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gridSpan w:val="3"/>
          </w:tcPr>
          <w:p>
            <w:pPr>
              <w:jc w:val="right"/>
              <w:ind w:right="40"/>
              <w:spacing w:after="0"/>
              <w:rPr>
                <w:sz w:val="20"/>
                <w:szCs w:val="20"/>
                <w:color w:val="auto"/>
              </w:rPr>
            </w:pPr>
            <w:r>
              <w:rPr>
                <w:rFonts w:ascii="Arial" w:cs="Arial" w:eastAsia="Arial" w:hAnsi="Arial"/>
                <w:sz w:val="10"/>
                <w:szCs w:val="10"/>
                <w:b w:val="1"/>
                <w:bCs w:val="1"/>
                <w:color w:val="auto"/>
              </w:rPr>
              <w:t>2016</w:t>
            </w:r>
          </w:p>
        </w:tc>
        <w:tc>
          <w:tcPr>
            <w:tcW w:w="7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gridSpan w:val="3"/>
          </w:tcPr>
          <w:p>
            <w:pPr>
              <w:jc w:val="right"/>
              <w:ind w:right="120"/>
              <w:spacing w:after="0"/>
              <w:rPr>
                <w:sz w:val="20"/>
                <w:szCs w:val="20"/>
                <w:color w:val="auto"/>
              </w:rPr>
            </w:pPr>
            <w:r>
              <w:rPr>
                <w:rFonts w:ascii="Arial" w:cs="Arial" w:eastAsia="Arial" w:hAnsi="Arial"/>
                <w:sz w:val="10"/>
                <w:szCs w:val="10"/>
                <w:b w:val="1"/>
                <w:bCs w:val="1"/>
                <w:color w:val="auto"/>
              </w:rPr>
              <w:t>2015</w:t>
            </w:r>
          </w:p>
        </w:tc>
        <w:tc>
          <w:tcPr>
            <w:tcW w:w="6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gridSpan w:val="3"/>
          </w:tcPr>
          <w:p>
            <w:pPr>
              <w:jc w:val="right"/>
              <w:ind w:right="60"/>
              <w:spacing w:after="0"/>
              <w:rPr>
                <w:sz w:val="20"/>
                <w:szCs w:val="20"/>
                <w:color w:val="auto"/>
              </w:rPr>
            </w:pPr>
            <w:r>
              <w:rPr>
                <w:rFonts w:ascii="Arial" w:cs="Arial" w:eastAsia="Arial" w:hAnsi="Arial"/>
                <w:sz w:val="10"/>
                <w:szCs w:val="10"/>
                <w:b w:val="1"/>
                <w:bCs w:val="1"/>
                <w:color w:val="auto"/>
              </w:rPr>
              <w:t>2016</w:t>
            </w:r>
          </w:p>
        </w:tc>
        <w:tc>
          <w:tcPr>
            <w:tcW w:w="7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gridSpan w:val="3"/>
          </w:tcPr>
          <w:p>
            <w:pPr>
              <w:jc w:val="right"/>
              <w:ind w:right="712"/>
              <w:spacing w:after="0"/>
              <w:rPr>
                <w:sz w:val="20"/>
                <w:szCs w:val="20"/>
                <w:color w:val="auto"/>
              </w:rPr>
            </w:pPr>
            <w:r>
              <w:rPr>
                <w:rFonts w:ascii="Arial" w:cs="Arial" w:eastAsia="Arial" w:hAnsi="Arial"/>
                <w:sz w:val="10"/>
                <w:szCs w:val="10"/>
                <w:b w:val="1"/>
                <w:bCs w:val="1"/>
                <w:color w:val="auto"/>
                <w:w w:val="80"/>
              </w:rPr>
              <w:t>2015</w:t>
            </w:r>
          </w:p>
        </w:tc>
      </w:tr>
      <w:tr>
        <w:trPr>
          <w:trHeight w:val="169"/>
        </w:trPr>
        <w:tc>
          <w:tcPr>
            <w:tcW w:w="42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Amount</w:t>
            </w:r>
          </w:p>
        </w:tc>
        <w:tc>
          <w:tcPr>
            <w:tcW w:w="1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252"/>
              <w:spacing w:after="0"/>
              <w:rPr>
                <w:sz w:val="20"/>
                <w:szCs w:val="20"/>
                <w:color w:val="auto"/>
              </w:rPr>
            </w:pPr>
            <w:r>
              <w:rPr>
                <w:rFonts w:ascii="Arial" w:cs="Arial" w:eastAsia="Arial" w:hAnsi="Arial"/>
                <w:sz w:val="10"/>
                <w:szCs w:val="10"/>
                <w:b w:val="1"/>
                <w:bCs w:val="1"/>
                <w:color w:val="auto"/>
              </w:rPr>
              <w:t>Yield</w:t>
            </w:r>
          </w:p>
        </w:tc>
        <w:tc>
          <w:tcPr>
            <w:tcW w:w="1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Amount</w:t>
            </w:r>
          </w:p>
        </w:tc>
        <w:tc>
          <w:tcPr>
            <w:tcW w:w="10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252"/>
              <w:spacing w:after="0"/>
              <w:rPr>
                <w:sz w:val="20"/>
                <w:szCs w:val="20"/>
                <w:color w:val="auto"/>
              </w:rPr>
            </w:pPr>
            <w:r>
              <w:rPr>
                <w:rFonts w:ascii="Arial" w:cs="Arial" w:eastAsia="Arial" w:hAnsi="Arial"/>
                <w:sz w:val="10"/>
                <w:szCs w:val="10"/>
                <w:b w:val="1"/>
                <w:bCs w:val="1"/>
                <w:color w:val="auto"/>
              </w:rPr>
              <w:t>Yield</w:t>
            </w:r>
          </w:p>
        </w:tc>
        <w:tc>
          <w:tcPr>
            <w:tcW w:w="1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Amount</w:t>
            </w:r>
          </w:p>
        </w:tc>
        <w:tc>
          <w:tcPr>
            <w:tcW w:w="1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52"/>
              <w:spacing w:after="0"/>
              <w:rPr>
                <w:sz w:val="20"/>
                <w:szCs w:val="20"/>
                <w:color w:val="auto"/>
              </w:rPr>
            </w:pPr>
            <w:r>
              <w:rPr>
                <w:rFonts w:ascii="Arial" w:cs="Arial" w:eastAsia="Arial" w:hAnsi="Arial"/>
                <w:sz w:val="10"/>
                <w:szCs w:val="10"/>
                <w:b w:val="1"/>
                <w:bCs w:val="1"/>
                <w:color w:val="auto"/>
              </w:rPr>
              <w:t>Yield</w:t>
            </w:r>
          </w:p>
        </w:tc>
        <w:tc>
          <w:tcPr>
            <w:tcW w:w="1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b w:val="1"/>
                <w:bCs w:val="1"/>
                <w:color w:val="auto"/>
              </w:rPr>
              <w:t>Amount</w:t>
            </w:r>
          </w:p>
        </w:tc>
        <w:tc>
          <w:tcPr>
            <w:tcW w:w="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tcBorders>
              <w:bottom w:val="single" w:sz="8" w:color="auto"/>
            </w:tcBorders>
          </w:tcPr>
          <w:p>
            <w:pPr>
              <w:jc w:val="right"/>
              <w:ind w:right="252"/>
              <w:spacing w:after="0"/>
              <w:rPr>
                <w:sz w:val="20"/>
                <w:szCs w:val="20"/>
                <w:color w:val="auto"/>
              </w:rPr>
            </w:pPr>
            <w:r>
              <w:rPr>
                <w:rFonts w:ascii="Arial" w:cs="Arial" w:eastAsia="Arial" w:hAnsi="Arial"/>
                <w:sz w:val="10"/>
                <w:szCs w:val="10"/>
                <w:b w:val="1"/>
                <w:bCs w:val="1"/>
                <w:color w:val="auto"/>
              </w:rPr>
              <w:t>Yield</w:t>
            </w:r>
          </w:p>
        </w:tc>
      </w:tr>
      <w:tr>
        <w:trPr>
          <w:trHeight w:val="160"/>
        </w:trPr>
        <w:tc>
          <w:tcPr>
            <w:tcW w:w="4240" w:type="dxa"/>
            <w:vAlign w:val="bottom"/>
          </w:tcPr>
          <w:p>
            <w:pPr>
              <w:ind w:left="20"/>
              <w:spacing w:after="0"/>
              <w:rPr>
                <w:sz w:val="20"/>
                <w:szCs w:val="20"/>
                <w:color w:val="auto"/>
              </w:rPr>
            </w:pPr>
            <w:r>
              <w:rPr>
                <w:rFonts w:ascii="Arial" w:cs="Arial" w:eastAsia="Arial" w:hAnsi="Arial"/>
                <w:sz w:val="10"/>
                <w:szCs w:val="10"/>
                <w:color w:val="auto"/>
              </w:rPr>
              <w:t>Cash/coupon interest income</w:t>
            </w: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ind w:right="72"/>
              <w:spacing w:after="0"/>
              <w:rPr>
                <w:sz w:val="20"/>
                <w:szCs w:val="20"/>
                <w:color w:val="auto"/>
              </w:rPr>
            </w:pPr>
            <w:r>
              <w:rPr>
                <w:rFonts w:ascii="Arial" w:cs="Arial" w:eastAsia="Arial" w:hAnsi="Arial"/>
                <w:sz w:val="10"/>
                <w:szCs w:val="10"/>
                <w:color w:val="auto"/>
              </w:rPr>
              <w:t>425</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3.65 %</w:t>
            </w:r>
          </w:p>
        </w:tc>
        <w:tc>
          <w:tcPr>
            <w:tcW w:w="100" w:type="dxa"/>
            <w:vAlign w:val="bottom"/>
          </w:tcPr>
          <w:p>
            <w:pPr>
              <w:spacing w:after="0"/>
              <w:rPr>
                <w:sz w:val="13"/>
                <w:szCs w:val="13"/>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ind w:right="72"/>
              <w:spacing w:after="0"/>
              <w:rPr>
                <w:sz w:val="20"/>
                <w:szCs w:val="20"/>
                <w:color w:val="auto"/>
              </w:rPr>
            </w:pPr>
            <w:r>
              <w:rPr>
                <w:rFonts w:ascii="Arial" w:cs="Arial" w:eastAsia="Arial" w:hAnsi="Arial"/>
                <w:sz w:val="10"/>
                <w:szCs w:val="10"/>
                <w:color w:val="auto"/>
              </w:rPr>
              <w:t>423</w:t>
            </w: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3.62 %</w:t>
            </w:r>
          </w:p>
        </w:tc>
        <w:tc>
          <w:tcPr>
            <w:tcW w:w="100" w:type="dxa"/>
            <w:vAlign w:val="bottom"/>
          </w:tcPr>
          <w:p>
            <w:pPr>
              <w:spacing w:after="0"/>
              <w:rPr>
                <w:sz w:val="13"/>
                <w:szCs w:val="13"/>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ind w:right="72"/>
              <w:spacing w:after="0"/>
              <w:rPr>
                <w:sz w:val="20"/>
                <w:szCs w:val="20"/>
                <w:color w:val="auto"/>
              </w:rPr>
            </w:pPr>
            <w:r>
              <w:rPr>
                <w:rFonts w:ascii="Arial" w:cs="Arial" w:eastAsia="Arial" w:hAnsi="Arial"/>
                <w:sz w:val="10"/>
                <w:szCs w:val="10"/>
                <w:color w:val="auto"/>
              </w:rPr>
              <w:t>1,322</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3.64 %</w:t>
            </w:r>
          </w:p>
        </w:tc>
        <w:tc>
          <w:tcPr>
            <w:tcW w:w="100" w:type="dxa"/>
            <w:vAlign w:val="bottom"/>
          </w:tcPr>
          <w:p>
            <w:pPr>
              <w:spacing w:after="0"/>
              <w:rPr>
                <w:sz w:val="13"/>
                <w:szCs w:val="13"/>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620" w:type="dxa"/>
            <w:vAlign w:val="bottom"/>
          </w:tcPr>
          <w:p>
            <w:pPr>
              <w:jc w:val="right"/>
              <w:ind w:right="32"/>
              <w:spacing w:after="0"/>
              <w:rPr>
                <w:sz w:val="20"/>
                <w:szCs w:val="20"/>
                <w:color w:val="auto"/>
              </w:rPr>
            </w:pPr>
            <w:r>
              <w:rPr>
                <w:rFonts w:ascii="Arial" w:cs="Arial" w:eastAsia="Arial" w:hAnsi="Arial"/>
                <w:sz w:val="10"/>
                <w:szCs w:val="10"/>
                <w:color w:val="auto"/>
              </w:rPr>
              <w:t>1,422</w:t>
            </w:r>
          </w:p>
        </w:tc>
        <w:tc>
          <w:tcPr>
            <w:tcW w:w="960" w:type="dxa"/>
            <w:vAlign w:val="bottom"/>
            <w:gridSpan w:val="3"/>
          </w:tcPr>
          <w:p>
            <w:pPr>
              <w:jc w:val="right"/>
              <w:spacing w:after="0"/>
              <w:rPr>
                <w:sz w:val="20"/>
                <w:szCs w:val="20"/>
                <w:color w:val="auto"/>
              </w:rPr>
            </w:pPr>
            <w:r>
              <w:rPr>
                <w:rFonts w:ascii="Arial" w:cs="Arial" w:eastAsia="Arial" w:hAnsi="Arial"/>
                <w:sz w:val="10"/>
                <w:szCs w:val="10"/>
                <w:color w:val="auto"/>
              </w:rPr>
              <w:t>3.62 %</w:t>
            </w:r>
          </w:p>
        </w:tc>
      </w:tr>
      <w:tr>
        <w:trPr>
          <w:trHeight w:val="180"/>
        </w:trPr>
        <w:tc>
          <w:tcPr>
            <w:tcW w:w="4240" w:type="dxa"/>
            <w:vAlign w:val="bottom"/>
            <w:shd w:val="clear" w:color="auto" w:fill="CCEEFF"/>
          </w:tcPr>
          <w:p>
            <w:pPr>
              <w:ind w:left="20"/>
              <w:spacing w:after="0"/>
              <w:rPr>
                <w:sz w:val="20"/>
                <w:szCs w:val="20"/>
                <w:color w:val="auto"/>
              </w:rPr>
            </w:pPr>
            <w:r>
              <w:rPr>
                <w:rFonts w:ascii="Arial" w:cs="Arial" w:eastAsia="Arial" w:hAnsi="Arial"/>
                <w:sz w:val="10"/>
                <w:szCs w:val="10"/>
                <w:color w:val="auto"/>
              </w:rPr>
              <w:t>Net premium amortization</w:t>
            </w:r>
          </w:p>
        </w:tc>
        <w:tc>
          <w:tcPr>
            <w:tcW w:w="140" w:type="dxa"/>
            <w:vAlign w:val="bottom"/>
            <w:tcBorders>
              <w:bottom w:val="single" w:sz="8" w:color="auto"/>
            </w:tcBorders>
            <w:shd w:val="clear" w:color="auto" w:fill="CCEEFF"/>
          </w:tcPr>
          <w:p>
            <w:pPr>
              <w:spacing w:after="0"/>
              <w:rPr>
                <w:sz w:val="15"/>
                <w:szCs w:val="15"/>
                <w:color w:val="auto"/>
              </w:rPr>
            </w:pPr>
          </w:p>
        </w:tc>
        <w:tc>
          <w:tcPr>
            <w:tcW w:w="6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(110)</w:t>
            </w:r>
          </w:p>
        </w:tc>
        <w:tc>
          <w:tcPr>
            <w:tcW w:w="120" w:type="dxa"/>
            <w:vAlign w:val="bottom"/>
            <w:shd w:val="clear" w:color="auto" w:fill="CCEEFF"/>
          </w:tcPr>
          <w:p>
            <w:pPr>
              <w:spacing w:after="0"/>
              <w:rPr>
                <w:sz w:val="15"/>
                <w:szCs w:val="15"/>
                <w:color w:val="auto"/>
              </w:rPr>
            </w:pPr>
          </w:p>
        </w:tc>
        <w:tc>
          <w:tcPr>
            <w:tcW w:w="80" w:type="dxa"/>
            <w:vAlign w:val="bottom"/>
            <w:tcBorders>
              <w:bottom w:val="single" w:sz="8" w:color="auto"/>
            </w:tcBorders>
            <w:shd w:val="clear" w:color="auto" w:fill="CCEEFF"/>
          </w:tcPr>
          <w:p>
            <w:pPr>
              <w:spacing w:after="0"/>
              <w:rPr>
                <w:sz w:val="15"/>
                <w:szCs w:val="15"/>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(1.05)%</w:t>
            </w:r>
          </w:p>
        </w:tc>
        <w:tc>
          <w:tcPr>
            <w:tcW w:w="10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6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(128)</w:t>
            </w:r>
          </w:p>
        </w:tc>
        <w:tc>
          <w:tcPr>
            <w:tcW w:w="100" w:type="dxa"/>
            <w:vAlign w:val="bottom"/>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spacing w:after="0"/>
              <w:rPr>
                <w:sz w:val="15"/>
                <w:szCs w:val="15"/>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(1.20)%</w:t>
            </w:r>
          </w:p>
        </w:tc>
        <w:tc>
          <w:tcPr>
            <w:tcW w:w="10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6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(394)</w:t>
            </w:r>
          </w:p>
        </w:tc>
        <w:tc>
          <w:tcPr>
            <w:tcW w:w="10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(1.18)%</w:t>
            </w:r>
          </w:p>
        </w:tc>
        <w:tc>
          <w:tcPr>
            <w:tcW w:w="100" w:type="dxa"/>
            <w:vAlign w:val="bottom"/>
            <w:shd w:val="clear" w:color="auto" w:fill="CCEEFF"/>
          </w:tcPr>
          <w:p>
            <w:pPr>
              <w:spacing w:after="0"/>
              <w:rPr>
                <w:sz w:val="15"/>
                <w:szCs w:val="15"/>
                <w:color w:val="auto"/>
              </w:rPr>
            </w:pPr>
          </w:p>
        </w:tc>
        <w:tc>
          <w:tcPr>
            <w:tcW w:w="140" w:type="dxa"/>
            <w:vAlign w:val="bottom"/>
            <w:tcBorders>
              <w:bottom w:val="single" w:sz="8" w:color="auto"/>
            </w:tcBorders>
            <w:shd w:val="clear" w:color="auto" w:fill="CCEEFF"/>
          </w:tcPr>
          <w:p>
            <w:pPr>
              <w:spacing w:after="0"/>
              <w:rPr>
                <w:sz w:val="15"/>
                <w:szCs w:val="15"/>
                <w:color w:val="auto"/>
              </w:rPr>
            </w:pPr>
          </w:p>
        </w:tc>
        <w:tc>
          <w:tcPr>
            <w:tcW w:w="6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(330)</w:t>
            </w:r>
          </w:p>
        </w:tc>
        <w:tc>
          <w:tcPr>
            <w:tcW w:w="40" w:type="dxa"/>
            <w:vAlign w:val="bottom"/>
            <w:tcBorders>
              <w:bottom w:val="single" w:sz="8" w:color="auto"/>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(0.96)%</w:t>
            </w:r>
          </w:p>
        </w:tc>
      </w:tr>
      <w:tr>
        <w:trPr>
          <w:trHeight w:val="162"/>
        </w:trPr>
        <w:tc>
          <w:tcPr>
            <w:tcW w:w="4240" w:type="dxa"/>
            <w:vAlign w:val="bottom"/>
          </w:tcPr>
          <w:p>
            <w:pPr>
              <w:ind w:left="20"/>
              <w:spacing w:after="0"/>
              <w:rPr>
                <w:sz w:val="20"/>
                <w:szCs w:val="20"/>
                <w:color w:val="auto"/>
              </w:rPr>
            </w:pPr>
            <w:r>
              <w:rPr>
                <w:rFonts w:ascii="Arial" w:cs="Arial" w:eastAsia="Arial" w:hAnsi="Arial"/>
                <w:sz w:val="10"/>
                <w:szCs w:val="10"/>
                <w:color w:val="auto"/>
              </w:rPr>
              <w:t>Interest income</w:t>
            </w: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ind w:right="72"/>
              <w:spacing w:after="0"/>
              <w:rPr>
                <w:sz w:val="20"/>
                <w:szCs w:val="20"/>
                <w:color w:val="auto"/>
              </w:rPr>
            </w:pPr>
            <w:r>
              <w:rPr>
                <w:rFonts w:ascii="Arial" w:cs="Arial" w:eastAsia="Arial" w:hAnsi="Arial"/>
                <w:sz w:val="10"/>
                <w:szCs w:val="10"/>
                <w:color w:val="auto"/>
              </w:rPr>
              <w:t>315</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2.60 %</w:t>
            </w:r>
          </w:p>
        </w:tc>
        <w:tc>
          <w:tcPr>
            <w:tcW w:w="100" w:type="dxa"/>
            <w:vAlign w:val="bottom"/>
          </w:tcPr>
          <w:p>
            <w:pPr>
              <w:spacing w:after="0"/>
              <w:rPr>
                <w:sz w:val="14"/>
                <w:szCs w:val="14"/>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ind w:right="72"/>
              <w:spacing w:after="0"/>
              <w:rPr>
                <w:sz w:val="20"/>
                <w:szCs w:val="20"/>
                <w:color w:val="auto"/>
              </w:rPr>
            </w:pPr>
            <w:r>
              <w:rPr>
                <w:rFonts w:ascii="Arial" w:cs="Arial" w:eastAsia="Arial" w:hAnsi="Arial"/>
                <w:sz w:val="10"/>
                <w:szCs w:val="10"/>
                <w:color w:val="auto"/>
              </w:rPr>
              <w:t>295</w:t>
            </w:r>
          </w:p>
        </w:tc>
        <w:tc>
          <w:tcPr>
            <w:tcW w:w="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2.42 %</w:t>
            </w:r>
          </w:p>
        </w:tc>
        <w:tc>
          <w:tcPr>
            <w:tcW w:w="100" w:type="dxa"/>
            <w:vAlign w:val="bottom"/>
          </w:tcPr>
          <w:p>
            <w:pPr>
              <w:spacing w:after="0"/>
              <w:rPr>
                <w:sz w:val="14"/>
                <w:szCs w:val="14"/>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ind w:right="72"/>
              <w:spacing w:after="0"/>
              <w:rPr>
                <w:sz w:val="20"/>
                <w:szCs w:val="20"/>
                <w:color w:val="auto"/>
              </w:rPr>
            </w:pPr>
            <w:r>
              <w:rPr>
                <w:rFonts w:ascii="Arial" w:cs="Arial" w:eastAsia="Arial" w:hAnsi="Arial"/>
                <w:sz w:val="10"/>
                <w:szCs w:val="10"/>
                <w:color w:val="auto"/>
              </w:rPr>
              <w:t>928</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2.46 %</w:t>
            </w:r>
          </w:p>
        </w:tc>
        <w:tc>
          <w:tcPr>
            <w:tcW w:w="100" w:type="dxa"/>
            <w:vAlign w:val="bottom"/>
          </w:tcPr>
          <w:p>
            <w:pPr>
              <w:spacing w:after="0"/>
              <w:rPr>
                <w:sz w:val="14"/>
                <w:szCs w:val="14"/>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620" w:type="dxa"/>
            <w:vAlign w:val="bottom"/>
          </w:tcPr>
          <w:p>
            <w:pPr>
              <w:jc w:val="right"/>
              <w:ind w:right="32"/>
              <w:spacing w:after="0"/>
              <w:rPr>
                <w:sz w:val="20"/>
                <w:szCs w:val="20"/>
                <w:color w:val="auto"/>
              </w:rPr>
            </w:pPr>
            <w:r>
              <w:rPr>
                <w:rFonts w:ascii="Arial" w:cs="Arial" w:eastAsia="Arial" w:hAnsi="Arial"/>
                <w:sz w:val="10"/>
                <w:szCs w:val="10"/>
                <w:color w:val="auto"/>
              </w:rPr>
              <w:t>1,092</w:t>
            </w:r>
          </w:p>
        </w:tc>
        <w:tc>
          <w:tcPr>
            <w:tcW w:w="960" w:type="dxa"/>
            <w:vAlign w:val="bottom"/>
            <w:gridSpan w:val="3"/>
          </w:tcPr>
          <w:p>
            <w:pPr>
              <w:jc w:val="right"/>
              <w:spacing w:after="0"/>
              <w:rPr>
                <w:sz w:val="20"/>
                <w:szCs w:val="20"/>
                <w:color w:val="auto"/>
              </w:rPr>
            </w:pPr>
            <w:r>
              <w:rPr>
                <w:rFonts w:ascii="Arial" w:cs="Arial" w:eastAsia="Arial" w:hAnsi="Arial"/>
                <w:sz w:val="10"/>
                <w:szCs w:val="10"/>
                <w:color w:val="auto"/>
              </w:rPr>
              <w:t>2.66 %</w:t>
            </w:r>
          </w:p>
        </w:tc>
      </w:tr>
      <w:tr>
        <w:trPr>
          <w:trHeight w:val="180"/>
        </w:trPr>
        <w:tc>
          <w:tcPr>
            <w:tcW w:w="424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Weighted average actual portfolio CPR for securities held during the period</w:t>
            </w:r>
          </w:p>
        </w:tc>
        <w:tc>
          <w:tcPr>
            <w:tcW w:w="140" w:type="dxa"/>
            <w:vAlign w:val="bottom"/>
            <w:tcBorders>
              <w:top w:val="single" w:sz="8" w:color="auto"/>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w:t>
            </w:r>
          </w:p>
        </w:tc>
        <w:tc>
          <w:tcPr>
            <w:tcW w:w="12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7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w:t>
            </w:r>
          </w:p>
        </w:tc>
        <w:tc>
          <w:tcPr>
            <w:tcW w:w="100" w:type="dxa"/>
            <w:vAlign w:val="bottom"/>
            <w:tcBorders>
              <w:top w:val="single" w:sz="8" w:color="CCEEFF"/>
            </w:tcBorders>
            <w:shd w:val="clear" w:color="auto" w:fill="CCEEFF"/>
          </w:tcPr>
          <w:p>
            <w:pPr>
              <w:spacing w:after="0"/>
              <w:rPr>
                <w:sz w:val="15"/>
                <w:szCs w:val="15"/>
                <w:color w:val="auto"/>
              </w:rPr>
            </w:pPr>
          </w:p>
        </w:tc>
        <w:tc>
          <w:tcPr>
            <w:tcW w:w="180" w:type="dxa"/>
            <w:vAlign w:val="bottom"/>
            <w:tcBorders>
              <w:top w:val="single" w:sz="8" w:color="auto"/>
            </w:tcBorders>
            <w:shd w:val="clear" w:color="auto" w:fill="CCEEFF"/>
          </w:tcPr>
          <w:p>
            <w:pPr>
              <w:spacing w:after="0"/>
              <w:rPr>
                <w:sz w:val="15"/>
                <w:szCs w:val="15"/>
                <w:color w:val="auto"/>
              </w:rPr>
            </w:pPr>
          </w:p>
        </w:tc>
        <w:tc>
          <w:tcPr>
            <w:tcW w:w="6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w:t>
            </w:r>
          </w:p>
        </w:tc>
        <w:tc>
          <w:tcPr>
            <w:tcW w:w="1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70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11%</w:t>
            </w:r>
          </w:p>
        </w:tc>
        <w:tc>
          <w:tcPr>
            <w:tcW w:w="4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820" w:type="dxa"/>
            <w:vAlign w:val="bottom"/>
            <w:tcBorders>
              <w:top w:val="single" w:sz="8" w:color="auto"/>
            </w:tcBorders>
            <w:shd w:val="clear" w:color="auto" w:fill="CCEEFF"/>
          </w:tcPr>
          <w:p>
            <w:pPr>
              <w:spacing w:after="0"/>
              <w:rPr>
                <w:sz w:val="15"/>
                <w:szCs w:val="15"/>
                <w:color w:val="auto"/>
              </w:rPr>
            </w:pPr>
          </w:p>
        </w:tc>
      </w:tr>
      <w:tr>
        <w:trPr>
          <w:trHeight w:val="176"/>
        </w:trPr>
        <w:tc>
          <w:tcPr>
            <w:tcW w:w="4240" w:type="dxa"/>
            <w:vAlign w:val="bottom"/>
          </w:tcPr>
          <w:p>
            <w:pPr>
              <w:ind w:left="20"/>
              <w:spacing w:after="0"/>
              <w:rPr>
                <w:sz w:val="20"/>
                <w:szCs w:val="20"/>
                <w:color w:val="auto"/>
              </w:rPr>
            </w:pPr>
            <w:r>
              <w:rPr>
                <w:rFonts w:ascii="Arial" w:cs="Arial" w:eastAsia="Arial" w:hAnsi="Arial"/>
                <w:sz w:val="10"/>
                <w:szCs w:val="10"/>
                <w:color w:val="auto"/>
              </w:rPr>
              <w:t>Weighted average projected CPR for the remaining life of securities held as of period end</w:t>
            </w:r>
          </w:p>
        </w:tc>
        <w:tc>
          <w:tcPr>
            <w:tcW w:w="14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11%</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8%</w:t>
            </w: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11%</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0"/>
                <w:szCs w:val="10"/>
                <w:color w:val="auto"/>
              </w:rPr>
              <w:t>9%</w:t>
            </w: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20" w:type="dxa"/>
            <w:vAlign w:val="bottom"/>
          </w:tcPr>
          <w:p>
            <w:pPr>
              <w:spacing w:after="0"/>
              <w:rPr>
                <w:sz w:val="15"/>
                <w:szCs w:val="15"/>
                <w:color w:val="auto"/>
              </w:rPr>
            </w:pPr>
          </w:p>
        </w:tc>
      </w:tr>
      <w:tr>
        <w:trPr>
          <w:trHeight w:val="184"/>
        </w:trPr>
        <w:tc>
          <w:tcPr>
            <w:tcW w:w="4240" w:type="dxa"/>
            <w:vAlign w:val="bottom"/>
            <w:shd w:val="clear" w:color="auto" w:fill="CCEEFF"/>
          </w:tcPr>
          <w:p>
            <w:pPr>
              <w:ind w:left="20"/>
              <w:spacing w:after="0"/>
              <w:rPr>
                <w:sz w:val="20"/>
                <w:szCs w:val="20"/>
                <w:color w:val="auto"/>
              </w:rPr>
            </w:pPr>
            <w:r>
              <w:rPr>
                <w:rFonts w:ascii="Arial" w:cs="Arial" w:eastAsia="Arial" w:hAnsi="Arial"/>
                <w:sz w:val="10"/>
                <w:szCs w:val="10"/>
                <w:color w:val="auto"/>
              </w:rPr>
              <w:t xml:space="preserve">Average 30-year fixed rate mortgage rate as of period end </w:t>
            </w:r>
            <w:r>
              <w:rPr>
                <w:rFonts w:ascii="Arial" w:cs="Arial" w:eastAsia="Arial" w:hAnsi="Arial"/>
                <w:sz w:val="5"/>
                <w:szCs w:val="5"/>
                <w:color w:val="auto"/>
              </w:rPr>
              <w:t>1</w:t>
            </w:r>
          </w:p>
        </w:tc>
        <w:tc>
          <w:tcPr>
            <w:tcW w:w="140" w:type="dxa"/>
            <w:vAlign w:val="bottom"/>
            <w:shd w:val="clear" w:color="auto" w:fill="CCEEFF"/>
          </w:tcPr>
          <w:p>
            <w:pPr>
              <w:spacing w:after="0"/>
              <w:rPr>
                <w:sz w:val="16"/>
                <w:szCs w:val="16"/>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3.42%</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3.85%</w:t>
            </w: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3.42%</w:t>
            </w: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7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3.85%</w:t>
            </w: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r>
      <w:tr>
        <w:trPr>
          <w:trHeight w:val="172"/>
        </w:trPr>
        <w:tc>
          <w:tcPr>
            <w:tcW w:w="4240" w:type="dxa"/>
            <w:vAlign w:val="bottom"/>
          </w:tcPr>
          <w:p>
            <w:pPr>
              <w:ind w:left="20"/>
              <w:spacing w:after="0"/>
              <w:rPr>
                <w:sz w:val="20"/>
                <w:szCs w:val="20"/>
                <w:color w:val="auto"/>
              </w:rPr>
            </w:pPr>
            <w:r>
              <w:rPr>
                <w:rFonts w:ascii="Arial" w:cs="Arial" w:eastAsia="Arial" w:hAnsi="Arial"/>
                <w:sz w:val="10"/>
                <w:szCs w:val="10"/>
                <w:color w:val="auto"/>
              </w:rPr>
              <w:t>10-year U.S. Treasury rate as of period end</w:t>
            </w:r>
          </w:p>
        </w:tc>
        <w:tc>
          <w:tcPr>
            <w:tcW w:w="140" w:type="dxa"/>
            <w:vAlign w:val="bottom"/>
          </w:tcPr>
          <w:p>
            <w:pPr>
              <w:spacing w:after="0"/>
              <w:rPr>
                <w:sz w:val="14"/>
                <w:szCs w:val="14"/>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1.61%</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2.06%</w:t>
            </w:r>
          </w:p>
        </w:tc>
        <w:tc>
          <w:tcPr>
            <w:tcW w:w="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1.61%</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jc w:val="right"/>
              <w:spacing w:after="0"/>
              <w:rPr>
                <w:sz w:val="20"/>
                <w:szCs w:val="20"/>
                <w:color w:val="auto"/>
              </w:rPr>
            </w:pPr>
            <w:r>
              <w:rPr>
                <w:rFonts w:ascii="Arial" w:cs="Arial" w:eastAsia="Arial" w:hAnsi="Arial"/>
                <w:sz w:val="10"/>
                <w:szCs w:val="10"/>
                <w:color w:val="auto"/>
              </w:rPr>
              <w:t>2.06%</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tcPr>
          <w:p>
            <w:pPr>
              <w:spacing w:after="0"/>
              <w:rPr>
                <w:sz w:val="14"/>
                <w:szCs w:val="14"/>
                <w:color w:val="auto"/>
              </w:rPr>
            </w:pPr>
          </w:p>
        </w:tc>
      </w:tr>
      <w:tr>
        <w:trPr>
          <w:trHeight w:val="144"/>
        </w:trPr>
        <w:tc>
          <w:tcPr>
            <w:tcW w:w="4240" w:type="dxa"/>
            <w:vAlign w:val="bottom"/>
          </w:tcPr>
          <w:p>
            <w:pPr>
              <w:spacing w:after="0"/>
              <w:rPr>
                <w:sz w:val="20"/>
                <w:szCs w:val="20"/>
                <w:color w:val="auto"/>
              </w:rPr>
            </w:pPr>
            <w:r>
              <w:rPr>
                <w:rFonts w:ascii="Arial" w:cs="Arial" w:eastAsia="Arial" w:hAnsi="Arial"/>
                <w:sz w:val="10"/>
                <w:szCs w:val="10"/>
                <w:color w:val="auto"/>
              </w:rPr>
              <w:t>_______________________</w:t>
            </w: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r>
      <w:tr>
        <w:trPr>
          <w:trHeight w:val="126"/>
        </w:trPr>
        <w:tc>
          <w:tcPr>
            <w:tcW w:w="4240" w:type="dxa"/>
            <w:vAlign w:val="bottom"/>
          </w:tcPr>
          <w:p>
            <w:pPr>
              <w:ind w:left="180"/>
              <w:spacing w:after="0"/>
              <w:rPr>
                <w:sz w:val="20"/>
                <w:szCs w:val="20"/>
                <w:color w:val="auto"/>
              </w:rPr>
            </w:pPr>
            <w:r>
              <w:rPr>
                <w:rFonts w:ascii="Arial" w:cs="Arial" w:eastAsia="Arial" w:hAnsi="Arial"/>
                <w:sz w:val="10"/>
                <w:szCs w:val="10"/>
                <w:color w:val="auto"/>
              </w:rPr>
              <w:t>1.   Source: Freddie Mac Primary Fixed Mortgage Rate Mortgage Market Survey</w:t>
            </w:r>
          </w:p>
        </w:tc>
        <w:tc>
          <w:tcPr>
            <w:tcW w:w="1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spacing w:after="0"/>
              <w:rPr>
                <w:sz w:val="10"/>
                <w:szCs w:val="10"/>
                <w:color w:val="auto"/>
              </w:rPr>
            </w:pPr>
          </w:p>
        </w:tc>
      </w:tr>
    </w:tbl>
    <w:p>
      <w:pPr>
        <w:spacing w:after="0" w:line="188" w:lineRule="exact"/>
        <w:rPr>
          <w:sz w:val="20"/>
          <w:szCs w:val="20"/>
          <w:color w:val="auto"/>
        </w:rPr>
      </w:pPr>
    </w:p>
    <w:p>
      <w:pPr>
        <w:jc w:val="both"/>
        <w:ind w:right="20" w:firstLine="288"/>
        <w:spacing w:after="0" w:line="276" w:lineRule="auto"/>
        <w:rPr>
          <w:sz w:val="20"/>
          <w:szCs w:val="20"/>
          <w:color w:val="auto"/>
        </w:rPr>
      </w:pPr>
      <w:r>
        <w:rPr>
          <w:rFonts w:ascii="Arial" w:cs="Arial" w:eastAsia="Arial" w:hAnsi="Arial"/>
          <w:sz w:val="12"/>
          <w:szCs w:val="12"/>
          <w:color w:val="auto"/>
        </w:rPr>
        <w:t>The principal elements impacting our interest income are the size of our average investment portfolio and the yield on our investments. The following is a summary of the estimated impact of each of these elements for the three and nine months ended September 30, 2016 compared to the prior year period (in millions):</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38</w:t>
      </w:r>
    </w:p>
    <w:p>
      <w:pPr>
        <w:sectPr>
          <w:pgSz w:w="11900" w:h="16838" w:orient="portrait"/>
          <w:cols w:equalWidth="0" w:num="1">
            <w:col w:w="11480"/>
          </w:cols>
          <w:pgMar w:left="220" w:top="469" w:right="199" w:bottom="1440" w:gutter="0" w:footer="0" w:header="0"/>
        </w:sectPr>
      </w:pPr>
    </w:p>
    <w:bookmarkStart w:id="39" w:name="page40"/>
    <w:bookmarkEnd w:id="39"/>
    <w:p>
      <w:pPr>
        <w:jc w:val="center"/>
        <w:spacing w:after="0"/>
        <w:rPr>
          <w:sz w:val="20"/>
          <w:szCs w:val="20"/>
          <w:color w:val="auto"/>
        </w:rPr>
      </w:pPr>
      <w:r>
        <w:rPr>
          <w:rFonts w:ascii="Arial" w:cs="Arial" w:eastAsia="Arial" w:hAnsi="Arial"/>
          <w:sz w:val="10"/>
          <w:szCs w:val="10"/>
          <w:b w:val="1"/>
          <w:bCs w:val="1"/>
          <w:color w:val="auto"/>
        </w:rPr>
        <w:t>Impact of Changes in the Principal Elements Impacting Interest Income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160655</wp:posOffset>
            </wp:positionH>
            <wp:positionV relativeFrom="paragraph">
              <wp:posOffset>10795</wp:posOffset>
            </wp:positionV>
            <wp:extent cx="6960235" cy="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960235" cy="5715"/>
                    </a:xfrm>
                    <a:prstGeom prst="rect">
                      <a:avLst/>
                    </a:prstGeom>
                    <a:noFill/>
                  </pic:spPr>
                </pic:pic>
              </a:graphicData>
            </a:graphic>
          </wp:anchor>
        </w:drawing>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0"/>
          <w:szCs w:val="10"/>
          <w:b w:val="1"/>
          <w:bCs w:val="1"/>
          <w:color w:val="auto"/>
        </w:rPr>
        <w:t>Periods Ended September 30, 2016 vs. September 30,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160655</wp:posOffset>
            </wp:positionH>
            <wp:positionV relativeFrom="paragraph">
              <wp:posOffset>10795</wp:posOffset>
            </wp:positionV>
            <wp:extent cx="6960235" cy="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960235" cy="5715"/>
                    </a:xfrm>
                    <a:prstGeom prst="rect">
                      <a:avLst/>
                    </a:prstGeom>
                    <a:noFill/>
                  </pic:spPr>
                </pic:pic>
              </a:graphicData>
            </a:graphic>
          </wp:anchor>
        </w:drawing>
      </w:r>
    </w:p>
    <w:p>
      <w:pPr>
        <w:spacing w:after="0" w:line="54" w:lineRule="exact"/>
        <w:rPr>
          <w:sz w:val="20"/>
          <w:szCs w:val="20"/>
          <w:color w:val="auto"/>
        </w:rPr>
      </w:pPr>
    </w:p>
    <w:tbl>
      <w:tblPr>
        <w:tblLayout w:type="fixed"/>
        <w:tblInd w:w="260" w:type="dxa"/>
        <w:tblCellMar>
          <w:top w:w="0" w:type="dxa"/>
          <w:left w:w="0" w:type="dxa"/>
          <w:bottom w:w="0" w:type="dxa"/>
          <w:right w:w="0" w:type="dxa"/>
        </w:tblCellMar>
      </w:tblPr>
      <w:tr>
        <w:trPr>
          <w:trHeight w:val="128"/>
        </w:trPr>
        <w:tc>
          <w:tcPr>
            <w:tcW w:w="5140" w:type="dxa"/>
            <w:vAlign w:val="bottom"/>
          </w:tcPr>
          <w:p>
            <w:pPr>
              <w:spacing w:after="0"/>
              <w:rPr>
                <w:sz w:val="11"/>
                <w:szCs w:val="11"/>
                <w:color w:val="auto"/>
              </w:rPr>
            </w:pPr>
          </w:p>
        </w:tc>
        <w:tc>
          <w:tcPr>
            <w:tcW w:w="14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40" w:type="dxa"/>
            <w:vAlign w:val="bottom"/>
            <w:tcBorders>
              <w:bottom w:val="single" w:sz="8" w:color="auto"/>
            </w:tcBorders>
          </w:tcPr>
          <w:p>
            <w:pPr>
              <w:spacing w:after="0"/>
              <w:rPr>
                <w:sz w:val="11"/>
                <w:szCs w:val="11"/>
                <w:color w:val="auto"/>
              </w:rPr>
            </w:pPr>
          </w:p>
        </w:tc>
        <w:tc>
          <w:tcPr>
            <w:tcW w:w="1380" w:type="dxa"/>
            <w:vAlign w:val="bottom"/>
            <w:tcBorders>
              <w:bottom w:val="single" w:sz="8" w:color="auto"/>
            </w:tcBorders>
            <w:gridSpan w:val="3"/>
          </w:tcPr>
          <w:p>
            <w:pPr>
              <w:jc w:val="right"/>
              <w:ind w:right="132"/>
              <w:spacing w:after="0"/>
              <w:rPr>
                <w:sz w:val="20"/>
                <w:szCs w:val="20"/>
                <w:color w:val="auto"/>
              </w:rPr>
            </w:pPr>
            <w:r>
              <w:rPr>
                <w:rFonts w:ascii="Arial" w:cs="Arial" w:eastAsia="Arial" w:hAnsi="Arial"/>
                <w:sz w:val="10"/>
                <w:szCs w:val="10"/>
                <w:b w:val="1"/>
                <w:bCs w:val="1"/>
                <w:color w:val="auto"/>
                <w:w w:val="94"/>
              </w:rPr>
              <w:t>Due to Change in Average</w:t>
            </w:r>
          </w:p>
        </w:tc>
        <w:tc>
          <w:tcPr>
            <w:tcW w:w="1200" w:type="dxa"/>
            <w:vAlign w:val="bottom"/>
            <w:tcBorders>
              <w:bottom w:val="single" w:sz="8" w:color="auto"/>
            </w:tcBorders>
          </w:tcPr>
          <w:p>
            <w:pPr>
              <w:spacing w:after="0"/>
              <w:rPr>
                <w:sz w:val="11"/>
                <w:szCs w:val="11"/>
                <w:color w:val="auto"/>
              </w:rPr>
            </w:pPr>
          </w:p>
        </w:tc>
      </w:tr>
      <w:tr>
        <w:trPr>
          <w:trHeight w:val="96"/>
        </w:trPr>
        <w:tc>
          <w:tcPr>
            <w:tcW w:w="5140" w:type="dxa"/>
            <w:vAlign w:val="bottom"/>
          </w:tcPr>
          <w:p>
            <w:pPr>
              <w:spacing w:after="0"/>
              <w:rPr>
                <w:sz w:val="8"/>
                <w:szCs w:val="8"/>
                <w:color w:val="auto"/>
              </w:rPr>
            </w:pPr>
          </w:p>
        </w:tc>
        <w:tc>
          <w:tcPr>
            <w:tcW w:w="1420" w:type="dxa"/>
            <w:vAlign w:val="bottom"/>
          </w:tcPr>
          <w:p>
            <w:pPr>
              <w:jc w:val="right"/>
              <w:ind w:right="112"/>
              <w:spacing w:after="0" w:line="96" w:lineRule="exact"/>
              <w:rPr>
                <w:sz w:val="20"/>
                <w:szCs w:val="20"/>
                <w:color w:val="auto"/>
              </w:rPr>
            </w:pPr>
            <w:r>
              <w:rPr>
                <w:rFonts w:ascii="Arial" w:cs="Arial" w:eastAsia="Arial" w:hAnsi="Arial"/>
                <w:sz w:val="10"/>
                <w:szCs w:val="10"/>
                <w:b w:val="1"/>
                <w:bCs w:val="1"/>
                <w:color w:val="auto"/>
              </w:rPr>
              <w:t>Total Increase /</w:t>
            </w:r>
          </w:p>
        </w:tc>
        <w:tc>
          <w:tcPr>
            <w:tcW w:w="4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40" w:type="dxa"/>
            <w:vAlign w:val="bottom"/>
          </w:tcPr>
          <w:p>
            <w:pPr>
              <w:jc w:val="right"/>
              <w:ind w:right="92"/>
              <w:spacing w:after="0" w:line="96" w:lineRule="exact"/>
              <w:rPr>
                <w:sz w:val="20"/>
                <w:szCs w:val="20"/>
                <w:color w:val="auto"/>
              </w:rPr>
            </w:pPr>
            <w:r>
              <w:rPr>
                <w:rFonts w:ascii="Arial" w:cs="Arial" w:eastAsia="Arial" w:hAnsi="Arial"/>
                <w:sz w:val="10"/>
                <w:szCs w:val="10"/>
                <w:b w:val="1"/>
                <w:bCs w:val="1"/>
                <w:color w:val="auto"/>
              </w:rPr>
              <w:t>Portfolio</w:t>
            </w:r>
          </w:p>
        </w:tc>
        <w:tc>
          <w:tcPr>
            <w:tcW w:w="6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60" w:type="dxa"/>
            <w:vAlign w:val="bottom"/>
          </w:tcPr>
          <w:p>
            <w:pPr>
              <w:spacing w:after="0"/>
              <w:rPr>
                <w:sz w:val="8"/>
                <w:szCs w:val="8"/>
                <w:color w:val="auto"/>
              </w:rPr>
            </w:pPr>
          </w:p>
        </w:tc>
        <w:tc>
          <w:tcPr>
            <w:tcW w:w="1200" w:type="dxa"/>
            <w:vAlign w:val="bottom"/>
          </w:tcPr>
          <w:p>
            <w:pPr>
              <w:jc w:val="right"/>
              <w:ind w:right="772"/>
              <w:spacing w:after="0" w:line="96" w:lineRule="exact"/>
              <w:rPr>
                <w:sz w:val="20"/>
                <w:szCs w:val="20"/>
                <w:color w:val="auto"/>
              </w:rPr>
            </w:pPr>
            <w:r>
              <w:rPr>
                <w:rFonts w:ascii="Arial" w:cs="Arial" w:eastAsia="Arial" w:hAnsi="Arial"/>
                <w:sz w:val="10"/>
                <w:szCs w:val="10"/>
                <w:b w:val="1"/>
                <w:bCs w:val="1"/>
                <w:color w:val="auto"/>
              </w:rPr>
              <w:t>Asset</w:t>
            </w:r>
          </w:p>
        </w:tc>
      </w:tr>
      <w:tr>
        <w:trPr>
          <w:trHeight w:val="128"/>
        </w:trPr>
        <w:tc>
          <w:tcPr>
            <w:tcW w:w="5140" w:type="dxa"/>
            <w:vAlign w:val="bottom"/>
            <w:tcBorders>
              <w:bottom w:val="single" w:sz="8" w:color="BFE4FF"/>
            </w:tcBorders>
          </w:tcPr>
          <w:p>
            <w:pPr>
              <w:spacing w:after="0"/>
              <w:rPr>
                <w:sz w:val="11"/>
                <w:szCs w:val="11"/>
                <w:color w:val="auto"/>
              </w:rPr>
            </w:pPr>
          </w:p>
        </w:tc>
        <w:tc>
          <w:tcPr>
            <w:tcW w:w="1420" w:type="dxa"/>
            <w:vAlign w:val="bottom"/>
            <w:tcBorders>
              <w:bottom w:val="single" w:sz="8" w:color="auto"/>
            </w:tcBorders>
          </w:tcPr>
          <w:p>
            <w:pPr>
              <w:jc w:val="right"/>
              <w:ind w:right="212"/>
              <w:spacing w:after="0"/>
              <w:rPr>
                <w:sz w:val="20"/>
                <w:szCs w:val="20"/>
                <w:color w:val="auto"/>
              </w:rPr>
            </w:pPr>
            <w:r>
              <w:rPr>
                <w:rFonts w:ascii="Arial" w:cs="Arial" w:eastAsia="Arial" w:hAnsi="Arial"/>
                <w:sz w:val="10"/>
                <w:szCs w:val="10"/>
                <w:b w:val="1"/>
                <w:bCs w:val="1"/>
                <w:color w:val="auto"/>
              </w:rPr>
              <w:t>(Decrease)</w:t>
            </w:r>
          </w:p>
        </w:tc>
        <w:tc>
          <w:tcPr>
            <w:tcW w:w="460" w:type="dxa"/>
            <w:vAlign w:val="bottom"/>
            <w:tcBorders>
              <w:bottom w:val="single" w:sz="8" w:color="auto"/>
            </w:tcBorders>
          </w:tcPr>
          <w:p>
            <w:pPr>
              <w:spacing w:after="0"/>
              <w:rPr>
                <w:sz w:val="11"/>
                <w:szCs w:val="11"/>
                <w:color w:val="auto"/>
              </w:rPr>
            </w:pPr>
          </w:p>
        </w:tc>
        <w:tc>
          <w:tcPr>
            <w:tcW w:w="120" w:type="dxa"/>
            <w:vAlign w:val="bottom"/>
            <w:tcBorders>
              <w:bottom w:val="single" w:sz="8" w:color="BFE4FF"/>
            </w:tcBorders>
          </w:tcPr>
          <w:p>
            <w:pPr>
              <w:spacing w:after="0"/>
              <w:rPr>
                <w:sz w:val="11"/>
                <w:szCs w:val="11"/>
                <w:color w:val="auto"/>
              </w:rPr>
            </w:pPr>
          </w:p>
        </w:tc>
        <w:tc>
          <w:tcPr>
            <w:tcW w:w="124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b w:val="1"/>
                <w:bCs w:val="1"/>
                <w:color w:val="auto"/>
              </w:rPr>
              <w:t>Size</w:t>
            </w:r>
          </w:p>
        </w:tc>
        <w:tc>
          <w:tcPr>
            <w:tcW w:w="620" w:type="dxa"/>
            <w:vAlign w:val="bottom"/>
            <w:tcBorders>
              <w:bottom w:val="single" w:sz="8" w:color="auto"/>
            </w:tcBorders>
          </w:tcPr>
          <w:p>
            <w:pPr>
              <w:spacing w:after="0"/>
              <w:rPr>
                <w:sz w:val="11"/>
                <w:szCs w:val="11"/>
                <w:color w:val="auto"/>
              </w:rPr>
            </w:pPr>
          </w:p>
        </w:tc>
        <w:tc>
          <w:tcPr>
            <w:tcW w:w="100" w:type="dxa"/>
            <w:vAlign w:val="bottom"/>
            <w:tcBorders>
              <w:bottom w:val="single" w:sz="8" w:color="BFE4FF"/>
            </w:tcBorders>
          </w:tcPr>
          <w:p>
            <w:pPr>
              <w:spacing w:after="0"/>
              <w:rPr>
                <w:sz w:val="11"/>
                <w:szCs w:val="11"/>
                <w:color w:val="auto"/>
              </w:rPr>
            </w:pPr>
          </w:p>
        </w:tc>
        <w:tc>
          <w:tcPr>
            <w:tcW w:w="660" w:type="dxa"/>
            <w:vAlign w:val="bottom"/>
            <w:tcBorders>
              <w:bottom w:val="single" w:sz="8" w:color="auto"/>
            </w:tcBorders>
          </w:tcPr>
          <w:p>
            <w:pPr>
              <w:spacing w:after="0"/>
              <w:rPr>
                <w:sz w:val="11"/>
                <w:szCs w:val="11"/>
                <w:color w:val="auto"/>
              </w:rPr>
            </w:pPr>
          </w:p>
        </w:tc>
        <w:tc>
          <w:tcPr>
            <w:tcW w:w="1200" w:type="dxa"/>
            <w:vAlign w:val="bottom"/>
            <w:tcBorders>
              <w:bottom w:val="single" w:sz="8" w:color="auto"/>
            </w:tcBorders>
          </w:tcPr>
          <w:p>
            <w:pPr>
              <w:jc w:val="right"/>
              <w:ind w:right="772"/>
              <w:spacing w:after="0"/>
              <w:rPr>
                <w:sz w:val="20"/>
                <w:szCs w:val="20"/>
                <w:color w:val="auto"/>
              </w:rPr>
            </w:pPr>
            <w:r>
              <w:rPr>
                <w:rFonts w:ascii="Arial" w:cs="Arial" w:eastAsia="Arial" w:hAnsi="Arial"/>
                <w:sz w:val="10"/>
                <w:szCs w:val="10"/>
                <w:b w:val="1"/>
                <w:bCs w:val="1"/>
                <w:color w:val="auto"/>
              </w:rPr>
              <w:t>Yield</w:t>
            </w:r>
          </w:p>
        </w:tc>
      </w:tr>
      <w:tr>
        <w:trPr>
          <w:trHeight w:val="164"/>
        </w:trPr>
        <w:tc>
          <w:tcPr>
            <w:tcW w:w="5140" w:type="dxa"/>
            <w:vAlign w:val="bottom"/>
            <w:shd w:val="clear" w:color="auto" w:fill="BFE4FF"/>
          </w:tcPr>
          <w:p>
            <w:pPr>
              <w:ind w:left="20"/>
              <w:spacing w:after="0"/>
              <w:rPr>
                <w:sz w:val="20"/>
                <w:szCs w:val="20"/>
                <w:color w:val="auto"/>
              </w:rPr>
            </w:pPr>
            <w:r>
              <w:rPr>
                <w:rFonts w:ascii="Arial" w:cs="Arial" w:eastAsia="Arial" w:hAnsi="Arial"/>
                <w:sz w:val="10"/>
                <w:szCs w:val="10"/>
                <w:color w:val="auto"/>
              </w:rPr>
              <w:t>Three months ended</w:t>
            </w:r>
          </w:p>
        </w:tc>
        <w:tc>
          <w:tcPr>
            <w:tcW w:w="1420" w:type="dxa"/>
            <w:vAlign w:val="bottom"/>
            <w:shd w:val="clear" w:color="auto" w:fill="BFE4FF"/>
          </w:tcPr>
          <w:p>
            <w:pPr>
              <w:jc w:val="right"/>
              <w:ind w:right="1292"/>
              <w:spacing w:after="0"/>
              <w:rPr>
                <w:sz w:val="20"/>
                <w:szCs w:val="20"/>
                <w:color w:val="auto"/>
              </w:rPr>
            </w:pPr>
            <w:r>
              <w:rPr>
                <w:rFonts w:ascii="Arial" w:cs="Arial" w:eastAsia="Arial" w:hAnsi="Arial"/>
                <w:sz w:val="10"/>
                <w:szCs w:val="10"/>
                <w:color w:val="auto"/>
              </w:rPr>
              <w:t>$</w:t>
            </w:r>
          </w:p>
        </w:tc>
        <w:tc>
          <w:tcPr>
            <w:tcW w:w="460" w:type="dxa"/>
            <w:vAlign w:val="bottom"/>
            <w:shd w:val="clear" w:color="auto" w:fill="BFE4FF"/>
          </w:tcPr>
          <w:p>
            <w:pPr>
              <w:jc w:val="right"/>
              <w:ind w:right="52"/>
              <w:spacing w:after="0"/>
              <w:rPr>
                <w:sz w:val="20"/>
                <w:szCs w:val="20"/>
                <w:color w:val="auto"/>
              </w:rPr>
            </w:pPr>
            <w:r>
              <w:rPr>
                <w:rFonts w:ascii="Arial" w:cs="Arial" w:eastAsia="Arial" w:hAnsi="Arial"/>
                <w:sz w:val="10"/>
                <w:szCs w:val="10"/>
                <w:color w:val="auto"/>
              </w:rPr>
              <w:t>20</w:t>
            </w:r>
          </w:p>
        </w:tc>
        <w:tc>
          <w:tcPr>
            <w:tcW w:w="120" w:type="dxa"/>
            <w:vAlign w:val="bottom"/>
            <w:shd w:val="clear" w:color="auto" w:fill="BFE4FF"/>
          </w:tcPr>
          <w:p>
            <w:pPr>
              <w:spacing w:after="0"/>
              <w:rPr>
                <w:sz w:val="14"/>
                <w:szCs w:val="14"/>
                <w:color w:val="auto"/>
              </w:rPr>
            </w:pPr>
          </w:p>
        </w:tc>
        <w:tc>
          <w:tcPr>
            <w:tcW w:w="1240" w:type="dxa"/>
            <w:vAlign w:val="bottom"/>
            <w:shd w:val="clear" w:color="auto" w:fill="BFE4FF"/>
          </w:tcPr>
          <w:p>
            <w:pPr>
              <w:jc w:val="right"/>
              <w:ind w:right="1132"/>
              <w:spacing w:after="0"/>
              <w:rPr>
                <w:sz w:val="20"/>
                <w:szCs w:val="20"/>
                <w:color w:val="auto"/>
              </w:rPr>
            </w:pPr>
            <w:r>
              <w:rPr>
                <w:rFonts w:ascii="Arial" w:cs="Arial" w:eastAsia="Arial" w:hAnsi="Arial"/>
                <w:sz w:val="10"/>
                <w:szCs w:val="10"/>
                <w:color w:val="auto"/>
                <w:w w:val="71"/>
              </w:rPr>
              <w:t>$</w:t>
            </w:r>
          </w:p>
        </w:tc>
        <w:tc>
          <w:tcPr>
            <w:tcW w:w="620" w:type="dxa"/>
            <w:vAlign w:val="bottom"/>
            <w:shd w:val="clear" w:color="auto" w:fill="BFE4FF"/>
          </w:tcPr>
          <w:p>
            <w:pPr>
              <w:jc w:val="right"/>
              <w:ind w:right="32"/>
              <w:spacing w:after="0"/>
              <w:rPr>
                <w:sz w:val="20"/>
                <w:szCs w:val="20"/>
                <w:color w:val="auto"/>
              </w:rPr>
            </w:pPr>
            <w:r>
              <w:rPr>
                <w:rFonts w:ascii="Arial" w:cs="Arial" w:eastAsia="Arial" w:hAnsi="Arial"/>
                <w:sz w:val="10"/>
                <w:szCs w:val="10"/>
                <w:color w:val="auto"/>
              </w:rPr>
              <w:t>(1)</w:t>
            </w:r>
          </w:p>
        </w:tc>
        <w:tc>
          <w:tcPr>
            <w:tcW w:w="100" w:type="dxa"/>
            <w:vAlign w:val="bottom"/>
            <w:shd w:val="clear" w:color="auto" w:fill="BFE4FF"/>
          </w:tcPr>
          <w:p>
            <w:pPr>
              <w:spacing w:after="0"/>
              <w:rPr>
                <w:sz w:val="14"/>
                <w:szCs w:val="14"/>
                <w:color w:val="auto"/>
              </w:rPr>
            </w:pPr>
          </w:p>
        </w:tc>
        <w:tc>
          <w:tcPr>
            <w:tcW w:w="660" w:type="dxa"/>
            <w:vAlign w:val="bottom"/>
            <w:shd w:val="clear" w:color="auto" w:fill="BFE4FF"/>
          </w:tcPr>
          <w:p>
            <w:pPr>
              <w:jc w:val="right"/>
              <w:ind w:right="552"/>
              <w:spacing w:after="0"/>
              <w:rPr>
                <w:sz w:val="20"/>
                <w:szCs w:val="20"/>
                <w:color w:val="auto"/>
              </w:rPr>
            </w:pPr>
            <w:r>
              <w:rPr>
                <w:rFonts w:ascii="Arial" w:cs="Arial" w:eastAsia="Arial" w:hAnsi="Arial"/>
                <w:sz w:val="10"/>
                <w:szCs w:val="10"/>
                <w:color w:val="auto"/>
                <w:w w:val="71"/>
              </w:rPr>
              <w:t>$</w:t>
            </w:r>
          </w:p>
        </w:tc>
        <w:tc>
          <w:tcPr>
            <w:tcW w:w="1200" w:type="dxa"/>
            <w:vAlign w:val="bottom"/>
            <w:shd w:val="clear" w:color="auto" w:fill="BFE4FF"/>
          </w:tcPr>
          <w:p>
            <w:pPr>
              <w:jc w:val="right"/>
              <w:ind w:right="72"/>
              <w:spacing w:after="0"/>
              <w:rPr>
                <w:sz w:val="20"/>
                <w:szCs w:val="20"/>
                <w:color w:val="auto"/>
              </w:rPr>
            </w:pPr>
            <w:r>
              <w:rPr>
                <w:rFonts w:ascii="Arial" w:cs="Arial" w:eastAsia="Arial" w:hAnsi="Arial"/>
                <w:sz w:val="10"/>
                <w:szCs w:val="10"/>
                <w:color w:val="auto"/>
              </w:rPr>
              <w:t>21</w:t>
            </w:r>
          </w:p>
        </w:tc>
      </w:tr>
      <w:tr>
        <w:trPr>
          <w:trHeight w:val="172"/>
        </w:trPr>
        <w:tc>
          <w:tcPr>
            <w:tcW w:w="5140" w:type="dxa"/>
            <w:vAlign w:val="bottom"/>
          </w:tcPr>
          <w:p>
            <w:pPr>
              <w:ind w:left="20"/>
              <w:spacing w:after="0"/>
              <w:rPr>
                <w:sz w:val="20"/>
                <w:szCs w:val="20"/>
                <w:color w:val="auto"/>
              </w:rPr>
            </w:pPr>
            <w:r>
              <w:rPr>
                <w:rFonts w:ascii="Arial" w:cs="Arial" w:eastAsia="Arial" w:hAnsi="Arial"/>
                <w:sz w:val="10"/>
                <w:szCs w:val="10"/>
                <w:color w:val="auto"/>
              </w:rPr>
              <w:t>Nine months ended</w:t>
            </w:r>
          </w:p>
        </w:tc>
        <w:tc>
          <w:tcPr>
            <w:tcW w:w="1420" w:type="dxa"/>
            <w:vAlign w:val="bottom"/>
          </w:tcPr>
          <w:p>
            <w:pPr>
              <w:jc w:val="right"/>
              <w:ind w:right="1292"/>
              <w:spacing w:after="0"/>
              <w:rPr>
                <w:sz w:val="20"/>
                <w:szCs w:val="20"/>
                <w:color w:val="auto"/>
              </w:rPr>
            </w:pPr>
            <w:r>
              <w:rPr>
                <w:rFonts w:ascii="Arial" w:cs="Arial" w:eastAsia="Arial" w:hAnsi="Arial"/>
                <w:sz w:val="10"/>
                <w:szCs w:val="10"/>
                <w:color w:val="auto"/>
              </w:rPr>
              <w:t>$</w:t>
            </w:r>
          </w:p>
        </w:tc>
        <w:tc>
          <w:tcPr>
            <w:tcW w:w="460" w:type="dxa"/>
            <w:vAlign w:val="bottom"/>
          </w:tcPr>
          <w:p>
            <w:pPr>
              <w:jc w:val="right"/>
              <w:ind w:right="32"/>
              <w:spacing w:after="0"/>
              <w:rPr>
                <w:sz w:val="20"/>
                <w:szCs w:val="20"/>
                <w:color w:val="auto"/>
              </w:rPr>
            </w:pPr>
            <w:r>
              <w:rPr>
                <w:rFonts w:ascii="Arial" w:cs="Arial" w:eastAsia="Arial" w:hAnsi="Arial"/>
                <w:sz w:val="10"/>
                <w:szCs w:val="10"/>
                <w:color w:val="auto"/>
              </w:rPr>
              <w:t>(164)</w:t>
            </w:r>
          </w:p>
        </w:tc>
        <w:tc>
          <w:tcPr>
            <w:tcW w:w="120" w:type="dxa"/>
            <w:vAlign w:val="bottom"/>
          </w:tcPr>
          <w:p>
            <w:pPr>
              <w:spacing w:after="0"/>
              <w:rPr>
                <w:sz w:val="14"/>
                <w:szCs w:val="14"/>
                <w:color w:val="auto"/>
              </w:rPr>
            </w:pPr>
          </w:p>
        </w:tc>
        <w:tc>
          <w:tcPr>
            <w:tcW w:w="1240" w:type="dxa"/>
            <w:vAlign w:val="bottom"/>
          </w:tcPr>
          <w:p>
            <w:pPr>
              <w:jc w:val="right"/>
              <w:ind w:right="1132"/>
              <w:spacing w:after="0"/>
              <w:rPr>
                <w:sz w:val="20"/>
                <w:szCs w:val="20"/>
                <w:color w:val="auto"/>
              </w:rPr>
            </w:pPr>
            <w:r>
              <w:rPr>
                <w:rFonts w:ascii="Arial" w:cs="Arial" w:eastAsia="Arial" w:hAnsi="Arial"/>
                <w:sz w:val="10"/>
                <w:szCs w:val="10"/>
                <w:color w:val="auto"/>
                <w:w w:val="71"/>
              </w:rPr>
              <w:t>$</w:t>
            </w:r>
          </w:p>
        </w:tc>
        <w:tc>
          <w:tcPr>
            <w:tcW w:w="620" w:type="dxa"/>
            <w:vAlign w:val="bottom"/>
          </w:tcPr>
          <w:p>
            <w:pPr>
              <w:jc w:val="right"/>
              <w:ind w:right="32"/>
              <w:spacing w:after="0"/>
              <w:rPr>
                <w:sz w:val="20"/>
                <w:szCs w:val="20"/>
                <w:color w:val="auto"/>
              </w:rPr>
            </w:pPr>
            <w:r>
              <w:rPr>
                <w:rFonts w:ascii="Arial" w:cs="Arial" w:eastAsia="Arial" w:hAnsi="Arial"/>
                <w:sz w:val="10"/>
                <w:szCs w:val="10"/>
                <w:color w:val="auto"/>
              </w:rPr>
              <w:t>(86)</w:t>
            </w:r>
          </w:p>
        </w:tc>
        <w:tc>
          <w:tcPr>
            <w:tcW w:w="100" w:type="dxa"/>
            <w:vAlign w:val="bottom"/>
          </w:tcPr>
          <w:p>
            <w:pPr>
              <w:spacing w:after="0"/>
              <w:rPr>
                <w:sz w:val="14"/>
                <w:szCs w:val="14"/>
                <w:color w:val="auto"/>
              </w:rPr>
            </w:pPr>
          </w:p>
        </w:tc>
        <w:tc>
          <w:tcPr>
            <w:tcW w:w="660" w:type="dxa"/>
            <w:vAlign w:val="bottom"/>
          </w:tcPr>
          <w:p>
            <w:pPr>
              <w:jc w:val="right"/>
              <w:ind w:right="552"/>
              <w:spacing w:after="0"/>
              <w:rPr>
                <w:sz w:val="20"/>
                <w:szCs w:val="20"/>
                <w:color w:val="auto"/>
              </w:rPr>
            </w:pPr>
            <w:r>
              <w:rPr>
                <w:rFonts w:ascii="Arial" w:cs="Arial" w:eastAsia="Arial" w:hAnsi="Arial"/>
                <w:sz w:val="10"/>
                <w:szCs w:val="10"/>
                <w:color w:val="auto"/>
                <w:w w:val="71"/>
              </w:rPr>
              <w:t>$</w:t>
            </w:r>
          </w:p>
        </w:tc>
        <w:tc>
          <w:tcPr>
            <w:tcW w:w="1200" w:type="dxa"/>
            <w:vAlign w:val="bottom"/>
          </w:tcPr>
          <w:p>
            <w:pPr>
              <w:jc w:val="right"/>
              <w:ind w:right="32"/>
              <w:spacing w:after="0"/>
              <w:rPr>
                <w:sz w:val="20"/>
                <w:szCs w:val="20"/>
                <w:color w:val="auto"/>
              </w:rPr>
            </w:pPr>
            <w:r>
              <w:rPr>
                <w:rFonts w:ascii="Arial" w:cs="Arial" w:eastAsia="Arial" w:hAnsi="Arial"/>
                <w:sz w:val="10"/>
                <w:szCs w:val="10"/>
                <w:color w:val="auto"/>
              </w:rPr>
              <w:t>(78)</w:t>
            </w:r>
          </w:p>
        </w:tc>
      </w:tr>
    </w:tbl>
    <w:p>
      <w:pPr>
        <w:spacing w:after="0" w:line="197"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 xml:space="preserve">The size of our average investment portfolio decreased in par value, compared to the prior year period, by 1% and 8% for the three and nine months ended September 30, 2016, respectively. The decline was largely due to a relative shift from investments recognized as securities on our consolidated financial statements to investments in TBA securities recognized as derivative assets / liabilities on our consolidated financial statements. The size of our investment portfolio was also impacted by share repurchase activity and changes in our "at risk" leverage ratio (see </w:t>
      </w:r>
      <w:r>
        <w:rPr>
          <w:rFonts w:ascii="Arial" w:cs="Arial" w:eastAsia="Arial" w:hAnsi="Arial"/>
          <w:sz w:val="12"/>
          <w:szCs w:val="12"/>
          <w:i w:val="1"/>
          <w:iCs w:val="1"/>
          <w:color w:val="auto"/>
        </w:rPr>
        <w:t>"Leverage"</w:t>
      </w:r>
      <w:r>
        <w:rPr>
          <w:rFonts w:ascii="Arial" w:cs="Arial" w:eastAsia="Arial" w:hAnsi="Arial"/>
          <w:sz w:val="12"/>
          <w:szCs w:val="12"/>
          <w:color w:val="auto"/>
        </w:rPr>
        <w:t xml:space="preserve"> below).</w:t>
      </w:r>
    </w:p>
    <w:p>
      <w:pPr>
        <w:spacing w:after="0" w:line="33" w:lineRule="exact"/>
        <w:rPr>
          <w:sz w:val="20"/>
          <w:szCs w:val="20"/>
          <w:color w:val="auto"/>
        </w:rPr>
      </w:pPr>
    </w:p>
    <w:p>
      <w:pPr>
        <w:jc w:val="both"/>
        <w:ind w:firstLine="288"/>
        <w:spacing w:after="0" w:line="298" w:lineRule="auto"/>
        <w:rPr>
          <w:sz w:val="20"/>
          <w:szCs w:val="20"/>
          <w:color w:val="auto"/>
        </w:rPr>
      </w:pPr>
      <w:r>
        <w:rPr>
          <w:rFonts w:ascii="Arial" w:cs="Arial" w:eastAsia="Arial" w:hAnsi="Arial"/>
          <w:sz w:val="11"/>
          <w:szCs w:val="11"/>
          <w:color w:val="auto"/>
        </w:rPr>
        <w:t>Our average asset yield differed from the prior year period largely due to fluctuations in "catch-up" premium amortization cost recognized due to changes in our projected CPR estimates. We recognized "catch-up" premium amortization cost of $8 million and $95 million for the three and nine months ended September 30, 2016, respectively, compared to a cost of $33 million and $15 million for the prior year period, respectively. Excluding "catch-up" premium amortization cost, our average asset yield was 2.66% and 2.70% for the three and nine months ended September 30, 2016, respectively, largely unchanged from 2.69% and 2.70%, respectively, for the prior year period.</w:t>
      </w:r>
    </w:p>
    <w:p>
      <w:pPr>
        <w:spacing w:after="0" w:line="105"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Leverage</w:t>
      </w:r>
    </w:p>
    <w:p>
      <w:pPr>
        <w:spacing w:after="0" w:line="123"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Our primary measures of leverage are our "at risk" leverage and our tangible net book value "at risk" leverage ratio. "At risk" leverage is measured as the sum of our mortgage borrowings (consisting of repurchase agreements used to fund our investment securities ("agency repo"), FHLB advances and debt of consolidated VIEs), net TBA position (at cost) and our net receivable / payable for unsettled investment securities divided by the sum of our total stockholders' equity less the fair value of our investments in REIT equity securities. Tangible net book value "at risk" leverage includes adjustments to exclude goodwill and other intangible assets, net of accumulated amortization, related to our acquisition of AMM from stockholders' equity.</w:t>
      </w:r>
    </w:p>
    <w:p>
      <w:pPr>
        <w:spacing w:after="0" w:line="89"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 xml:space="preserve">We include our net TBA position in our measures of leverage because a long TBA position carries similar risks as if we had purchased the underlying MBS assets and funded the purchases with on-balance sheet funding liabilities. Similarly, a short TBA position has substantially the same effect as selling the underlying MBS assets and reducing our on-balance sheet funding commitments. (Refer to </w:t>
      </w:r>
      <w:r>
        <w:rPr>
          <w:rFonts w:ascii="Arial" w:cs="Arial" w:eastAsia="Arial" w:hAnsi="Arial"/>
          <w:sz w:val="12"/>
          <w:szCs w:val="12"/>
          <w:i w:val="1"/>
          <w:iCs w:val="1"/>
          <w:color w:val="auto"/>
        </w:rPr>
        <w:t>Liquidity and Capital Resources</w:t>
      </w:r>
      <w:r>
        <w:rPr>
          <w:rFonts w:ascii="Arial" w:cs="Arial" w:eastAsia="Arial" w:hAnsi="Arial"/>
          <w:sz w:val="12"/>
          <w:szCs w:val="12"/>
          <w:color w:val="auto"/>
        </w:rPr>
        <w:t xml:space="preserve"> for further discussion of TBA dollar roll positions). Repurchase agreements used to fund short-term investments in U.S. Treasury securities ("U.S. Treasury repo") are excluded from our measures of leverage due to the temporary and highly liquid nature of these investments.</w:t>
      </w:r>
    </w:p>
    <w:p>
      <w:pPr>
        <w:spacing w:after="0" w:line="89" w:lineRule="exact"/>
        <w:rPr>
          <w:sz w:val="20"/>
          <w:szCs w:val="20"/>
          <w:color w:val="auto"/>
        </w:rPr>
      </w:pPr>
    </w:p>
    <w:p>
      <w:pPr>
        <w:ind w:left="280"/>
        <w:spacing w:after="0"/>
        <w:rPr>
          <w:sz w:val="20"/>
          <w:szCs w:val="20"/>
          <w:color w:val="auto"/>
        </w:rPr>
      </w:pPr>
      <w:r>
        <w:rPr>
          <w:rFonts w:ascii="Arial" w:cs="Arial" w:eastAsia="Arial" w:hAnsi="Arial"/>
          <w:sz w:val="11"/>
          <w:szCs w:val="11"/>
          <w:color w:val="auto"/>
        </w:rPr>
        <w:t>Our total "at risk" leverage was 7.2x and 6.8x our stockholders' equity as of September 30, 2016 and December 31, 2015, respectively. Our tangible net book value "at risk" leverage was 7.7x our tangible stockholders' equity as of</w:t>
      </w:r>
    </w:p>
    <w:p>
      <w:pPr>
        <w:spacing w:after="0" w:line="26" w:lineRule="exact"/>
        <w:rPr>
          <w:sz w:val="20"/>
          <w:szCs w:val="20"/>
          <w:color w:val="auto"/>
        </w:rPr>
      </w:pPr>
    </w:p>
    <w:p>
      <w:pPr>
        <w:spacing w:after="0"/>
        <w:rPr>
          <w:sz w:val="20"/>
          <w:szCs w:val="20"/>
          <w:color w:val="auto"/>
        </w:rPr>
      </w:pPr>
      <w:r>
        <w:rPr>
          <w:rFonts w:ascii="Arial" w:cs="Arial" w:eastAsia="Arial" w:hAnsi="Arial"/>
          <w:sz w:val="12"/>
          <w:szCs w:val="12"/>
          <w:color w:val="auto"/>
        </w:rPr>
        <w:t>September 30, 2016. The table below presents our average and quarter-end mortgage borrowings, net TBA position and leverage ratios for each of the three month periods listed below (dollars in millions):</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101"/>
        </w:trPr>
        <w:tc>
          <w:tcPr>
            <w:tcW w:w="286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7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20" w:type="dxa"/>
            <w:vAlign w:val="bottom"/>
            <w:gridSpan w:val="4"/>
          </w:tcPr>
          <w:p>
            <w:pPr>
              <w:jc w:val="right"/>
              <w:ind w:right="493"/>
              <w:spacing w:after="0"/>
              <w:rPr>
                <w:sz w:val="20"/>
                <w:szCs w:val="20"/>
                <w:color w:val="auto"/>
              </w:rPr>
            </w:pPr>
            <w:r>
              <w:rPr>
                <w:rFonts w:ascii="Arial" w:cs="Arial" w:eastAsia="Arial" w:hAnsi="Arial"/>
                <w:sz w:val="8"/>
                <w:szCs w:val="8"/>
                <w:b w:val="1"/>
                <w:bCs w:val="1"/>
                <w:color w:val="auto"/>
              </w:rPr>
              <w:t>Net TBA Position</w:t>
            </w:r>
          </w:p>
        </w:tc>
        <w:tc>
          <w:tcPr>
            <w:tcW w:w="1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20" w:type="dxa"/>
            <w:vAlign w:val="bottom"/>
          </w:tcPr>
          <w:p>
            <w:pPr>
              <w:spacing w:after="0"/>
              <w:rPr>
                <w:sz w:val="8"/>
                <w:szCs w:val="8"/>
                <w:color w:val="auto"/>
              </w:rPr>
            </w:pPr>
          </w:p>
        </w:tc>
        <w:tc>
          <w:tcPr>
            <w:tcW w:w="920" w:type="dxa"/>
            <w:vAlign w:val="bottom"/>
          </w:tcPr>
          <w:p>
            <w:pPr>
              <w:jc w:val="center"/>
              <w:spacing w:after="0"/>
              <w:rPr>
                <w:sz w:val="20"/>
                <w:szCs w:val="20"/>
                <w:color w:val="auto"/>
              </w:rPr>
            </w:pPr>
            <w:r>
              <w:rPr>
                <w:rFonts w:ascii="Arial" w:cs="Arial" w:eastAsia="Arial" w:hAnsi="Arial"/>
                <w:sz w:val="8"/>
                <w:szCs w:val="8"/>
                <w:b w:val="1"/>
                <w:bCs w:val="1"/>
                <w:color w:val="auto"/>
                <w:w w:val="93"/>
              </w:rPr>
              <w:t>Tangible Net Book</w:t>
            </w:r>
          </w:p>
        </w:tc>
        <w:tc>
          <w:tcPr>
            <w:tcW w:w="0" w:type="dxa"/>
            <w:vAlign w:val="bottom"/>
          </w:tcPr>
          <w:p>
            <w:pPr>
              <w:spacing w:after="0"/>
              <w:rPr>
                <w:sz w:val="1"/>
                <w:szCs w:val="1"/>
                <w:color w:val="auto"/>
              </w:rPr>
            </w:pPr>
          </w:p>
        </w:tc>
      </w:tr>
      <w:tr>
        <w:trPr>
          <w:trHeight w:val="90"/>
        </w:trPr>
        <w:tc>
          <w:tcPr>
            <w:tcW w:w="28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20" w:type="dxa"/>
            <w:vAlign w:val="bottom"/>
          </w:tcPr>
          <w:p>
            <w:pPr>
              <w:spacing w:after="0"/>
              <w:rPr>
                <w:sz w:val="7"/>
                <w:szCs w:val="7"/>
                <w:color w:val="auto"/>
              </w:rPr>
            </w:pPr>
          </w:p>
        </w:tc>
        <w:tc>
          <w:tcPr>
            <w:tcW w:w="700" w:type="dxa"/>
            <w:vAlign w:val="bottom"/>
          </w:tcPr>
          <w:p>
            <w:pPr>
              <w:spacing w:after="0"/>
              <w:rPr>
                <w:sz w:val="7"/>
                <w:szCs w:val="7"/>
                <w:color w:val="auto"/>
              </w:rPr>
            </w:pPr>
          </w:p>
        </w:tc>
        <w:tc>
          <w:tcPr>
            <w:tcW w:w="1040" w:type="dxa"/>
            <w:vAlign w:val="bottom"/>
            <w:gridSpan w:val="4"/>
          </w:tcPr>
          <w:p>
            <w:pPr>
              <w:jc w:val="center"/>
              <w:spacing w:after="0" w:line="90" w:lineRule="exact"/>
              <w:rPr>
                <w:sz w:val="20"/>
                <w:szCs w:val="20"/>
                <w:color w:val="auto"/>
              </w:rPr>
            </w:pPr>
            <w:r>
              <w:rPr>
                <w:rFonts w:ascii="Arial" w:cs="Arial" w:eastAsia="Arial" w:hAnsi="Arial"/>
                <w:sz w:val="8"/>
                <w:szCs w:val="8"/>
                <w:b w:val="1"/>
                <w:bCs w:val="1"/>
                <w:color w:val="auto"/>
                <w:w w:val="95"/>
              </w:rPr>
              <w:t xml:space="preserve">Mortgage Borrowings </w:t>
            </w:r>
            <w:r>
              <w:rPr>
                <w:rFonts w:ascii="Arial" w:cs="Arial" w:eastAsia="Arial" w:hAnsi="Arial"/>
                <w:sz w:val="5"/>
                <w:szCs w:val="5"/>
                <w:b w:val="1"/>
                <w:bCs w:val="1"/>
                <w:color w:val="auto"/>
                <w:w w:val="95"/>
              </w:rPr>
              <w:t>1</w:t>
            </w:r>
          </w:p>
        </w:tc>
        <w:tc>
          <w:tcPr>
            <w:tcW w:w="160" w:type="dxa"/>
            <w:vAlign w:val="bottom"/>
          </w:tcPr>
          <w:p>
            <w:pPr>
              <w:spacing w:after="0"/>
              <w:rPr>
                <w:sz w:val="7"/>
                <w:szCs w:val="7"/>
                <w:color w:val="auto"/>
              </w:rPr>
            </w:pPr>
          </w:p>
        </w:tc>
        <w:tc>
          <w:tcPr>
            <w:tcW w:w="6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40" w:type="dxa"/>
            <w:vAlign w:val="bottom"/>
            <w:gridSpan w:val="3"/>
          </w:tcPr>
          <w:p>
            <w:pPr>
              <w:jc w:val="right"/>
              <w:spacing w:after="0" w:line="90" w:lineRule="exact"/>
              <w:rPr>
                <w:sz w:val="20"/>
                <w:szCs w:val="20"/>
                <w:color w:val="auto"/>
              </w:rPr>
            </w:pPr>
            <w:r>
              <w:rPr>
                <w:rFonts w:ascii="Arial" w:cs="Arial" w:eastAsia="Arial" w:hAnsi="Arial"/>
                <w:sz w:val="8"/>
                <w:szCs w:val="8"/>
                <w:b w:val="1"/>
                <w:bCs w:val="1"/>
                <w:color w:val="auto"/>
              </w:rPr>
              <w:t xml:space="preserve">Long / (Short) </w:t>
            </w:r>
            <w:r>
              <w:rPr>
                <w:rFonts w:ascii="Arial" w:cs="Arial" w:eastAsia="Arial" w:hAnsi="Arial"/>
                <w:sz w:val="5"/>
                <w:szCs w:val="5"/>
                <w:b w:val="1"/>
                <w:bCs w:val="1"/>
                <w:color w:val="auto"/>
              </w:rPr>
              <w:t>2</w:t>
            </w:r>
          </w:p>
        </w:tc>
        <w:tc>
          <w:tcPr>
            <w:tcW w:w="58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120" w:type="dxa"/>
            <w:vAlign w:val="bottom"/>
            <w:gridSpan w:val="2"/>
          </w:tcPr>
          <w:p>
            <w:pPr>
              <w:jc w:val="center"/>
              <w:ind w:right="100"/>
              <w:spacing w:after="0" w:line="90" w:lineRule="exact"/>
              <w:rPr>
                <w:sz w:val="20"/>
                <w:szCs w:val="20"/>
                <w:color w:val="auto"/>
              </w:rPr>
            </w:pPr>
            <w:r>
              <w:rPr>
                <w:rFonts w:ascii="Arial" w:cs="Arial" w:eastAsia="Arial" w:hAnsi="Arial"/>
                <w:sz w:val="8"/>
                <w:szCs w:val="8"/>
                <w:b w:val="1"/>
                <w:bCs w:val="1"/>
                <w:color w:val="auto"/>
                <w:w w:val="95"/>
              </w:rPr>
              <w:t>Tangible Net Book Value</w:t>
            </w:r>
          </w:p>
        </w:tc>
        <w:tc>
          <w:tcPr>
            <w:tcW w:w="800" w:type="dxa"/>
            <w:vAlign w:val="bottom"/>
          </w:tcPr>
          <w:p>
            <w:pPr>
              <w:spacing w:after="0"/>
              <w:rPr>
                <w:sz w:val="7"/>
                <w:szCs w:val="7"/>
                <w:color w:val="auto"/>
              </w:rPr>
            </w:pPr>
          </w:p>
        </w:tc>
        <w:tc>
          <w:tcPr>
            <w:tcW w:w="120" w:type="dxa"/>
            <w:vAlign w:val="bottom"/>
          </w:tcPr>
          <w:p>
            <w:pPr>
              <w:spacing w:after="0"/>
              <w:rPr>
                <w:sz w:val="7"/>
                <w:szCs w:val="7"/>
                <w:color w:val="auto"/>
              </w:rPr>
            </w:pPr>
          </w:p>
        </w:tc>
        <w:tc>
          <w:tcPr>
            <w:tcW w:w="920" w:type="dxa"/>
            <w:vAlign w:val="bottom"/>
          </w:tcPr>
          <w:p>
            <w:pPr>
              <w:jc w:val="center"/>
              <w:spacing w:after="0" w:line="90" w:lineRule="exact"/>
              <w:rPr>
                <w:sz w:val="20"/>
                <w:szCs w:val="20"/>
                <w:color w:val="auto"/>
              </w:rPr>
            </w:pPr>
            <w:r>
              <w:rPr>
                <w:rFonts w:ascii="Arial" w:cs="Arial" w:eastAsia="Arial" w:hAnsi="Arial"/>
                <w:sz w:val="8"/>
                <w:szCs w:val="8"/>
                <w:b w:val="1"/>
                <w:bCs w:val="1"/>
                <w:color w:val="auto"/>
              </w:rPr>
              <w:t>Value "At Risk"</w:t>
            </w:r>
          </w:p>
        </w:tc>
        <w:tc>
          <w:tcPr>
            <w:tcW w:w="0" w:type="dxa"/>
            <w:vAlign w:val="bottom"/>
          </w:tcPr>
          <w:p>
            <w:pPr>
              <w:spacing w:after="0"/>
              <w:rPr>
                <w:sz w:val="1"/>
                <w:szCs w:val="1"/>
                <w:color w:val="auto"/>
              </w:rPr>
            </w:pPr>
          </w:p>
        </w:tc>
      </w:tr>
      <w:tr>
        <w:trPr>
          <w:trHeight w:val="36"/>
        </w:trPr>
        <w:tc>
          <w:tcPr>
            <w:tcW w:w="28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2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gridSpan w:val="2"/>
            <w:vMerge w:val="restart"/>
          </w:tcPr>
          <w:p>
            <w:pPr>
              <w:jc w:val="center"/>
              <w:ind w:right="100"/>
              <w:spacing w:after="0" w:line="79" w:lineRule="exact"/>
              <w:rPr>
                <w:sz w:val="20"/>
                <w:szCs w:val="20"/>
                <w:color w:val="auto"/>
              </w:rPr>
            </w:pPr>
            <w:r>
              <w:rPr>
                <w:rFonts w:ascii="Arial" w:cs="Arial" w:eastAsia="Arial" w:hAnsi="Arial"/>
                <w:sz w:val="8"/>
                <w:szCs w:val="8"/>
                <w:b w:val="1"/>
                <w:bCs w:val="1"/>
                <w:color w:val="auto"/>
                <w:w w:val="94"/>
              </w:rPr>
              <w:t>Average Total</w:t>
            </w:r>
          </w:p>
        </w:tc>
        <w:tc>
          <w:tcPr>
            <w:tcW w:w="1120" w:type="dxa"/>
            <w:vAlign w:val="bottom"/>
            <w:gridSpan w:val="2"/>
            <w:vMerge w:val="restart"/>
          </w:tcPr>
          <w:p>
            <w:pPr>
              <w:jc w:val="center"/>
              <w:ind w:right="100"/>
              <w:spacing w:after="0" w:line="79" w:lineRule="exact"/>
              <w:rPr>
                <w:sz w:val="20"/>
                <w:szCs w:val="20"/>
                <w:color w:val="auto"/>
              </w:rPr>
            </w:pPr>
            <w:r>
              <w:rPr>
                <w:rFonts w:ascii="Arial" w:cs="Arial" w:eastAsia="Arial" w:hAnsi="Arial"/>
                <w:sz w:val="8"/>
                <w:szCs w:val="8"/>
                <w:b w:val="1"/>
                <w:bCs w:val="1"/>
                <w:color w:val="auto"/>
                <w:w w:val="94"/>
              </w:rPr>
              <w:t>Average Total</w:t>
            </w:r>
          </w:p>
        </w:tc>
        <w:tc>
          <w:tcPr>
            <w:tcW w:w="920" w:type="dxa"/>
            <w:vAlign w:val="bottom"/>
            <w:gridSpan w:val="2"/>
            <w:vMerge w:val="restart"/>
          </w:tcPr>
          <w:p>
            <w:pPr>
              <w:jc w:val="center"/>
              <w:ind w:right="120"/>
              <w:spacing w:after="0" w:line="79" w:lineRule="exact"/>
              <w:rPr>
                <w:sz w:val="20"/>
                <w:szCs w:val="20"/>
                <w:color w:val="auto"/>
              </w:rPr>
            </w:pPr>
            <w:r>
              <w:rPr>
                <w:rFonts w:ascii="Arial" w:cs="Arial" w:eastAsia="Arial" w:hAnsi="Arial"/>
                <w:sz w:val="8"/>
                <w:szCs w:val="8"/>
                <w:b w:val="1"/>
                <w:bCs w:val="1"/>
                <w:color w:val="auto"/>
                <w:w w:val="99"/>
              </w:rPr>
              <w:t>"At Risk" Leverage</w:t>
            </w:r>
          </w:p>
        </w:tc>
        <w:tc>
          <w:tcPr>
            <w:tcW w:w="920" w:type="dxa"/>
            <w:vAlign w:val="bottom"/>
            <w:vMerge w:val="restart"/>
          </w:tcPr>
          <w:p>
            <w:pPr>
              <w:jc w:val="center"/>
              <w:spacing w:after="0" w:line="79" w:lineRule="exact"/>
              <w:rPr>
                <w:sz w:val="20"/>
                <w:szCs w:val="20"/>
                <w:color w:val="auto"/>
              </w:rPr>
            </w:pPr>
            <w:r>
              <w:rPr>
                <w:rFonts w:ascii="Arial" w:cs="Arial" w:eastAsia="Arial" w:hAnsi="Arial"/>
                <w:sz w:val="8"/>
                <w:szCs w:val="8"/>
                <w:b w:val="1"/>
                <w:bCs w:val="1"/>
                <w:color w:val="auto"/>
                <w:w w:val="90"/>
              </w:rPr>
              <w:t>Leverage</w:t>
            </w:r>
          </w:p>
        </w:tc>
        <w:tc>
          <w:tcPr>
            <w:tcW w:w="0" w:type="dxa"/>
            <w:vAlign w:val="bottom"/>
          </w:tcPr>
          <w:p>
            <w:pPr>
              <w:spacing w:after="0"/>
              <w:rPr>
                <w:sz w:val="1"/>
                <w:szCs w:val="1"/>
                <w:color w:val="auto"/>
              </w:rPr>
            </w:pPr>
          </w:p>
        </w:tc>
      </w:tr>
      <w:tr>
        <w:trPr>
          <w:trHeight w:val="23"/>
        </w:trPr>
        <w:tc>
          <w:tcPr>
            <w:tcW w:w="28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7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Pr>
          <w:p>
            <w:pPr>
              <w:spacing w:after="0"/>
              <w:rPr>
                <w:sz w:val="2"/>
                <w:szCs w:val="2"/>
                <w:color w:val="auto"/>
              </w:rPr>
            </w:pPr>
          </w:p>
        </w:tc>
        <w:tc>
          <w:tcPr>
            <w:tcW w:w="6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70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20" w:type="dxa"/>
            <w:vAlign w:val="bottom"/>
            <w:gridSpan w:val="2"/>
            <w:vMerge w:val="continue"/>
          </w:tcPr>
          <w:p>
            <w:pPr>
              <w:spacing w:after="0"/>
              <w:rPr>
                <w:sz w:val="2"/>
                <w:szCs w:val="2"/>
                <w:color w:val="auto"/>
              </w:rPr>
            </w:pPr>
          </w:p>
        </w:tc>
        <w:tc>
          <w:tcPr>
            <w:tcW w:w="1120" w:type="dxa"/>
            <w:vAlign w:val="bottom"/>
            <w:gridSpan w:val="2"/>
            <w:vMerge w:val="continue"/>
          </w:tcPr>
          <w:p>
            <w:pPr>
              <w:spacing w:after="0"/>
              <w:rPr>
                <w:sz w:val="2"/>
                <w:szCs w:val="2"/>
                <w:color w:val="auto"/>
              </w:rPr>
            </w:pPr>
          </w:p>
        </w:tc>
        <w:tc>
          <w:tcPr>
            <w:tcW w:w="920" w:type="dxa"/>
            <w:vAlign w:val="bottom"/>
            <w:gridSpan w:val="2"/>
            <w:vMerge w:val="continue"/>
          </w:tcPr>
          <w:p>
            <w:pPr>
              <w:spacing w:after="0"/>
              <w:rPr>
                <w:sz w:val="2"/>
                <w:szCs w:val="2"/>
                <w:color w:val="auto"/>
              </w:rPr>
            </w:pPr>
          </w:p>
        </w:tc>
        <w:tc>
          <w:tcPr>
            <w:tcW w:w="920" w:type="dxa"/>
            <w:vAlign w:val="bottom"/>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90"/>
        </w:trPr>
        <w:tc>
          <w:tcPr>
            <w:tcW w:w="28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20" w:type="dxa"/>
            <w:vAlign w:val="bottom"/>
          </w:tcPr>
          <w:p>
            <w:pPr>
              <w:spacing w:after="0"/>
              <w:rPr>
                <w:sz w:val="7"/>
                <w:szCs w:val="7"/>
                <w:color w:val="auto"/>
              </w:rPr>
            </w:pPr>
          </w:p>
        </w:tc>
        <w:tc>
          <w:tcPr>
            <w:tcW w:w="700" w:type="dxa"/>
            <w:vAlign w:val="bottom"/>
          </w:tcPr>
          <w:p>
            <w:pPr>
              <w:jc w:val="right"/>
              <w:ind w:right="113"/>
              <w:spacing w:after="0" w:line="90" w:lineRule="exact"/>
              <w:rPr>
                <w:sz w:val="20"/>
                <w:szCs w:val="20"/>
                <w:color w:val="auto"/>
              </w:rPr>
            </w:pPr>
            <w:r>
              <w:rPr>
                <w:rFonts w:ascii="Arial" w:cs="Arial" w:eastAsia="Arial" w:hAnsi="Arial"/>
                <w:sz w:val="8"/>
                <w:szCs w:val="8"/>
                <w:b w:val="1"/>
                <w:bCs w:val="1"/>
                <w:color w:val="auto"/>
                <w:w w:val="98"/>
              </w:rPr>
              <w:t>Average Daily</w:t>
            </w: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820" w:type="dxa"/>
            <w:vAlign w:val="bottom"/>
            <w:gridSpan w:val="2"/>
          </w:tcPr>
          <w:p>
            <w:pPr>
              <w:jc w:val="center"/>
              <w:ind w:right="240"/>
              <w:spacing w:after="0" w:line="90" w:lineRule="exact"/>
              <w:rPr>
                <w:sz w:val="20"/>
                <w:szCs w:val="20"/>
                <w:color w:val="auto"/>
              </w:rPr>
            </w:pPr>
            <w:r>
              <w:rPr>
                <w:rFonts w:ascii="Arial" w:cs="Arial" w:eastAsia="Arial" w:hAnsi="Arial"/>
                <w:sz w:val="8"/>
                <w:szCs w:val="8"/>
                <w:b w:val="1"/>
                <w:bCs w:val="1"/>
                <w:color w:val="auto"/>
              </w:rPr>
              <w:t>Maximum</w:t>
            </w:r>
          </w:p>
        </w:tc>
        <w:tc>
          <w:tcPr>
            <w:tcW w:w="160" w:type="dxa"/>
            <w:vAlign w:val="bottom"/>
          </w:tcPr>
          <w:p>
            <w:pPr>
              <w:spacing w:after="0"/>
              <w:rPr>
                <w:sz w:val="7"/>
                <w:szCs w:val="7"/>
                <w:color w:val="auto"/>
              </w:rPr>
            </w:pPr>
          </w:p>
        </w:tc>
        <w:tc>
          <w:tcPr>
            <w:tcW w:w="760" w:type="dxa"/>
            <w:vAlign w:val="bottom"/>
            <w:gridSpan w:val="2"/>
          </w:tcPr>
          <w:p>
            <w:pPr>
              <w:ind w:left="120"/>
              <w:spacing w:after="0" w:line="90" w:lineRule="exact"/>
              <w:rPr>
                <w:sz w:val="20"/>
                <w:szCs w:val="20"/>
                <w:color w:val="auto"/>
              </w:rPr>
            </w:pPr>
            <w:r>
              <w:rPr>
                <w:rFonts w:ascii="Arial" w:cs="Arial" w:eastAsia="Arial" w:hAnsi="Arial"/>
                <w:sz w:val="8"/>
                <w:szCs w:val="8"/>
                <w:b w:val="1"/>
                <w:bCs w:val="1"/>
                <w:color w:val="auto"/>
              </w:rPr>
              <w:t>Ending</w:t>
            </w:r>
          </w:p>
        </w:tc>
        <w:tc>
          <w:tcPr>
            <w:tcW w:w="120" w:type="dxa"/>
            <w:vAlign w:val="bottom"/>
          </w:tcPr>
          <w:p>
            <w:pPr>
              <w:spacing w:after="0"/>
              <w:rPr>
                <w:sz w:val="7"/>
                <w:szCs w:val="7"/>
                <w:color w:val="auto"/>
              </w:rPr>
            </w:pPr>
          </w:p>
        </w:tc>
        <w:tc>
          <w:tcPr>
            <w:tcW w:w="820" w:type="dxa"/>
            <w:vAlign w:val="bottom"/>
            <w:gridSpan w:val="2"/>
          </w:tcPr>
          <w:p>
            <w:pPr>
              <w:ind w:left="40"/>
              <w:spacing w:after="0" w:line="90" w:lineRule="exact"/>
              <w:rPr>
                <w:sz w:val="20"/>
                <w:szCs w:val="20"/>
                <w:color w:val="auto"/>
              </w:rPr>
            </w:pPr>
            <w:r>
              <w:rPr>
                <w:rFonts w:ascii="Arial" w:cs="Arial" w:eastAsia="Arial" w:hAnsi="Arial"/>
                <w:sz w:val="8"/>
                <w:szCs w:val="8"/>
                <w:b w:val="1"/>
                <w:bCs w:val="1"/>
                <w:color w:val="auto"/>
              </w:rPr>
              <w:t>Average Daily</w:t>
            </w:r>
          </w:p>
        </w:tc>
        <w:tc>
          <w:tcPr>
            <w:tcW w:w="220" w:type="dxa"/>
            <w:vAlign w:val="bottom"/>
          </w:tcPr>
          <w:p>
            <w:pPr>
              <w:spacing w:after="0"/>
              <w:rPr>
                <w:sz w:val="7"/>
                <w:szCs w:val="7"/>
                <w:color w:val="auto"/>
              </w:rPr>
            </w:pPr>
          </w:p>
        </w:tc>
        <w:tc>
          <w:tcPr>
            <w:tcW w:w="580" w:type="dxa"/>
            <w:vAlign w:val="bottom"/>
          </w:tcPr>
          <w:p>
            <w:pPr>
              <w:jc w:val="right"/>
              <w:ind w:right="233"/>
              <w:spacing w:after="0" w:line="90" w:lineRule="exact"/>
              <w:rPr>
                <w:sz w:val="20"/>
                <w:szCs w:val="20"/>
                <w:color w:val="auto"/>
              </w:rPr>
            </w:pPr>
            <w:r>
              <w:rPr>
                <w:rFonts w:ascii="Arial" w:cs="Arial" w:eastAsia="Arial" w:hAnsi="Arial"/>
                <w:sz w:val="8"/>
                <w:szCs w:val="8"/>
                <w:b w:val="1"/>
                <w:bCs w:val="1"/>
                <w:color w:val="auto"/>
              </w:rPr>
              <w:t>Ending</w:t>
            </w:r>
          </w:p>
        </w:tc>
        <w:tc>
          <w:tcPr>
            <w:tcW w:w="100" w:type="dxa"/>
            <w:vAlign w:val="bottom"/>
          </w:tcPr>
          <w:p>
            <w:pPr>
              <w:spacing w:after="0"/>
              <w:rPr>
                <w:sz w:val="7"/>
                <w:szCs w:val="7"/>
                <w:color w:val="auto"/>
              </w:rPr>
            </w:pPr>
          </w:p>
        </w:tc>
        <w:tc>
          <w:tcPr>
            <w:tcW w:w="920" w:type="dxa"/>
            <w:vAlign w:val="bottom"/>
            <w:gridSpan w:val="2"/>
          </w:tcPr>
          <w:p>
            <w:pPr>
              <w:jc w:val="center"/>
              <w:ind w:right="120"/>
              <w:spacing w:after="0" w:line="90" w:lineRule="exact"/>
              <w:rPr>
                <w:sz w:val="20"/>
                <w:szCs w:val="20"/>
                <w:color w:val="auto"/>
              </w:rPr>
            </w:pPr>
            <w:r>
              <w:rPr>
                <w:rFonts w:ascii="Arial" w:cs="Arial" w:eastAsia="Arial" w:hAnsi="Arial"/>
                <w:sz w:val="8"/>
                <w:szCs w:val="8"/>
                <w:b w:val="1"/>
                <w:bCs w:val="1"/>
                <w:color w:val="auto"/>
                <w:w w:val="99"/>
              </w:rPr>
              <w:t>"At Risk" Leverage</w:t>
            </w:r>
          </w:p>
        </w:tc>
        <w:tc>
          <w:tcPr>
            <w:tcW w:w="1120" w:type="dxa"/>
            <w:vAlign w:val="bottom"/>
            <w:gridSpan w:val="2"/>
          </w:tcPr>
          <w:p>
            <w:pPr>
              <w:jc w:val="center"/>
              <w:ind w:right="100"/>
              <w:spacing w:after="0" w:line="90" w:lineRule="exact"/>
              <w:rPr>
                <w:sz w:val="20"/>
                <w:szCs w:val="20"/>
                <w:color w:val="auto"/>
              </w:rPr>
            </w:pPr>
            <w:r>
              <w:rPr>
                <w:rFonts w:ascii="Arial" w:cs="Arial" w:eastAsia="Arial" w:hAnsi="Arial"/>
                <w:sz w:val="8"/>
                <w:szCs w:val="8"/>
                <w:b w:val="1"/>
                <w:bCs w:val="1"/>
                <w:color w:val="auto"/>
                <w:w w:val="98"/>
              </w:rPr>
              <w:t>"At Risk" Leverage during</w:t>
            </w:r>
          </w:p>
        </w:tc>
        <w:tc>
          <w:tcPr>
            <w:tcW w:w="920" w:type="dxa"/>
            <w:vAlign w:val="bottom"/>
            <w:gridSpan w:val="2"/>
          </w:tcPr>
          <w:p>
            <w:pPr>
              <w:jc w:val="center"/>
              <w:ind w:right="100"/>
              <w:spacing w:after="0" w:line="90" w:lineRule="exact"/>
              <w:rPr>
                <w:sz w:val="20"/>
                <w:szCs w:val="20"/>
                <w:color w:val="auto"/>
              </w:rPr>
            </w:pPr>
            <w:r>
              <w:rPr>
                <w:rFonts w:ascii="Arial" w:cs="Arial" w:eastAsia="Arial" w:hAnsi="Arial"/>
                <w:sz w:val="8"/>
                <w:szCs w:val="8"/>
                <w:b w:val="1"/>
                <w:bCs w:val="1"/>
                <w:color w:val="auto"/>
                <w:w w:val="96"/>
              </w:rPr>
              <w:t>as of</w:t>
            </w:r>
          </w:p>
        </w:tc>
        <w:tc>
          <w:tcPr>
            <w:tcW w:w="920" w:type="dxa"/>
            <w:vAlign w:val="bottom"/>
          </w:tcPr>
          <w:p>
            <w:pPr>
              <w:jc w:val="center"/>
              <w:spacing w:after="0" w:line="90" w:lineRule="exact"/>
              <w:rPr>
                <w:sz w:val="20"/>
                <w:szCs w:val="20"/>
                <w:color w:val="auto"/>
              </w:rPr>
            </w:pPr>
            <w:r>
              <w:rPr>
                <w:rFonts w:ascii="Arial" w:cs="Arial" w:eastAsia="Arial" w:hAnsi="Arial"/>
                <w:sz w:val="8"/>
                <w:szCs w:val="8"/>
                <w:b w:val="1"/>
                <w:bCs w:val="1"/>
                <w:color w:val="auto"/>
                <w:w w:val="85"/>
              </w:rPr>
              <w:t>as of</w:t>
            </w:r>
          </w:p>
        </w:tc>
        <w:tc>
          <w:tcPr>
            <w:tcW w:w="0" w:type="dxa"/>
            <w:vAlign w:val="bottom"/>
          </w:tcPr>
          <w:p>
            <w:pPr>
              <w:spacing w:after="0"/>
              <w:rPr>
                <w:sz w:val="1"/>
                <w:szCs w:val="1"/>
                <w:color w:val="auto"/>
              </w:rPr>
            </w:pPr>
          </w:p>
        </w:tc>
      </w:tr>
      <w:tr>
        <w:trPr>
          <w:trHeight w:val="113"/>
        </w:trPr>
        <w:tc>
          <w:tcPr>
            <w:tcW w:w="2860" w:type="dxa"/>
            <w:vAlign w:val="bottom"/>
            <w:tcBorders>
              <w:bottom w:val="single" w:sz="8" w:color="auto"/>
            </w:tcBorders>
          </w:tcPr>
          <w:p>
            <w:pPr>
              <w:ind w:left="20"/>
              <w:spacing w:after="0"/>
              <w:rPr>
                <w:sz w:val="20"/>
                <w:szCs w:val="20"/>
                <w:color w:val="auto"/>
              </w:rPr>
            </w:pPr>
            <w:r>
              <w:rPr>
                <w:rFonts w:ascii="Arial" w:cs="Arial" w:eastAsia="Arial" w:hAnsi="Arial"/>
                <w:sz w:val="8"/>
                <w:szCs w:val="8"/>
                <w:b w:val="1"/>
                <w:bCs w:val="1"/>
                <w:color w:val="auto"/>
              </w:rPr>
              <w:t>Quarter Ended</w:t>
            </w:r>
          </w:p>
        </w:tc>
        <w:tc>
          <w:tcPr>
            <w:tcW w:w="120" w:type="dxa"/>
            <w:vAlign w:val="bottom"/>
            <w:tcBorders>
              <w:bottom w:val="single" w:sz="8" w:color="CCEEFF"/>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700" w:type="dxa"/>
            <w:vAlign w:val="bottom"/>
            <w:tcBorders>
              <w:bottom w:val="single" w:sz="8" w:color="auto"/>
            </w:tcBorders>
          </w:tcPr>
          <w:p>
            <w:pPr>
              <w:jc w:val="right"/>
              <w:ind w:right="213"/>
              <w:spacing w:after="0"/>
              <w:rPr>
                <w:sz w:val="20"/>
                <w:szCs w:val="20"/>
                <w:color w:val="auto"/>
              </w:rPr>
            </w:pPr>
            <w:r>
              <w:rPr>
                <w:rFonts w:ascii="Arial" w:cs="Arial" w:eastAsia="Arial" w:hAnsi="Arial"/>
                <w:sz w:val="8"/>
                <w:szCs w:val="8"/>
                <w:b w:val="1"/>
                <w:bCs w:val="1"/>
                <w:color w:val="auto"/>
              </w:rPr>
              <w:t>Amount</w:t>
            </w:r>
          </w:p>
        </w:tc>
        <w:tc>
          <w:tcPr>
            <w:tcW w:w="120" w:type="dxa"/>
            <w:vAlign w:val="bottom"/>
            <w:tcBorders>
              <w:bottom w:val="single" w:sz="8" w:color="CCEEFF"/>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700" w:type="dxa"/>
            <w:vAlign w:val="bottom"/>
            <w:tcBorders>
              <w:bottom w:val="single" w:sz="8" w:color="auto"/>
            </w:tcBorders>
          </w:tcPr>
          <w:p>
            <w:pPr>
              <w:jc w:val="center"/>
              <w:ind w:right="73"/>
              <w:spacing w:after="0"/>
              <w:rPr>
                <w:sz w:val="20"/>
                <w:szCs w:val="20"/>
                <w:color w:val="auto"/>
              </w:rPr>
            </w:pPr>
            <w:r>
              <w:rPr>
                <w:rFonts w:ascii="Arial" w:cs="Arial" w:eastAsia="Arial" w:hAnsi="Arial"/>
                <w:sz w:val="8"/>
                <w:szCs w:val="8"/>
                <w:b w:val="1"/>
                <w:bCs w:val="1"/>
                <w:color w:val="auto"/>
                <w:w w:val="96"/>
              </w:rPr>
              <w:t>Daily Amount</w:t>
            </w:r>
          </w:p>
        </w:tc>
        <w:tc>
          <w:tcPr>
            <w:tcW w:w="120" w:type="dxa"/>
            <w:vAlign w:val="bottom"/>
            <w:tcBorders>
              <w:bottom w:val="single" w:sz="8" w:color="CCEEFF"/>
            </w:tcBorders>
          </w:tcPr>
          <w:p>
            <w:pPr>
              <w:spacing w:after="0"/>
              <w:rPr>
                <w:sz w:val="9"/>
                <w:szCs w:val="9"/>
                <w:color w:val="auto"/>
              </w:rPr>
            </w:pPr>
          </w:p>
        </w:tc>
        <w:tc>
          <w:tcPr>
            <w:tcW w:w="160" w:type="dxa"/>
            <w:vAlign w:val="bottom"/>
            <w:tcBorders>
              <w:bottom w:val="single" w:sz="8" w:color="auto"/>
            </w:tcBorders>
          </w:tcPr>
          <w:p>
            <w:pPr>
              <w:spacing w:after="0"/>
              <w:rPr>
                <w:sz w:val="9"/>
                <w:szCs w:val="9"/>
                <w:color w:val="auto"/>
              </w:rPr>
            </w:pPr>
          </w:p>
        </w:tc>
        <w:tc>
          <w:tcPr>
            <w:tcW w:w="640" w:type="dxa"/>
            <w:vAlign w:val="bottom"/>
            <w:tcBorders>
              <w:bottom w:val="single" w:sz="8" w:color="auto"/>
            </w:tcBorders>
          </w:tcPr>
          <w:p>
            <w:pPr>
              <w:jc w:val="right"/>
              <w:ind w:right="193"/>
              <w:spacing w:after="0"/>
              <w:rPr>
                <w:sz w:val="20"/>
                <w:szCs w:val="20"/>
                <w:color w:val="auto"/>
              </w:rPr>
            </w:pPr>
            <w:r>
              <w:rPr>
                <w:rFonts w:ascii="Arial" w:cs="Arial" w:eastAsia="Arial" w:hAnsi="Arial"/>
                <w:sz w:val="8"/>
                <w:szCs w:val="8"/>
                <w:b w:val="1"/>
                <w:bCs w:val="1"/>
                <w:color w:val="auto"/>
              </w:rPr>
              <w:t>Amount</w:t>
            </w:r>
          </w:p>
        </w:tc>
        <w:tc>
          <w:tcPr>
            <w:tcW w:w="120" w:type="dxa"/>
            <w:vAlign w:val="bottom"/>
            <w:tcBorders>
              <w:bottom w:val="single" w:sz="8" w:color="CCEEFF"/>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700" w:type="dxa"/>
            <w:vAlign w:val="bottom"/>
            <w:tcBorders>
              <w:bottom w:val="single" w:sz="8" w:color="auto"/>
            </w:tcBorders>
          </w:tcPr>
          <w:p>
            <w:pPr>
              <w:jc w:val="right"/>
              <w:ind w:right="214"/>
              <w:spacing w:after="0"/>
              <w:rPr>
                <w:sz w:val="20"/>
                <w:szCs w:val="20"/>
                <w:color w:val="auto"/>
              </w:rPr>
            </w:pPr>
            <w:r>
              <w:rPr>
                <w:rFonts w:ascii="Arial" w:cs="Arial" w:eastAsia="Arial" w:hAnsi="Arial"/>
                <w:sz w:val="8"/>
                <w:szCs w:val="8"/>
                <w:b w:val="1"/>
                <w:bCs w:val="1"/>
                <w:color w:val="auto"/>
              </w:rPr>
              <w:t>Amount</w:t>
            </w:r>
          </w:p>
        </w:tc>
        <w:tc>
          <w:tcPr>
            <w:tcW w:w="120" w:type="dxa"/>
            <w:vAlign w:val="bottom"/>
            <w:tcBorders>
              <w:bottom w:val="single" w:sz="8" w:color="CCEEFF"/>
            </w:tcBorders>
          </w:tcPr>
          <w:p>
            <w:pPr>
              <w:spacing w:after="0"/>
              <w:rPr>
                <w:sz w:val="9"/>
                <w:szCs w:val="9"/>
                <w:color w:val="auto"/>
              </w:rPr>
            </w:pPr>
          </w:p>
        </w:tc>
        <w:tc>
          <w:tcPr>
            <w:tcW w:w="22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jc w:val="right"/>
              <w:ind w:right="213"/>
              <w:spacing w:after="0"/>
              <w:rPr>
                <w:sz w:val="20"/>
                <w:szCs w:val="20"/>
                <w:color w:val="auto"/>
              </w:rPr>
            </w:pPr>
            <w:r>
              <w:rPr>
                <w:rFonts w:ascii="Arial" w:cs="Arial" w:eastAsia="Arial" w:hAnsi="Arial"/>
                <w:sz w:val="8"/>
                <w:szCs w:val="8"/>
                <w:b w:val="1"/>
                <w:bCs w:val="1"/>
                <w:color w:val="auto"/>
                <w:w w:val="99"/>
              </w:rPr>
              <w:t>Amount</w:t>
            </w:r>
          </w:p>
        </w:tc>
        <w:tc>
          <w:tcPr>
            <w:tcW w:w="100" w:type="dxa"/>
            <w:vAlign w:val="bottom"/>
            <w:tcBorders>
              <w:bottom w:val="single" w:sz="8" w:color="CCEEFF"/>
            </w:tcBorders>
          </w:tcPr>
          <w:p>
            <w:pPr>
              <w:spacing w:after="0"/>
              <w:rPr>
                <w:sz w:val="9"/>
                <w:szCs w:val="9"/>
                <w:color w:val="auto"/>
              </w:rPr>
            </w:pPr>
          </w:p>
        </w:tc>
        <w:tc>
          <w:tcPr>
            <w:tcW w:w="800" w:type="dxa"/>
            <w:vAlign w:val="bottom"/>
            <w:tcBorders>
              <w:bottom w:val="single" w:sz="8" w:color="auto"/>
            </w:tcBorders>
          </w:tcPr>
          <w:p>
            <w:pPr>
              <w:jc w:val="center"/>
              <w:spacing w:after="0"/>
              <w:rPr>
                <w:sz w:val="20"/>
                <w:szCs w:val="20"/>
                <w:color w:val="auto"/>
              </w:rPr>
            </w:pPr>
            <w:r>
              <w:rPr>
                <w:rFonts w:ascii="Arial" w:cs="Arial" w:eastAsia="Arial" w:hAnsi="Arial"/>
                <w:sz w:val="8"/>
                <w:szCs w:val="8"/>
                <w:b w:val="1"/>
                <w:bCs w:val="1"/>
                <w:color w:val="auto"/>
                <w:w w:val="95"/>
              </w:rPr>
              <w:t xml:space="preserve">during the Period </w:t>
            </w:r>
            <w:r>
              <w:rPr>
                <w:rFonts w:ascii="Arial" w:cs="Arial" w:eastAsia="Arial" w:hAnsi="Arial"/>
                <w:sz w:val="5"/>
                <w:szCs w:val="5"/>
                <w:b w:val="1"/>
                <w:bCs w:val="1"/>
                <w:color w:val="auto"/>
                <w:w w:val="95"/>
              </w:rPr>
              <w:t>3</w:t>
            </w:r>
          </w:p>
        </w:tc>
        <w:tc>
          <w:tcPr>
            <w:tcW w:w="120" w:type="dxa"/>
            <w:vAlign w:val="bottom"/>
            <w:tcBorders>
              <w:bottom w:val="single" w:sz="8" w:color="CCEEFF"/>
            </w:tcBorders>
          </w:tcPr>
          <w:p>
            <w:pPr>
              <w:spacing w:after="0"/>
              <w:rPr>
                <w:sz w:val="9"/>
                <w:szCs w:val="9"/>
                <w:color w:val="auto"/>
              </w:rPr>
            </w:pPr>
          </w:p>
        </w:tc>
        <w:tc>
          <w:tcPr>
            <w:tcW w:w="1020" w:type="dxa"/>
            <w:vAlign w:val="bottom"/>
            <w:tcBorders>
              <w:bottom w:val="single" w:sz="8" w:color="auto"/>
            </w:tcBorders>
          </w:tcPr>
          <w:p>
            <w:pPr>
              <w:jc w:val="center"/>
              <w:spacing w:after="0"/>
              <w:rPr>
                <w:sz w:val="20"/>
                <w:szCs w:val="20"/>
                <w:color w:val="auto"/>
              </w:rPr>
            </w:pPr>
            <w:r>
              <w:rPr>
                <w:rFonts w:ascii="Arial" w:cs="Arial" w:eastAsia="Arial" w:hAnsi="Arial"/>
                <w:sz w:val="8"/>
                <w:szCs w:val="8"/>
                <w:b w:val="1"/>
                <w:bCs w:val="1"/>
                <w:color w:val="auto"/>
                <w:w w:val="95"/>
              </w:rPr>
              <w:t xml:space="preserve">the Period </w:t>
            </w:r>
            <w:r>
              <w:rPr>
                <w:rFonts w:ascii="Arial" w:cs="Arial" w:eastAsia="Arial" w:hAnsi="Arial"/>
                <w:sz w:val="5"/>
                <w:szCs w:val="5"/>
                <w:b w:val="1"/>
                <w:bCs w:val="1"/>
                <w:color w:val="auto"/>
                <w:w w:val="95"/>
              </w:rPr>
              <w:t>4</w:t>
            </w:r>
          </w:p>
        </w:tc>
        <w:tc>
          <w:tcPr>
            <w:tcW w:w="100" w:type="dxa"/>
            <w:vAlign w:val="bottom"/>
            <w:tcBorders>
              <w:bottom w:val="single" w:sz="8" w:color="CCEEFF"/>
            </w:tcBorders>
          </w:tcPr>
          <w:p>
            <w:pPr>
              <w:spacing w:after="0"/>
              <w:rPr>
                <w:sz w:val="9"/>
                <w:szCs w:val="9"/>
                <w:color w:val="auto"/>
              </w:rPr>
            </w:pPr>
          </w:p>
        </w:tc>
        <w:tc>
          <w:tcPr>
            <w:tcW w:w="800" w:type="dxa"/>
            <w:vAlign w:val="bottom"/>
            <w:tcBorders>
              <w:bottom w:val="single" w:sz="8" w:color="auto"/>
            </w:tcBorders>
          </w:tcPr>
          <w:p>
            <w:pPr>
              <w:jc w:val="center"/>
              <w:spacing w:after="0"/>
              <w:rPr>
                <w:sz w:val="20"/>
                <w:szCs w:val="20"/>
                <w:color w:val="auto"/>
              </w:rPr>
            </w:pPr>
            <w:r>
              <w:rPr>
                <w:rFonts w:ascii="Arial" w:cs="Arial" w:eastAsia="Arial" w:hAnsi="Arial"/>
                <w:sz w:val="8"/>
                <w:szCs w:val="8"/>
                <w:b w:val="1"/>
                <w:bCs w:val="1"/>
                <w:color w:val="auto"/>
                <w:w w:val="97"/>
              </w:rPr>
              <w:t xml:space="preserve">Period End </w:t>
            </w:r>
            <w:r>
              <w:rPr>
                <w:rFonts w:ascii="Arial" w:cs="Arial" w:eastAsia="Arial" w:hAnsi="Arial"/>
                <w:sz w:val="5"/>
                <w:szCs w:val="5"/>
                <w:b w:val="1"/>
                <w:bCs w:val="1"/>
                <w:color w:val="auto"/>
                <w:w w:val="97"/>
              </w:rPr>
              <w:t>5</w:t>
            </w:r>
          </w:p>
        </w:tc>
        <w:tc>
          <w:tcPr>
            <w:tcW w:w="120" w:type="dxa"/>
            <w:vAlign w:val="bottom"/>
            <w:tcBorders>
              <w:bottom w:val="single" w:sz="8" w:color="CCEEFF"/>
            </w:tcBorders>
          </w:tcPr>
          <w:p>
            <w:pPr>
              <w:spacing w:after="0"/>
              <w:rPr>
                <w:sz w:val="9"/>
                <w:szCs w:val="9"/>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8"/>
                <w:szCs w:val="8"/>
                <w:b w:val="1"/>
                <w:bCs w:val="1"/>
                <w:color w:val="auto"/>
                <w:w w:val="97"/>
              </w:rPr>
              <w:t xml:space="preserve">Period End </w:t>
            </w:r>
            <w:r>
              <w:rPr>
                <w:rFonts w:ascii="Arial" w:cs="Arial" w:eastAsia="Arial" w:hAnsi="Arial"/>
                <w:sz w:val="5"/>
                <w:szCs w:val="5"/>
                <w:b w:val="1"/>
                <w:bCs w:val="1"/>
                <w:color w:val="auto"/>
                <w:w w:val="97"/>
              </w:rPr>
              <w:t>4</w:t>
            </w:r>
          </w:p>
        </w:tc>
        <w:tc>
          <w:tcPr>
            <w:tcW w:w="0" w:type="dxa"/>
            <w:vAlign w:val="bottom"/>
          </w:tcPr>
          <w:p>
            <w:pPr>
              <w:spacing w:after="0"/>
              <w:rPr>
                <w:sz w:val="1"/>
                <w:szCs w:val="1"/>
                <w:color w:val="auto"/>
              </w:rPr>
            </w:pPr>
          </w:p>
        </w:tc>
      </w:tr>
      <w:tr>
        <w:trPr>
          <w:trHeight w:val="166"/>
        </w:trPr>
        <w:tc>
          <w:tcPr>
            <w:tcW w:w="29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September 30, 2016</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44,401</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w:t>
            </w:r>
          </w:p>
        </w:tc>
        <w:tc>
          <w:tcPr>
            <w:tcW w:w="70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46,555</w:t>
            </w: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640" w:type="dxa"/>
            <w:vAlign w:val="bottom"/>
            <w:shd w:val="clear" w:color="auto" w:fill="CCEEFF"/>
          </w:tcPr>
          <w:p>
            <w:pPr>
              <w:jc w:val="right"/>
              <w:ind w:right="53"/>
              <w:spacing w:after="0"/>
              <w:rPr>
                <w:sz w:val="20"/>
                <w:szCs w:val="20"/>
                <w:color w:val="auto"/>
              </w:rPr>
            </w:pPr>
            <w:r>
              <w:rPr>
                <w:rFonts w:ascii="Arial" w:cs="Arial" w:eastAsia="Arial" w:hAnsi="Arial"/>
                <w:sz w:val="10"/>
                <w:szCs w:val="10"/>
                <w:color w:val="auto"/>
              </w:rPr>
              <w:t>41,154</w:t>
            </w:r>
          </w:p>
        </w:tc>
        <w:tc>
          <w:tcPr>
            <w:tcW w:w="120" w:type="dxa"/>
            <w:vAlign w:val="bottom"/>
            <w:shd w:val="clear" w:color="auto" w:fill="CCEEFF"/>
          </w:tcPr>
          <w:p>
            <w:pPr>
              <w:spacing w:after="0"/>
              <w:rPr>
                <w:sz w:val="14"/>
                <w:szCs w:val="14"/>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70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10,748</w:t>
            </w:r>
          </w:p>
        </w:tc>
        <w:tc>
          <w:tcPr>
            <w:tcW w:w="120" w:type="dxa"/>
            <w:vAlign w:val="bottom"/>
            <w:shd w:val="clear" w:color="auto" w:fill="CCEEFF"/>
          </w:tcPr>
          <w:p>
            <w:pPr>
              <w:spacing w:after="0"/>
              <w:rPr>
                <w:sz w:val="14"/>
                <w:szCs w:val="14"/>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15,540</w:t>
            </w:r>
          </w:p>
        </w:tc>
        <w:tc>
          <w:tcPr>
            <w:tcW w:w="900" w:type="dxa"/>
            <w:vAlign w:val="bottom"/>
            <w:gridSpan w:val="2"/>
            <w:shd w:val="clear" w:color="auto" w:fill="CCEEFF"/>
          </w:tcPr>
          <w:p>
            <w:pPr>
              <w:jc w:val="center"/>
              <w:ind w:left="52"/>
              <w:spacing w:after="0"/>
              <w:rPr>
                <w:sz w:val="20"/>
                <w:szCs w:val="20"/>
                <w:color w:val="auto"/>
              </w:rPr>
            </w:pPr>
            <w:r>
              <w:rPr>
                <w:rFonts w:ascii="Arial" w:cs="Arial" w:eastAsia="Arial" w:hAnsi="Arial"/>
                <w:sz w:val="10"/>
                <w:szCs w:val="10"/>
                <w:color w:val="auto"/>
                <w:w w:val="89"/>
              </w:rPr>
              <w:t>7.1:1</w:t>
            </w:r>
          </w:p>
        </w:tc>
        <w:tc>
          <w:tcPr>
            <w:tcW w:w="120" w:type="dxa"/>
            <w:vAlign w:val="bottom"/>
            <w:shd w:val="clear" w:color="auto" w:fill="CCEEFF"/>
          </w:tcPr>
          <w:p>
            <w:pPr>
              <w:spacing w:after="0"/>
              <w:rPr>
                <w:sz w:val="14"/>
                <w:szCs w:val="14"/>
                <w:color w:val="auto"/>
              </w:rPr>
            </w:pPr>
          </w:p>
        </w:tc>
        <w:tc>
          <w:tcPr>
            <w:tcW w:w="10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7.6:1</w:t>
            </w:r>
          </w:p>
        </w:tc>
        <w:tc>
          <w:tcPr>
            <w:tcW w:w="100" w:type="dxa"/>
            <w:vAlign w:val="bottom"/>
            <w:shd w:val="clear" w:color="auto" w:fill="CCEEFF"/>
          </w:tcPr>
          <w:p>
            <w:pPr>
              <w:spacing w:after="0"/>
              <w:rPr>
                <w:sz w:val="14"/>
                <w:szCs w:val="14"/>
                <w:color w:val="auto"/>
              </w:rPr>
            </w:pPr>
          </w:p>
        </w:tc>
        <w:tc>
          <w:tcPr>
            <w:tcW w:w="8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0"/>
              </w:rPr>
              <w:t>7.2:1</w:t>
            </w:r>
          </w:p>
        </w:tc>
        <w:tc>
          <w:tcPr>
            <w:tcW w:w="120" w:type="dxa"/>
            <w:vAlign w:val="bottom"/>
            <w:shd w:val="clear" w:color="auto" w:fill="CCEEFF"/>
          </w:tcPr>
          <w:p>
            <w:pPr>
              <w:spacing w:after="0"/>
              <w:rPr>
                <w:sz w:val="14"/>
                <w:szCs w:val="14"/>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7.7:1</w:t>
            </w:r>
          </w:p>
        </w:tc>
        <w:tc>
          <w:tcPr>
            <w:tcW w:w="0" w:type="dxa"/>
            <w:vAlign w:val="bottom"/>
          </w:tcPr>
          <w:p>
            <w:pPr>
              <w:spacing w:after="0"/>
              <w:rPr>
                <w:sz w:val="1"/>
                <w:szCs w:val="1"/>
                <w:color w:val="auto"/>
              </w:rPr>
            </w:pPr>
          </w:p>
        </w:tc>
      </w:tr>
      <w:tr>
        <w:trPr>
          <w:trHeight w:val="176"/>
        </w:trPr>
        <w:tc>
          <w:tcPr>
            <w:tcW w:w="2980" w:type="dxa"/>
            <w:vAlign w:val="bottom"/>
            <w:gridSpan w:val="2"/>
          </w:tcPr>
          <w:p>
            <w:pPr>
              <w:ind w:left="20"/>
              <w:spacing w:after="0"/>
              <w:rPr>
                <w:sz w:val="20"/>
                <w:szCs w:val="20"/>
                <w:color w:val="auto"/>
              </w:rPr>
            </w:pPr>
            <w:r>
              <w:rPr>
                <w:rFonts w:ascii="Arial" w:cs="Arial" w:eastAsia="Arial" w:hAnsi="Arial"/>
                <w:sz w:val="10"/>
                <w:szCs w:val="10"/>
                <w:color w:val="auto"/>
              </w:rPr>
              <w:t>June 30, 2016</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tcPr>
          <w:p>
            <w:pPr>
              <w:jc w:val="right"/>
              <w:ind w:right="73"/>
              <w:spacing w:after="0"/>
              <w:rPr>
                <w:sz w:val="20"/>
                <w:szCs w:val="20"/>
                <w:color w:val="auto"/>
              </w:rPr>
            </w:pPr>
            <w:r>
              <w:rPr>
                <w:rFonts w:ascii="Arial" w:cs="Arial" w:eastAsia="Arial" w:hAnsi="Arial"/>
                <w:sz w:val="10"/>
                <w:szCs w:val="10"/>
                <w:color w:val="auto"/>
              </w:rPr>
              <w:t>46,948</w:t>
            </w:r>
          </w:p>
        </w:tc>
        <w:tc>
          <w:tcPr>
            <w:tcW w:w="220" w:type="dxa"/>
            <w:vAlign w:val="bottom"/>
            <w:gridSpan w:val="2"/>
          </w:tcPr>
          <w:p>
            <w:pPr>
              <w:jc w:val="right"/>
              <w:ind w:right="40"/>
              <w:spacing w:after="0"/>
              <w:rPr>
                <w:sz w:val="20"/>
                <w:szCs w:val="20"/>
                <w:color w:val="auto"/>
              </w:rPr>
            </w:pPr>
            <w:r>
              <w:rPr>
                <w:rFonts w:ascii="Arial" w:cs="Arial" w:eastAsia="Arial" w:hAnsi="Arial"/>
                <w:sz w:val="10"/>
                <w:szCs w:val="10"/>
                <w:color w:val="auto"/>
              </w:rPr>
              <w:t>$</w:t>
            </w:r>
          </w:p>
        </w:tc>
        <w:tc>
          <w:tcPr>
            <w:tcW w:w="700" w:type="dxa"/>
            <w:vAlign w:val="bottom"/>
          </w:tcPr>
          <w:p>
            <w:pPr>
              <w:jc w:val="right"/>
              <w:ind w:right="73"/>
              <w:spacing w:after="0"/>
              <w:rPr>
                <w:sz w:val="20"/>
                <w:szCs w:val="20"/>
                <w:color w:val="auto"/>
              </w:rPr>
            </w:pPr>
            <w:r>
              <w:rPr>
                <w:rFonts w:ascii="Arial" w:cs="Arial" w:eastAsia="Arial" w:hAnsi="Arial"/>
                <w:sz w:val="10"/>
                <w:szCs w:val="10"/>
                <w:color w:val="auto"/>
              </w:rPr>
              <w:t>48,875</w:t>
            </w:r>
          </w:p>
        </w:tc>
        <w:tc>
          <w:tcPr>
            <w:tcW w:w="120" w:type="dxa"/>
            <w:vAlign w:val="bottom"/>
          </w:tcPr>
          <w:p>
            <w:pPr>
              <w:spacing w:after="0"/>
              <w:rPr>
                <w:sz w:val="15"/>
                <w:szCs w:val="15"/>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640" w:type="dxa"/>
            <w:vAlign w:val="bottom"/>
          </w:tcPr>
          <w:p>
            <w:pPr>
              <w:jc w:val="right"/>
              <w:ind w:right="53"/>
              <w:spacing w:after="0"/>
              <w:rPr>
                <w:sz w:val="20"/>
                <w:szCs w:val="20"/>
                <w:color w:val="auto"/>
              </w:rPr>
            </w:pPr>
            <w:r>
              <w:rPr>
                <w:rFonts w:ascii="Arial" w:cs="Arial" w:eastAsia="Arial" w:hAnsi="Arial"/>
                <w:sz w:val="10"/>
                <w:szCs w:val="10"/>
                <w:color w:val="auto"/>
              </w:rPr>
              <w:t>45,502</w:t>
            </w:r>
          </w:p>
        </w:tc>
        <w:tc>
          <w:tcPr>
            <w:tcW w:w="120" w:type="dxa"/>
            <w:vAlign w:val="bottom"/>
          </w:tcPr>
          <w:p>
            <w:pPr>
              <w:spacing w:after="0"/>
              <w:rPr>
                <w:sz w:val="15"/>
                <w:szCs w:val="15"/>
                <w:color w:val="auto"/>
              </w:rPr>
            </w:pPr>
          </w:p>
        </w:tc>
        <w:tc>
          <w:tcPr>
            <w:tcW w:w="120" w:type="dxa"/>
            <w:vAlign w:val="bottom"/>
          </w:tcPr>
          <w:p>
            <w:pPr>
              <w:jc w:val="right"/>
              <w:spacing w:after="0"/>
              <w:rPr>
                <w:sz w:val="20"/>
                <w:szCs w:val="20"/>
                <w:color w:val="auto"/>
              </w:rPr>
            </w:pPr>
            <w:r>
              <w:rPr>
                <w:rFonts w:ascii="Arial" w:cs="Arial" w:eastAsia="Arial" w:hAnsi="Arial"/>
                <w:sz w:val="10"/>
                <w:szCs w:val="10"/>
                <w:color w:val="auto"/>
              </w:rPr>
              <w:t>$</w:t>
            </w:r>
          </w:p>
        </w:tc>
        <w:tc>
          <w:tcPr>
            <w:tcW w:w="700" w:type="dxa"/>
            <w:vAlign w:val="bottom"/>
          </w:tcPr>
          <w:p>
            <w:pPr>
              <w:jc w:val="right"/>
              <w:ind w:right="74"/>
              <w:spacing w:after="0"/>
              <w:rPr>
                <w:sz w:val="20"/>
                <w:szCs w:val="20"/>
                <w:color w:val="auto"/>
              </w:rPr>
            </w:pPr>
            <w:r>
              <w:rPr>
                <w:rFonts w:ascii="Arial" w:cs="Arial" w:eastAsia="Arial" w:hAnsi="Arial"/>
                <w:sz w:val="10"/>
                <w:szCs w:val="10"/>
                <w:color w:val="auto"/>
              </w:rPr>
              <w:t>8,238</w:t>
            </w:r>
          </w:p>
        </w:tc>
        <w:tc>
          <w:tcPr>
            <w:tcW w:w="120" w:type="dxa"/>
            <w:vAlign w:val="bottom"/>
          </w:tcPr>
          <w:p>
            <w:pPr>
              <w:spacing w:after="0"/>
              <w:rPr>
                <w:sz w:val="15"/>
                <w:szCs w:val="15"/>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73"/>
              <w:spacing w:after="0"/>
              <w:rPr>
                <w:sz w:val="20"/>
                <w:szCs w:val="20"/>
                <w:color w:val="auto"/>
              </w:rPr>
            </w:pPr>
            <w:r>
              <w:rPr>
                <w:rFonts w:ascii="Arial" w:cs="Arial" w:eastAsia="Arial" w:hAnsi="Arial"/>
                <w:sz w:val="10"/>
                <w:szCs w:val="10"/>
                <w:color w:val="auto"/>
              </w:rPr>
              <w:t>6,975</w:t>
            </w:r>
          </w:p>
        </w:tc>
        <w:tc>
          <w:tcPr>
            <w:tcW w:w="900" w:type="dxa"/>
            <w:vAlign w:val="bottom"/>
            <w:gridSpan w:val="2"/>
          </w:tcPr>
          <w:p>
            <w:pPr>
              <w:jc w:val="center"/>
              <w:ind w:left="52"/>
              <w:spacing w:after="0"/>
              <w:rPr>
                <w:sz w:val="20"/>
                <w:szCs w:val="20"/>
                <w:color w:val="auto"/>
              </w:rPr>
            </w:pPr>
            <w:r>
              <w:rPr>
                <w:rFonts w:ascii="Arial" w:cs="Arial" w:eastAsia="Arial" w:hAnsi="Arial"/>
                <w:sz w:val="10"/>
                <w:szCs w:val="10"/>
                <w:color w:val="auto"/>
                <w:w w:val="89"/>
              </w:rPr>
              <w:t>7.2:1</w:t>
            </w:r>
          </w:p>
        </w:tc>
        <w:tc>
          <w:tcPr>
            <w:tcW w:w="120" w:type="dxa"/>
            <w:vAlign w:val="bottom"/>
          </w:tcPr>
          <w:p>
            <w:pPr>
              <w:spacing w:after="0"/>
              <w:rPr>
                <w:sz w:val="15"/>
                <w:szCs w:val="15"/>
                <w:color w:val="auto"/>
              </w:rPr>
            </w:pPr>
          </w:p>
        </w:tc>
        <w:tc>
          <w:tcPr>
            <w:tcW w:w="1120" w:type="dxa"/>
            <w:vAlign w:val="bottom"/>
            <w:gridSpan w:val="2"/>
          </w:tcPr>
          <w:p>
            <w:pPr>
              <w:jc w:val="center"/>
              <w:ind w:right="120"/>
              <w:spacing w:after="0"/>
              <w:rPr>
                <w:sz w:val="20"/>
                <w:szCs w:val="20"/>
                <w:color w:val="auto"/>
              </w:rPr>
            </w:pPr>
            <w:r>
              <w:rPr>
                <w:rFonts w:ascii="Arial" w:cs="Arial" w:eastAsia="Arial" w:hAnsi="Arial"/>
                <w:sz w:val="10"/>
                <w:szCs w:val="10"/>
                <w:color w:val="auto"/>
                <w:w w:val="95"/>
              </w:rPr>
              <w:t>N/A</w:t>
            </w:r>
          </w:p>
        </w:tc>
        <w:tc>
          <w:tcPr>
            <w:tcW w:w="800" w:type="dxa"/>
            <w:vAlign w:val="bottom"/>
          </w:tcPr>
          <w:p>
            <w:pPr>
              <w:jc w:val="center"/>
              <w:spacing w:after="0"/>
              <w:rPr>
                <w:sz w:val="20"/>
                <w:szCs w:val="20"/>
                <w:color w:val="auto"/>
              </w:rPr>
            </w:pPr>
            <w:r>
              <w:rPr>
                <w:rFonts w:ascii="Arial" w:cs="Arial" w:eastAsia="Arial" w:hAnsi="Arial"/>
                <w:sz w:val="10"/>
                <w:szCs w:val="10"/>
                <w:color w:val="auto"/>
                <w:w w:val="80"/>
              </w:rPr>
              <w:t>7.2:1</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95"/>
              </w:rPr>
              <w:t>N/A</w:t>
            </w:r>
          </w:p>
        </w:tc>
        <w:tc>
          <w:tcPr>
            <w:tcW w:w="0" w:type="dxa"/>
            <w:vAlign w:val="bottom"/>
          </w:tcPr>
          <w:p>
            <w:pPr>
              <w:spacing w:after="0"/>
              <w:rPr>
                <w:sz w:val="1"/>
                <w:szCs w:val="1"/>
                <w:color w:val="auto"/>
              </w:rPr>
            </w:pPr>
          </w:p>
        </w:tc>
      </w:tr>
      <w:tr>
        <w:trPr>
          <w:trHeight w:val="184"/>
        </w:trPr>
        <w:tc>
          <w:tcPr>
            <w:tcW w:w="29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March 31, 2016</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45,926</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w:t>
            </w:r>
          </w:p>
        </w:tc>
        <w:tc>
          <w:tcPr>
            <w:tcW w:w="70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49,767</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640" w:type="dxa"/>
            <w:vAlign w:val="bottom"/>
            <w:shd w:val="clear" w:color="auto" w:fill="CCEEFF"/>
          </w:tcPr>
          <w:p>
            <w:pPr>
              <w:jc w:val="right"/>
              <w:ind w:right="53"/>
              <w:spacing w:after="0"/>
              <w:rPr>
                <w:sz w:val="20"/>
                <w:szCs w:val="20"/>
                <w:color w:val="auto"/>
              </w:rPr>
            </w:pPr>
            <w:r>
              <w:rPr>
                <w:rFonts w:ascii="Arial" w:cs="Arial" w:eastAsia="Arial" w:hAnsi="Arial"/>
                <w:sz w:val="10"/>
                <w:szCs w:val="10"/>
                <w:color w:val="auto"/>
              </w:rPr>
              <w:t>48,875</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70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8,144</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5,983</w:t>
            </w:r>
          </w:p>
        </w:tc>
        <w:tc>
          <w:tcPr>
            <w:tcW w:w="900" w:type="dxa"/>
            <w:vAlign w:val="bottom"/>
            <w:gridSpan w:val="2"/>
            <w:shd w:val="clear" w:color="auto" w:fill="CCEEFF"/>
          </w:tcPr>
          <w:p>
            <w:pPr>
              <w:jc w:val="center"/>
              <w:ind w:left="52"/>
              <w:spacing w:after="0"/>
              <w:rPr>
                <w:sz w:val="20"/>
                <w:szCs w:val="20"/>
                <w:color w:val="auto"/>
              </w:rPr>
            </w:pPr>
            <w:r>
              <w:rPr>
                <w:rFonts w:ascii="Arial" w:cs="Arial" w:eastAsia="Arial" w:hAnsi="Arial"/>
                <w:sz w:val="10"/>
                <w:szCs w:val="10"/>
                <w:color w:val="auto"/>
                <w:w w:val="89"/>
              </w:rPr>
              <w:t>7.0:1</w:t>
            </w:r>
          </w:p>
        </w:tc>
        <w:tc>
          <w:tcPr>
            <w:tcW w:w="120" w:type="dxa"/>
            <w:vAlign w:val="bottom"/>
            <w:shd w:val="clear" w:color="auto" w:fill="CCEEFF"/>
          </w:tcPr>
          <w:p>
            <w:pPr>
              <w:spacing w:after="0"/>
              <w:rPr>
                <w:sz w:val="16"/>
                <w:szCs w:val="16"/>
                <w:color w:val="auto"/>
              </w:rPr>
            </w:pPr>
          </w:p>
        </w:tc>
        <w:tc>
          <w:tcPr>
            <w:tcW w:w="1120" w:type="dxa"/>
            <w:vAlign w:val="bottom"/>
            <w:gridSpan w:val="2"/>
            <w:shd w:val="clear" w:color="auto" w:fill="CCEEFF"/>
          </w:tcPr>
          <w:p>
            <w:pPr>
              <w:jc w:val="center"/>
              <w:ind w:right="120"/>
              <w:spacing w:after="0"/>
              <w:rPr>
                <w:sz w:val="20"/>
                <w:szCs w:val="20"/>
                <w:color w:val="auto"/>
              </w:rPr>
            </w:pPr>
            <w:r>
              <w:rPr>
                <w:rFonts w:ascii="Arial" w:cs="Arial" w:eastAsia="Arial" w:hAnsi="Arial"/>
                <w:sz w:val="10"/>
                <w:szCs w:val="10"/>
                <w:color w:val="auto"/>
                <w:w w:val="95"/>
              </w:rPr>
              <w:t>N/A</w:t>
            </w:r>
          </w:p>
        </w:tc>
        <w:tc>
          <w:tcPr>
            <w:tcW w:w="8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0"/>
              </w:rPr>
              <w:t>7.3:1</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5"/>
              </w:rPr>
              <w:t>N/A</w:t>
            </w:r>
          </w:p>
        </w:tc>
        <w:tc>
          <w:tcPr>
            <w:tcW w:w="0" w:type="dxa"/>
            <w:vAlign w:val="bottom"/>
          </w:tcPr>
          <w:p>
            <w:pPr>
              <w:spacing w:after="0"/>
              <w:rPr>
                <w:sz w:val="1"/>
                <w:szCs w:val="1"/>
                <w:color w:val="auto"/>
              </w:rPr>
            </w:pPr>
          </w:p>
        </w:tc>
      </w:tr>
      <w:tr>
        <w:trPr>
          <w:trHeight w:val="176"/>
        </w:trPr>
        <w:tc>
          <w:tcPr>
            <w:tcW w:w="2980" w:type="dxa"/>
            <w:vAlign w:val="bottom"/>
            <w:gridSpan w:val="2"/>
          </w:tcPr>
          <w:p>
            <w:pPr>
              <w:ind w:left="20"/>
              <w:spacing w:after="0"/>
              <w:rPr>
                <w:sz w:val="20"/>
                <w:szCs w:val="20"/>
                <w:color w:val="auto"/>
              </w:rPr>
            </w:pPr>
            <w:r>
              <w:rPr>
                <w:rFonts w:ascii="Arial" w:cs="Arial" w:eastAsia="Arial" w:hAnsi="Arial"/>
                <w:sz w:val="10"/>
                <w:szCs w:val="10"/>
                <w:color w:val="auto"/>
              </w:rPr>
              <w:t>December 31, 2015</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tcPr>
          <w:p>
            <w:pPr>
              <w:jc w:val="right"/>
              <w:ind w:right="73"/>
              <w:spacing w:after="0"/>
              <w:rPr>
                <w:sz w:val="20"/>
                <w:szCs w:val="20"/>
                <w:color w:val="auto"/>
              </w:rPr>
            </w:pPr>
            <w:r>
              <w:rPr>
                <w:rFonts w:ascii="Arial" w:cs="Arial" w:eastAsia="Arial" w:hAnsi="Arial"/>
                <w:sz w:val="10"/>
                <w:szCs w:val="10"/>
                <w:color w:val="auto"/>
              </w:rPr>
              <w:t>47,018</w:t>
            </w:r>
          </w:p>
        </w:tc>
        <w:tc>
          <w:tcPr>
            <w:tcW w:w="220" w:type="dxa"/>
            <w:vAlign w:val="bottom"/>
            <w:gridSpan w:val="2"/>
          </w:tcPr>
          <w:p>
            <w:pPr>
              <w:jc w:val="right"/>
              <w:ind w:right="40"/>
              <w:spacing w:after="0"/>
              <w:rPr>
                <w:sz w:val="20"/>
                <w:szCs w:val="20"/>
                <w:color w:val="auto"/>
              </w:rPr>
            </w:pPr>
            <w:r>
              <w:rPr>
                <w:rFonts w:ascii="Arial" w:cs="Arial" w:eastAsia="Arial" w:hAnsi="Arial"/>
                <w:sz w:val="10"/>
                <w:szCs w:val="10"/>
                <w:color w:val="auto"/>
              </w:rPr>
              <w:t>$</w:t>
            </w:r>
          </w:p>
        </w:tc>
        <w:tc>
          <w:tcPr>
            <w:tcW w:w="700" w:type="dxa"/>
            <w:vAlign w:val="bottom"/>
          </w:tcPr>
          <w:p>
            <w:pPr>
              <w:jc w:val="right"/>
              <w:ind w:right="73"/>
              <w:spacing w:after="0"/>
              <w:rPr>
                <w:sz w:val="20"/>
                <w:szCs w:val="20"/>
                <w:color w:val="auto"/>
              </w:rPr>
            </w:pPr>
            <w:r>
              <w:rPr>
                <w:rFonts w:ascii="Arial" w:cs="Arial" w:eastAsia="Arial" w:hAnsi="Arial"/>
                <w:sz w:val="10"/>
                <w:szCs w:val="10"/>
                <w:color w:val="auto"/>
              </w:rPr>
              <w:t>50,078</w:t>
            </w:r>
          </w:p>
        </w:tc>
        <w:tc>
          <w:tcPr>
            <w:tcW w:w="120" w:type="dxa"/>
            <w:vAlign w:val="bottom"/>
          </w:tcPr>
          <w:p>
            <w:pPr>
              <w:spacing w:after="0"/>
              <w:rPr>
                <w:sz w:val="15"/>
                <w:szCs w:val="15"/>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640" w:type="dxa"/>
            <w:vAlign w:val="bottom"/>
          </w:tcPr>
          <w:p>
            <w:pPr>
              <w:jc w:val="right"/>
              <w:ind w:right="53"/>
              <w:spacing w:after="0"/>
              <w:rPr>
                <w:sz w:val="20"/>
                <w:szCs w:val="20"/>
                <w:color w:val="auto"/>
              </w:rPr>
            </w:pPr>
            <w:r>
              <w:rPr>
                <w:rFonts w:ascii="Arial" w:cs="Arial" w:eastAsia="Arial" w:hAnsi="Arial"/>
                <w:sz w:val="10"/>
                <w:szCs w:val="10"/>
                <w:color w:val="auto"/>
              </w:rPr>
              <w:t>46,077</w:t>
            </w:r>
          </w:p>
        </w:tc>
        <w:tc>
          <w:tcPr>
            <w:tcW w:w="120" w:type="dxa"/>
            <w:vAlign w:val="bottom"/>
          </w:tcPr>
          <w:p>
            <w:pPr>
              <w:spacing w:after="0"/>
              <w:rPr>
                <w:sz w:val="15"/>
                <w:szCs w:val="15"/>
                <w:color w:val="auto"/>
              </w:rPr>
            </w:pPr>
          </w:p>
        </w:tc>
        <w:tc>
          <w:tcPr>
            <w:tcW w:w="120" w:type="dxa"/>
            <w:vAlign w:val="bottom"/>
          </w:tcPr>
          <w:p>
            <w:pPr>
              <w:jc w:val="right"/>
              <w:spacing w:after="0"/>
              <w:rPr>
                <w:sz w:val="20"/>
                <w:szCs w:val="20"/>
                <w:color w:val="auto"/>
              </w:rPr>
            </w:pPr>
            <w:r>
              <w:rPr>
                <w:rFonts w:ascii="Arial" w:cs="Arial" w:eastAsia="Arial" w:hAnsi="Arial"/>
                <w:sz w:val="10"/>
                <w:szCs w:val="10"/>
                <w:color w:val="auto"/>
              </w:rPr>
              <w:t>$</w:t>
            </w:r>
          </w:p>
        </w:tc>
        <w:tc>
          <w:tcPr>
            <w:tcW w:w="700" w:type="dxa"/>
            <w:vAlign w:val="bottom"/>
          </w:tcPr>
          <w:p>
            <w:pPr>
              <w:jc w:val="right"/>
              <w:ind w:right="74"/>
              <w:spacing w:after="0"/>
              <w:rPr>
                <w:sz w:val="20"/>
                <w:szCs w:val="20"/>
                <w:color w:val="auto"/>
              </w:rPr>
            </w:pPr>
            <w:r>
              <w:rPr>
                <w:rFonts w:ascii="Arial" w:cs="Arial" w:eastAsia="Arial" w:hAnsi="Arial"/>
                <w:sz w:val="10"/>
                <w:szCs w:val="10"/>
                <w:color w:val="auto"/>
              </w:rPr>
              <w:t>7,796</w:t>
            </w:r>
          </w:p>
        </w:tc>
        <w:tc>
          <w:tcPr>
            <w:tcW w:w="120" w:type="dxa"/>
            <w:vAlign w:val="bottom"/>
          </w:tcPr>
          <w:p>
            <w:pPr>
              <w:spacing w:after="0"/>
              <w:rPr>
                <w:sz w:val="15"/>
                <w:szCs w:val="15"/>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73"/>
              <w:spacing w:after="0"/>
              <w:rPr>
                <w:sz w:val="20"/>
                <w:szCs w:val="20"/>
                <w:color w:val="auto"/>
              </w:rPr>
            </w:pPr>
            <w:r>
              <w:rPr>
                <w:rFonts w:ascii="Arial" w:cs="Arial" w:eastAsia="Arial" w:hAnsi="Arial"/>
                <w:sz w:val="10"/>
                <w:szCs w:val="10"/>
                <w:color w:val="auto"/>
              </w:rPr>
              <w:t>7,430</w:t>
            </w:r>
          </w:p>
        </w:tc>
        <w:tc>
          <w:tcPr>
            <w:tcW w:w="900" w:type="dxa"/>
            <w:vAlign w:val="bottom"/>
            <w:gridSpan w:val="2"/>
          </w:tcPr>
          <w:p>
            <w:pPr>
              <w:jc w:val="center"/>
              <w:ind w:left="52"/>
              <w:spacing w:after="0"/>
              <w:rPr>
                <w:sz w:val="20"/>
                <w:szCs w:val="20"/>
                <w:color w:val="auto"/>
              </w:rPr>
            </w:pPr>
            <w:r>
              <w:rPr>
                <w:rFonts w:ascii="Arial" w:cs="Arial" w:eastAsia="Arial" w:hAnsi="Arial"/>
                <w:sz w:val="10"/>
                <w:szCs w:val="10"/>
                <w:color w:val="auto"/>
                <w:w w:val="89"/>
              </w:rPr>
              <w:t>6.8:1</w:t>
            </w:r>
          </w:p>
        </w:tc>
        <w:tc>
          <w:tcPr>
            <w:tcW w:w="120" w:type="dxa"/>
            <w:vAlign w:val="bottom"/>
          </w:tcPr>
          <w:p>
            <w:pPr>
              <w:spacing w:after="0"/>
              <w:rPr>
                <w:sz w:val="15"/>
                <w:szCs w:val="15"/>
                <w:color w:val="auto"/>
              </w:rPr>
            </w:pPr>
          </w:p>
        </w:tc>
        <w:tc>
          <w:tcPr>
            <w:tcW w:w="1120" w:type="dxa"/>
            <w:vAlign w:val="bottom"/>
            <w:gridSpan w:val="2"/>
          </w:tcPr>
          <w:p>
            <w:pPr>
              <w:jc w:val="center"/>
              <w:ind w:right="120"/>
              <w:spacing w:after="0"/>
              <w:rPr>
                <w:sz w:val="20"/>
                <w:szCs w:val="20"/>
                <w:color w:val="auto"/>
              </w:rPr>
            </w:pPr>
            <w:r>
              <w:rPr>
                <w:rFonts w:ascii="Arial" w:cs="Arial" w:eastAsia="Arial" w:hAnsi="Arial"/>
                <w:sz w:val="10"/>
                <w:szCs w:val="10"/>
                <w:color w:val="auto"/>
                <w:w w:val="95"/>
              </w:rPr>
              <w:t>N/A</w:t>
            </w:r>
          </w:p>
        </w:tc>
        <w:tc>
          <w:tcPr>
            <w:tcW w:w="800" w:type="dxa"/>
            <w:vAlign w:val="bottom"/>
          </w:tcPr>
          <w:p>
            <w:pPr>
              <w:jc w:val="center"/>
              <w:spacing w:after="0"/>
              <w:rPr>
                <w:sz w:val="20"/>
                <w:szCs w:val="20"/>
                <w:color w:val="auto"/>
              </w:rPr>
            </w:pPr>
            <w:r>
              <w:rPr>
                <w:rFonts w:ascii="Arial" w:cs="Arial" w:eastAsia="Arial" w:hAnsi="Arial"/>
                <w:sz w:val="10"/>
                <w:szCs w:val="10"/>
                <w:color w:val="auto"/>
                <w:w w:val="80"/>
              </w:rPr>
              <w:t>6.8:1</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95"/>
              </w:rPr>
              <w:t>N/A</w:t>
            </w:r>
          </w:p>
        </w:tc>
        <w:tc>
          <w:tcPr>
            <w:tcW w:w="0" w:type="dxa"/>
            <w:vAlign w:val="bottom"/>
          </w:tcPr>
          <w:p>
            <w:pPr>
              <w:spacing w:after="0"/>
              <w:rPr>
                <w:sz w:val="1"/>
                <w:szCs w:val="1"/>
                <w:color w:val="auto"/>
              </w:rPr>
            </w:pPr>
          </w:p>
        </w:tc>
      </w:tr>
      <w:tr>
        <w:trPr>
          <w:trHeight w:val="184"/>
        </w:trPr>
        <w:tc>
          <w:tcPr>
            <w:tcW w:w="29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September 30, 2015</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43,308</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w:t>
            </w:r>
          </w:p>
        </w:tc>
        <w:tc>
          <w:tcPr>
            <w:tcW w:w="70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46,049</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640" w:type="dxa"/>
            <w:vAlign w:val="bottom"/>
            <w:shd w:val="clear" w:color="auto" w:fill="CCEEFF"/>
          </w:tcPr>
          <w:p>
            <w:pPr>
              <w:jc w:val="right"/>
              <w:ind w:right="53"/>
              <w:spacing w:after="0"/>
              <w:rPr>
                <w:sz w:val="20"/>
                <w:szCs w:val="20"/>
                <w:color w:val="auto"/>
              </w:rPr>
            </w:pPr>
            <w:r>
              <w:rPr>
                <w:rFonts w:ascii="Arial" w:cs="Arial" w:eastAsia="Arial" w:hAnsi="Arial"/>
                <w:sz w:val="10"/>
                <w:szCs w:val="10"/>
                <w:color w:val="auto"/>
              </w:rPr>
              <w:t>44,683</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70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9,434</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7,265</w:t>
            </w:r>
          </w:p>
        </w:tc>
        <w:tc>
          <w:tcPr>
            <w:tcW w:w="900" w:type="dxa"/>
            <w:vAlign w:val="bottom"/>
            <w:gridSpan w:val="2"/>
            <w:shd w:val="clear" w:color="auto" w:fill="CCEEFF"/>
          </w:tcPr>
          <w:p>
            <w:pPr>
              <w:jc w:val="center"/>
              <w:ind w:left="52"/>
              <w:spacing w:after="0"/>
              <w:rPr>
                <w:sz w:val="20"/>
                <w:szCs w:val="20"/>
                <w:color w:val="auto"/>
              </w:rPr>
            </w:pPr>
            <w:r>
              <w:rPr>
                <w:rFonts w:ascii="Arial" w:cs="Arial" w:eastAsia="Arial" w:hAnsi="Arial"/>
                <w:sz w:val="10"/>
                <w:szCs w:val="10"/>
                <w:color w:val="auto"/>
                <w:w w:val="89"/>
              </w:rPr>
              <w:t>6.2:1</w:t>
            </w:r>
          </w:p>
        </w:tc>
        <w:tc>
          <w:tcPr>
            <w:tcW w:w="120" w:type="dxa"/>
            <w:vAlign w:val="bottom"/>
            <w:shd w:val="clear" w:color="auto" w:fill="CCEEFF"/>
          </w:tcPr>
          <w:p>
            <w:pPr>
              <w:spacing w:after="0"/>
              <w:rPr>
                <w:sz w:val="16"/>
                <w:szCs w:val="16"/>
                <w:color w:val="auto"/>
              </w:rPr>
            </w:pPr>
          </w:p>
        </w:tc>
        <w:tc>
          <w:tcPr>
            <w:tcW w:w="1120" w:type="dxa"/>
            <w:vAlign w:val="bottom"/>
            <w:gridSpan w:val="2"/>
            <w:shd w:val="clear" w:color="auto" w:fill="CCEEFF"/>
          </w:tcPr>
          <w:p>
            <w:pPr>
              <w:jc w:val="center"/>
              <w:ind w:right="120"/>
              <w:spacing w:after="0"/>
              <w:rPr>
                <w:sz w:val="20"/>
                <w:szCs w:val="20"/>
                <w:color w:val="auto"/>
              </w:rPr>
            </w:pPr>
            <w:r>
              <w:rPr>
                <w:rFonts w:ascii="Arial" w:cs="Arial" w:eastAsia="Arial" w:hAnsi="Arial"/>
                <w:sz w:val="10"/>
                <w:szCs w:val="10"/>
                <w:color w:val="auto"/>
                <w:w w:val="95"/>
              </w:rPr>
              <w:t>N/A</w:t>
            </w:r>
          </w:p>
        </w:tc>
        <w:tc>
          <w:tcPr>
            <w:tcW w:w="8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0"/>
              </w:rPr>
              <w:t>6.8:1</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5"/>
              </w:rPr>
              <w:t>N/A</w:t>
            </w:r>
          </w:p>
        </w:tc>
        <w:tc>
          <w:tcPr>
            <w:tcW w:w="0" w:type="dxa"/>
            <w:vAlign w:val="bottom"/>
          </w:tcPr>
          <w:p>
            <w:pPr>
              <w:spacing w:after="0"/>
              <w:rPr>
                <w:sz w:val="1"/>
                <w:szCs w:val="1"/>
                <w:color w:val="auto"/>
              </w:rPr>
            </w:pPr>
          </w:p>
        </w:tc>
      </w:tr>
      <w:tr>
        <w:trPr>
          <w:trHeight w:val="176"/>
        </w:trPr>
        <w:tc>
          <w:tcPr>
            <w:tcW w:w="2980" w:type="dxa"/>
            <w:vAlign w:val="bottom"/>
            <w:gridSpan w:val="2"/>
          </w:tcPr>
          <w:p>
            <w:pPr>
              <w:ind w:left="20"/>
              <w:spacing w:after="0"/>
              <w:rPr>
                <w:sz w:val="20"/>
                <w:szCs w:val="20"/>
                <w:color w:val="auto"/>
              </w:rPr>
            </w:pPr>
            <w:r>
              <w:rPr>
                <w:rFonts w:ascii="Arial" w:cs="Arial" w:eastAsia="Arial" w:hAnsi="Arial"/>
                <w:sz w:val="10"/>
                <w:szCs w:val="10"/>
                <w:color w:val="auto"/>
              </w:rPr>
              <w:t>June 30, 2015</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tcPr>
          <w:p>
            <w:pPr>
              <w:jc w:val="right"/>
              <w:ind w:right="73"/>
              <w:spacing w:after="0"/>
              <w:rPr>
                <w:sz w:val="20"/>
                <w:szCs w:val="20"/>
                <w:color w:val="auto"/>
              </w:rPr>
            </w:pPr>
            <w:r>
              <w:rPr>
                <w:rFonts w:ascii="Arial" w:cs="Arial" w:eastAsia="Arial" w:hAnsi="Arial"/>
                <w:sz w:val="10"/>
                <w:szCs w:val="10"/>
                <w:color w:val="auto"/>
              </w:rPr>
              <w:t>50,410</w:t>
            </w:r>
          </w:p>
        </w:tc>
        <w:tc>
          <w:tcPr>
            <w:tcW w:w="220" w:type="dxa"/>
            <w:vAlign w:val="bottom"/>
            <w:gridSpan w:val="2"/>
          </w:tcPr>
          <w:p>
            <w:pPr>
              <w:jc w:val="right"/>
              <w:ind w:right="40"/>
              <w:spacing w:after="0"/>
              <w:rPr>
                <w:sz w:val="20"/>
                <w:szCs w:val="20"/>
                <w:color w:val="auto"/>
              </w:rPr>
            </w:pPr>
            <w:r>
              <w:rPr>
                <w:rFonts w:ascii="Arial" w:cs="Arial" w:eastAsia="Arial" w:hAnsi="Arial"/>
                <w:sz w:val="10"/>
                <w:szCs w:val="10"/>
                <w:color w:val="auto"/>
              </w:rPr>
              <w:t>$</w:t>
            </w:r>
          </w:p>
        </w:tc>
        <w:tc>
          <w:tcPr>
            <w:tcW w:w="700" w:type="dxa"/>
            <w:vAlign w:val="bottom"/>
          </w:tcPr>
          <w:p>
            <w:pPr>
              <w:jc w:val="right"/>
              <w:ind w:right="73"/>
              <w:spacing w:after="0"/>
              <w:rPr>
                <w:sz w:val="20"/>
                <w:szCs w:val="20"/>
                <w:color w:val="auto"/>
              </w:rPr>
            </w:pPr>
            <w:r>
              <w:rPr>
                <w:rFonts w:ascii="Arial" w:cs="Arial" w:eastAsia="Arial" w:hAnsi="Arial"/>
                <w:sz w:val="10"/>
                <w:szCs w:val="10"/>
                <w:color w:val="auto"/>
              </w:rPr>
              <w:t>55,097</w:t>
            </w:r>
          </w:p>
        </w:tc>
        <w:tc>
          <w:tcPr>
            <w:tcW w:w="120" w:type="dxa"/>
            <w:vAlign w:val="bottom"/>
          </w:tcPr>
          <w:p>
            <w:pPr>
              <w:spacing w:after="0"/>
              <w:rPr>
                <w:sz w:val="15"/>
                <w:szCs w:val="15"/>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640" w:type="dxa"/>
            <w:vAlign w:val="bottom"/>
          </w:tcPr>
          <w:p>
            <w:pPr>
              <w:jc w:val="right"/>
              <w:ind w:right="53"/>
              <w:spacing w:after="0"/>
              <w:rPr>
                <w:sz w:val="20"/>
                <w:szCs w:val="20"/>
                <w:color w:val="auto"/>
              </w:rPr>
            </w:pPr>
            <w:r>
              <w:rPr>
                <w:rFonts w:ascii="Arial" w:cs="Arial" w:eastAsia="Arial" w:hAnsi="Arial"/>
                <w:sz w:val="10"/>
                <w:szCs w:val="10"/>
                <w:color w:val="auto"/>
              </w:rPr>
              <w:t>45,860</w:t>
            </w:r>
          </w:p>
        </w:tc>
        <w:tc>
          <w:tcPr>
            <w:tcW w:w="120" w:type="dxa"/>
            <w:vAlign w:val="bottom"/>
          </w:tcPr>
          <w:p>
            <w:pPr>
              <w:spacing w:after="0"/>
              <w:rPr>
                <w:sz w:val="15"/>
                <w:szCs w:val="15"/>
                <w:color w:val="auto"/>
              </w:rPr>
            </w:pPr>
          </w:p>
        </w:tc>
        <w:tc>
          <w:tcPr>
            <w:tcW w:w="120" w:type="dxa"/>
            <w:vAlign w:val="bottom"/>
          </w:tcPr>
          <w:p>
            <w:pPr>
              <w:jc w:val="right"/>
              <w:spacing w:after="0"/>
              <w:rPr>
                <w:sz w:val="20"/>
                <w:szCs w:val="20"/>
                <w:color w:val="auto"/>
              </w:rPr>
            </w:pPr>
            <w:r>
              <w:rPr>
                <w:rFonts w:ascii="Arial" w:cs="Arial" w:eastAsia="Arial" w:hAnsi="Arial"/>
                <w:sz w:val="10"/>
                <w:szCs w:val="10"/>
                <w:color w:val="auto"/>
              </w:rPr>
              <w:t>$</w:t>
            </w:r>
          </w:p>
        </w:tc>
        <w:tc>
          <w:tcPr>
            <w:tcW w:w="700" w:type="dxa"/>
            <w:vAlign w:val="bottom"/>
          </w:tcPr>
          <w:p>
            <w:pPr>
              <w:jc w:val="right"/>
              <w:ind w:right="74"/>
              <w:spacing w:after="0"/>
              <w:rPr>
                <w:sz w:val="20"/>
                <w:szCs w:val="20"/>
                <w:color w:val="auto"/>
              </w:rPr>
            </w:pPr>
            <w:r>
              <w:rPr>
                <w:rFonts w:ascii="Arial" w:cs="Arial" w:eastAsia="Arial" w:hAnsi="Arial"/>
                <w:sz w:val="10"/>
                <w:szCs w:val="10"/>
                <w:color w:val="auto"/>
              </w:rPr>
              <w:t>5,973</w:t>
            </w:r>
          </w:p>
        </w:tc>
        <w:tc>
          <w:tcPr>
            <w:tcW w:w="120" w:type="dxa"/>
            <w:vAlign w:val="bottom"/>
          </w:tcPr>
          <w:p>
            <w:pPr>
              <w:spacing w:after="0"/>
              <w:rPr>
                <w:sz w:val="15"/>
                <w:szCs w:val="15"/>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73"/>
              <w:spacing w:after="0"/>
              <w:rPr>
                <w:sz w:val="20"/>
                <w:szCs w:val="20"/>
                <w:color w:val="auto"/>
              </w:rPr>
            </w:pPr>
            <w:r>
              <w:rPr>
                <w:rFonts w:ascii="Arial" w:cs="Arial" w:eastAsia="Arial" w:hAnsi="Arial"/>
                <w:sz w:val="10"/>
                <w:szCs w:val="10"/>
                <w:color w:val="auto"/>
              </w:rPr>
              <w:t>7,104</w:t>
            </w:r>
          </w:p>
        </w:tc>
        <w:tc>
          <w:tcPr>
            <w:tcW w:w="900" w:type="dxa"/>
            <w:vAlign w:val="bottom"/>
            <w:gridSpan w:val="2"/>
          </w:tcPr>
          <w:p>
            <w:pPr>
              <w:jc w:val="center"/>
              <w:ind w:left="52"/>
              <w:spacing w:after="0"/>
              <w:rPr>
                <w:sz w:val="20"/>
                <w:szCs w:val="20"/>
                <w:color w:val="auto"/>
              </w:rPr>
            </w:pPr>
            <w:r>
              <w:rPr>
                <w:rFonts w:ascii="Arial" w:cs="Arial" w:eastAsia="Arial" w:hAnsi="Arial"/>
                <w:sz w:val="10"/>
                <w:szCs w:val="10"/>
                <w:color w:val="auto"/>
                <w:w w:val="89"/>
              </w:rPr>
              <w:t>6.2:1</w:t>
            </w:r>
          </w:p>
        </w:tc>
        <w:tc>
          <w:tcPr>
            <w:tcW w:w="120" w:type="dxa"/>
            <w:vAlign w:val="bottom"/>
          </w:tcPr>
          <w:p>
            <w:pPr>
              <w:spacing w:after="0"/>
              <w:rPr>
                <w:sz w:val="15"/>
                <w:szCs w:val="15"/>
                <w:color w:val="auto"/>
              </w:rPr>
            </w:pPr>
          </w:p>
        </w:tc>
        <w:tc>
          <w:tcPr>
            <w:tcW w:w="1120" w:type="dxa"/>
            <w:vAlign w:val="bottom"/>
            <w:gridSpan w:val="2"/>
          </w:tcPr>
          <w:p>
            <w:pPr>
              <w:jc w:val="center"/>
              <w:ind w:right="120"/>
              <w:spacing w:after="0"/>
              <w:rPr>
                <w:sz w:val="20"/>
                <w:szCs w:val="20"/>
                <w:color w:val="auto"/>
              </w:rPr>
            </w:pPr>
            <w:r>
              <w:rPr>
                <w:rFonts w:ascii="Arial" w:cs="Arial" w:eastAsia="Arial" w:hAnsi="Arial"/>
                <w:sz w:val="10"/>
                <w:szCs w:val="10"/>
                <w:color w:val="auto"/>
                <w:w w:val="95"/>
              </w:rPr>
              <w:t>N/A</w:t>
            </w:r>
          </w:p>
        </w:tc>
        <w:tc>
          <w:tcPr>
            <w:tcW w:w="800" w:type="dxa"/>
            <w:vAlign w:val="bottom"/>
          </w:tcPr>
          <w:p>
            <w:pPr>
              <w:jc w:val="center"/>
              <w:spacing w:after="0"/>
              <w:rPr>
                <w:sz w:val="20"/>
                <w:szCs w:val="20"/>
                <w:color w:val="auto"/>
              </w:rPr>
            </w:pPr>
            <w:r>
              <w:rPr>
                <w:rFonts w:ascii="Arial" w:cs="Arial" w:eastAsia="Arial" w:hAnsi="Arial"/>
                <w:sz w:val="10"/>
                <w:szCs w:val="10"/>
                <w:color w:val="auto"/>
                <w:w w:val="80"/>
              </w:rPr>
              <w:t>6.1:1</w:t>
            </w:r>
          </w:p>
        </w:tc>
        <w:tc>
          <w:tcPr>
            <w:tcW w:w="12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95"/>
              </w:rPr>
              <w:t>N/A</w:t>
            </w:r>
          </w:p>
        </w:tc>
        <w:tc>
          <w:tcPr>
            <w:tcW w:w="0" w:type="dxa"/>
            <w:vAlign w:val="bottom"/>
          </w:tcPr>
          <w:p>
            <w:pPr>
              <w:spacing w:after="0"/>
              <w:rPr>
                <w:sz w:val="1"/>
                <w:szCs w:val="1"/>
                <w:color w:val="auto"/>
              </w:rPr>
            </w:pPr>
          </w:p>
        </w:tc>
      </w:tr>
      <w:tr>
        <w:trPr>
          <w:trHeight w:val="184"/>
        </w:trPr>
        <w:tc>
          <w:tcPr>
            <w:tcW w:w="29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March 31, 2015</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53,963</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w:t>
            </w:r>
          </w:p>
        </w:tc>
        <w:tc>
          <w:tcPr>
            <w:tcW w:w="70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58,217</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640" w:type="dxa"/>
            <w:vAlign w:val="bottom"/>
            <w:shd w:val="clear" w:color="auto" w:fill="CCEEFF"/>
          </w:tcPr>
          <w:p>
            <w:pPr>
              <w:jc w:val="right"/>
              <w:ind w:right="53"/>
              <w:spacing w:after="0"/>
              <w:rPr>
                <w:sz w:val="20"/>
                <w:szCs w:val="20"/>
                <w:color w:val="auto"/>
              </w:rPr>
            </w:pPr>
            <w:r>
              <w:rPr>
                <w:rFonts w:ascii="Arial" w:cs="Arial" w:eastAsia="Arial" w:hAnsi="Arial"/>
                <w:sz w:val="10"/>
                <w:szCs w:val="10"/>
                <w:color w:val="auto"/>
              </w:rPr>
              <w:t>55,056</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700" w:type="dxa"/>
            <w:vAlign w:val="bottom"/>
            <w:shd w:val="clear" w:color="auto" w:fill="CCEEFF"/>
          </w:tcPr>
          <w:p>
            <w:pPr>
              <w:jc w:val="right"/>
              <w:ind w:right="74"/>
              <w:spacing w:after="0"/>
              <w:rPr>
                <w:sz w:val="20"/>
                <w:szCs w:val="20"/>
                <w:color w:val="auto"/>
              </w:rPr>
            </w:pPr>
            <w:r>
              <w:rPr>
                <w:rFonts w:ascii="Arial" w:cs="Arial" w:eastAsia="Arial" w:hAnsi="Arial"/>
                <w:sz w:val="10"/>
                <w:szCs w:val="10"/>
                <w:color w:val="auto"/>
              </w:rPr>
              <w:t>6,957</w:t>
            </w:r>
          </w:p>
        </w:tc>
        <w:tc>
          <w:tcPr>
            <w:tcW w:w="120" w:type="dxa"/>
            <w:vAlign w:val="bottom"/>
            <w:shd w:val="clear" w:color="auto" w:fill="CCEEFF"/>
          </w:tcPr>
          <w:p>
            <w:pPr>
              <w:spacing w:after="0"/>
              <w:rPr>
                <w:sz w:val="16"/>
                <w:szCs w:val="16"/>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CCEEFF"/>
          </w:tcPr>
          <w:p>
            <w:pPr>
              <w:jc w:val="right"/>
              <w:ind w:right="73"/>
              <w:spacing w:after="0"/>
              <w:rPr>
                <w:sz w:val="20"/>
                <w:szCs w:val="20"/>
                <w:color w:val="auto"/>
              </w:rPr>
            </w:pPr>
            <w:r>
              <w:rPr>
                <w:rFonts w:ascii="Arial" w:cs="Arial" w:eastAsia="Arial" w:hAnsi="Arial"/>
                <w:sz w:val="10"/>
                <w:szCs w:val="10"/>
                <w:color w:val="auto"/>
              </w:rPr>
              <w:t>4,815</w:t>
            </w:r>
          </w:p>
        </w:tc>
        <w:tc>
          <w:tcPr>
            <w:tcW w:w="900" w:type="dxa"/>
            <w:vAlign w:val="bottom"/>
            <w:gridSpan w:val="2"/>
            <w:shd w:val="clear" w:color="auto" w:fill="CCEEFF"/>
          </w:tcPr>
          <w:p>
            <w:pPr>
              <w:jc w:val="center"/>
              <w:ind w:left="52"/>
              <w:spacing w:after="0"/>
              <w:rPr>
                <w:sz w:val="20"/>
                <w:szCs w:val="20"/>
                <w:color w:val="auto"/>
              </w:rPr>
            </w:pPr>
            <w:r>
              <w:rPr>
                <w:rFonts w:ascii="Arial" w:cs="Arial" w:eastAsia="Arial" w:hAnsi="Arial"/>
                <w:sz w:val="10"/>
                <w:szCs w:val="10"/>
                <w:color w:val="auto"/>
                <w:w w:val="89"/>
              </w:rPr>
              <w:t>6.5:1</w:t>
            </w:r>
          </w:p>
        </w:tc>
        <w:tc>
          <w:tcPr>
            <w:tcW w:w="120" w:type="dxa"/>
            <w:vAlign w:val="bottom"/>
            <w:shd w:val="clear" w:color="auto" w:fill="CCEEFF"/>
          </w:tcPr>
          <w:p>
            <w:pPr>
              <w:spacing w:after="0"/>
              <w:rPr>
                <w:sz w:val="16"/>
                <w:szCs w:val="16"/>
                <w:color w:val="auto"/>
              </w:rPr>
            </w:pPr>
          </w:p>
        </w:tc>
        <w:tc>
          <w:tcPr>
            <w:tcW w:w="1120" w:type="dxa"/>
            <w:vAlign w:val="bottom"/>
            <w:gridSpan w:val="2"/>
            <w:shd w:val="clear" w:color="auto" w:fill="CCEEFF"/>
          </w:tcPr>
          <w:p>
            <w:pPr>
              <w:jc w:val="center"/>
              <w:ind w:right="120"/>
              <w:spacing w:after="0"/>
              <w:rPr>
                <w:sz w:val="20"/>
                <w:szCs w:val="20"/>
                <w:color w:val="auto"/>
              </w:rPr>
            </w:pPr>
            <w:r>
              <w:rPr>
                <w:rFonts w:ascii="Arial" w:cs="Arial" w:eastAsia="Arial" w:hAnsi="Arial"/>
                <w:sz w:val="10"/>
                <w:szCs w:val="10"/>
                <w:color w:val="auto"/>
                <w:w w:val="95"/>
              </w:rPr>
              <w:t>N/A</w:t>
            </w:r>
          </w:p>
        </w:tc>
        <w:tc>
          <w:tcPr>
            <w:tcW w:w="8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0"/>
              </w:rPr>
              <w:t>6.4:1</w:t>
            </w:r>
          </w:p>
        </w:tc>
        <w:tc>
          <w:tcPr>
            <w:tcW w:w="120" w:type="dxa"/>
            <w:vAlign w:val="bottom"/>
            <w:shd w:val="clear" w:color="auto" w:fill="CCEEFF"/>
          </w:tcPr>
          <w:p>
            <w:pPr>
              <w:spacing w:after="0"/>
              <w:rPr>
                <w:sz w:val="16"/>
                <w:szCs w:val="16"/>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5"/>
              </w:rPr>
              <w:t>N/A</w:t>
            </w:r>
          </w:p>
        </w:tc>
        <w:tc>
          <w:tcPr>
            <w:tcW w:w="0" w:type="dxa"/>
            <w:vAlign w:val="bottom"/>
          </w:tcPr>
          <w:p>
            <w:pPr>
              <w:spacing w:after="0"/>
              <w:rPr>
                <w:sz w:val="1"/>
                <w:szCs w:val="1"/>
                <w:color w:val="auto"/>
              </w:rPr>
            </w:pPr>
          </w:p>
        </w:tc>
      </w:tr>
      <w:tr>
        <w:trPr>
          <w:trHeight w:val="145"/>
        </w:trPr>
        <w:tc>
          <w:tcPr>
            <w:tcW w:w="2860" w:type="dxa"/>
            <w:vAlign w:val="bottom"/>
          </w:tcPr>
          <w:p>
            <w:pPr>
              <w:spacing w:after="0"/>
              <w:rPr>
                <w:sz w:val="20"/>
                <w:szCs w:val="20"/>
                <w:color w:val="auto"/>
              </w:rPr>
            </w:pPr>
            <w:r>
              <w:rPr>
                <w:rFonts w:ascii="Arial" w:cs="Arial" w:eastAsia="Arial" w:hAnsi="Arial"/>
                <w:sz w:val="10"/>
                <w:szCs w:val="10"/>
                <w:color w:val="auto"/>
              </w:rPr>
              <w:t>_______________________</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3" w:lineRule="exact"/>
        <w:rPr>
          <w:sz w:val="20"/>
          <w:szCs w:val="20"/>
          <w:color w:val="auto"/>
        </w:rPr>
      </w:pPr>
    </w:p>
    <w:p>
      <w:pPr>
        <w:ind w:left="420" w:hanging="212"/>
        <w:spacing w:after="0"/>
        <w:tabs>
          <w:tab w:leader="none" w:pos="420" w:val="left"/>
        </w:tabs>
        <w:numPr>
          <w:ilvl w:val="0"/>
          <w:numId w:val="26"/>
        </w:numPr>
        <w:rPr>
          <w:rFonts w:ascii="Arial" w:cs="Arial" w:eastAsia="Arial" w:hAnsi="Arial"/>
          <w:sz w:val="10"/>
          <w:szCs w:val="10"/>
          <w:color w:val="auto"/>
        </w:rPr>
      </w:pPr>
      <w:r>
        <w:rPr>
          <w:rFonts w:ascii="Arial" w:cs="Arial" w:eastAsia="Arial" w:hAnsi="Arial"/>
          <w:sz w:val="10"/>
          <w:szCs w:val="10"/>
          <w:color w:val="auto"/>
        </w:rPr>
        <w:t>Mortgage borrowings includes agency repo, FHLB advances and debt of consolidated VIEs. Amounts exclude U.S. Treasury repo agreements.</w:t>
      </w:r>
    </w:p>
    <w:p>
      <w:pPr>
        <w:spacing w:after="0" w:line="1" w:lineRule="exact"/>
        <w:rPr>
          <w:rFonts w:ascii="Arial" w:cs="Arial" w:eastAsia="Arial" w:hAnsi="Arial"/>
          <w:sz w:val="10"/>
          <w:szCs w:val="10"/>
          <w:color w:val="auto"/>
        </w:rPr>
      </w:pPr>
    </w:p>
    <w:p>
      <w:pPr>
        <w:ind w:left="420" w:hanging="212"/>
        <w:spacing w:after="0" w:line="236" w:lineRule="auto"/>
        <w:tabs>
          <w:tab w:leader="none" w:pos="420" w:val="left"/>
        </w:tabs>
        <w:numPr>
          <w:ilvl w:val="0"/>
          <w:numId w:val="26"/>
        </w:numPr>
        <w:rPr>
          <w:rFonts w:ascii="Arial" w:cs="Arial" w:eastAsia="Arial" w:hAnsi="Arial"/>
          <w:sz w:val="10"/>
          <w:szCs w:val="10"/>
          <w:color w:val="auto"/>
        </w:rPr>
      </w:pPr>
      <w:r>
        <w:rPr>
          <w:rFonts w:ascii="Arial" w:cs="Arial" w:eastAsia="Arial" w:hAnsi="Arial"/>
          <w:sz w:val="10"/>
          <w:szCs w:val="10"/>
          <w:color w:val="auto"/>
        </w:rPr>
        <w:t>Daily average and ending net TBA position outstanding measured at cost.</w:t>
      </w:r>
    </w:p>
    <w:p>
      <w:pPr>
        <w:spacing w:after="0" w:line="15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39</w:t>
      </w:r>
    </w:p>
    <w:p>
      <w:pPr>
        <w:sectPr>
          <w:pgSz w:w="11900" w:h="16838" w:orient="portrait"/>
          <w:cols w:equalWidth="0" w:num="1">
            <w:col w:w="11480"/>
          </w:cols>
          <w:pgMar w:left="220" w:top="593" w:right="199" w:bottom="1440" w:gutter="0" w:footer="0" w:header="0"/>
        </w:sectPr>
      </w:pPr>
    </w:p>
    <w:bookmarkStart w:id="40" w:name="page41"/>
    <w:bookmarkEnd w:id="40"/>
    <w:p>
      <w:pPr>
        <w:ind w:left="420" w:right="20" w:hanging="212"/>
        <w:spacing w:after="0" w:line="233" w:lineRule="auto"/>
        <w:tabs>
          <w:tab w:leader="none" w:pos="420" w:val="left"/>
        </w:tabs>
        <w:numPr>
          <w:ilvl w:val="0"/>
          <w:numId w:val="27"/>
        </w:numPr>
        <w:rPr>
          <w:rFonts w:ascii="Arial" w:cs="Arial" w:eastAsia="Arial" w:hAnsi="Arial"/>
          <w:sz w:val="10"/>
          <w:szCs w:val="10"/>
          <w:color w:val="auto"/>
        </w:rPr>
      </w:pPr>
      <w:r>
        <w:rPr>
          <w:rFonts w:ascii="Arial" w:cs="Arial" w:eastAsia="Arial" w:hAnsi="Arial"/>
          <w:sz w:val="10"/>
          <w:szCs w:val="10"/>
          <w:color w:val="auto"/>
        </w:rPr>
        <w:t>Average "at risk" leverage during the period was calculated by dividing the sum of our daily weighted average mortgage borrowings outstanding and our daily weighted average net TBA position (at cost) during the period by the sum of our average month-end stockholders' equity less our average investment in REIT equity securities for the period.</w:t>
      </w:r>
    </w:p>
    <w:p>
      <w:pPr>
        <w:ind w:left="420" w:hanging="212"/>
        <w:spacing w:after="0" w:line="225" w:lineRule="auto"/>
        <w:tabs>
          <w:tab w:leader="none" w:pos="420" w:val="left"/>
        </w:tabs>
        <w:numPr>
          <w:ilvl w:val="0"/>
          <w:numId w:val="27"/>
        </w:numPr>
        <w:rPr>
          <w:rFonts w:ascii="Arial" w:cs="Arial" w:eastAsia="Arial" w:hAnsi="Arial"/>
          <w:sz w:val="10"/>
          <w:szCs w:val="10"/>
          <w:color w:val="auto"/>
        </w:rPr>
      </w:pPr>
      <w:r>
        <w:rPr>
          <w:rFonts w:ascii="Arial" w:cs="Arial" w:eastAsia="Arial" w:hAnsi="Arial"/>
          <w:sz w:val="10"/>
          <w:szCs w:val="10"/>
          <w:color w:val="auto"/>
        </w:rPr>
        <w:t>Tangible net book value "at risk" leverage includes the components of "at risk" leverage with stockholders' equity adjusted to exclude goodwill and other intangible assets, net.</w:t>
      </w:r>
    </w:p>
    <w:p>
      <w:pPr>
        <w:ind w:left="420" w:hanging="212"/>
        <w:spacing w:after="0" w:line="231" w:lineRule="auto"/>
        <w:tabs>
          <w:tab w:leader="none" w:pos="420" w:val="left"/>
        </w:tabs>
        <w:numPr>
          <w:ilvl w:val="0"/>
          <w:numId w:val="27"/>
        </w:numPr>
        <w:rPr>
          <w:rFonts w:ascii="Arial" w:cs="Arial" w:eastAsia="Arial" w:hAnsi="Arial"/>
          <w:sz w:val="10"/>
          <w:szCs w:val="10"/>
          <w:color w:val="auto"/>
        </w:rPr>
      </w:pPr>
      <w:r>
        <w:rPr>
          <w:rFonts w:ascii="Arial" w:cs="Arial" w:eastAsia="Arial" w:hAnsi="Arial"/>
          <w:sz w:val="10"/>
          <w:szCs w:val="10"/>
          <w:color w:val="auto"/>
        </w:rPr>
        <w:t>"At risk" leverage as of period end was calculated by dividing the sum of the amount of mortgage borrowings outstanding, net payables and receivables for unsettled agency securities and the cost basis (or contract price) of our net TBA position by the sum of our total stockholders' equity less the fair value of our investment in REIT equity securities at period end.</w:t>
      </w:r>
    </w:p>
    <w:p>
      <w:pPr>
        <w:spacing w:after="0" w:line="9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Interest Expense and Cost of Funds</w:t>
      </w:r>
    </w:p>
    <w:p>
      <w:pPr>
        <w:spacing w:after="0" w:line="159" w:lineRule="exact"/>
        <w:rPr>
          <w:sz w:val="20"/>
          <w:szCs w:val="20"/>
          <w:color w:val="auto"/>
        </w:rPr>
      </w:pPr>
    </w:p>
    <w:p>
      <w:pPr>
        <w:jc w:val="both"/>
        <w:ind w:firstLine="270"/>
        <w:spacing w:after="0" w:line="298" w:lineRule="auto"/>
        <w:rPr>
          <w:sz w:val="20"/>
          <w:szCs w:val="20"/>
          <w:color w:val="auto"/>
        </w:rPr>
      </w:pPr>
      <w:r>
        <w:rPr>
          <w:rFonts w:ascii="Arial" w:cs="Arial" w:eastAsia="Arial" w:hAnsi="Arial"/>
          <w:sz w:val="11"/>
          <w:szCs w:val="11"/>
          <w:color w:val="auto"/>
        </w:rPr>
        <w:t>Our interest expense is comprised of interest expense on our mortgage borrowings and the reclassification of accumulated OCI into interest expense related to previously de-designated interest rate swaps. Our mortgage borrowings primarily consist of repurchase agreements used to finance our agency MBS. Upon our election to discontinue hedge accounting under GAAP as of September 30, 2011, the net deferred loss related to our de-designated interest rate swaps remained in accumulated OCI and is being reclassified from accumulated OCI into interest expense on a straight-line basis over the remaining term of each interest rate swap through October 2016.</w:t>
      </w:r>
    </w:p>
    <w:p>
      <w:pPr>
        <w:spacing w:after="0" w:line="69" w:lineRule="exact"/>
        <w:rPr>
          <w:sz w:val="20"/>
          <w:szCs w:val="20"/>
          <w:color w:val="auto"/>
        </w:rPr>
      </w:pPr>
    </w:p>
    <w:p>
      <w:pPr>
        <w:jc w:val="both"/>
        <w:ind w:firstLine="270"/>
        <w:spacing w:after="0" w:line="290" w:lineRule="auto"/>
        <w:rPr>
          <w:sz w:val="20"/>
          <w:szCs w:val="20"/>
          <w:color w:val="auto"/>
        </w:rPr>
      </w:pPr>
      <w:r>
        <w:rPr>
          <w:rFonts w:ascii="Arial" w:cs="Arial" w:eastAsia="Arial" w:hAnsi="Arial"/>
          <w:sz w:val="11"/>
          <w:szCs w:val="11"/>
          <w:color w:val="auto"/>
        </w:rPr>
        <w:t>Our "adjusted net interest expense," also referred to as our "cost of funds" when stated as a percentage of our mortgage borrowings outstanding, includes periodic interest costs on our interest rate swaps reported in gain/loss on derivative instruments and other securities, net in our consolidated statements of comprehensive income. Our cost of funds does not include swap termination fees, forward starting swaps and costs associated with our other supplemental hedges, such as swaptions and U.S. Treasury positions. Our cost of funds also does not include the implied financing cost/benefit of our net TBA dollar roll position, but includes interest rate swap hedge costs related to our TBA dollar roll funded assets. Consequently, our cost of funds measured as a percentage of our outstanding mortgage borrowings is higher than if we allocated a portion of our swap hedge costs to our TBA dollar roll funded assets.</w:t>
      </w:r>
    </w:p>
    <w:p>
      <w:pPr>
        <w:spacing w:after="0" w:line="10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Our average cost of funds declined to 1.32% of our average mortgage borrowings outstanding for the three months ended September 30, 2016, compared to 1.70% for the prior year period, while our average cost of funds for the nine months ended September 30, 2016 was 1.47%, compared to 1.45% for the prior year period. The table below presents a reconciliation of our interest expense (the most comparable GAAP financial measure) to our adjusted net interest expense and cost of funds (non-GAAP financial measures) for the three and nine months ended September 30, 2016 and 2015 (dollars in millions):</w:t>
      </w:r>
    </w:p>
    <w:p>
      <w:pPr>
        <w:spacing w:after="0" w:line="270" w:lineRule="exact"/>
        <w:rPr>
          <w:sz w:val="20"/>
          <w:szCs w:val="20"/>
          <w:color w:val="auto"/>
        </w:rPr>
      </w:pPr>
    </w:p>
    <w:tbl>
      <w:tblPr>
        <w:tblLayout w:type="fixed"/>
        <w:tblInd w:w="2660" w:type="dxa"/>
        <w:tblCellMar>
          <w:top w:w="0" w:type="dxa"/>
          <w:left w:w="0" w:type="dxa"/>
          <w:bottom w:w="0" w:type="dxa"/>
          <w:right w:w="0" w:type="dxa"/>
        </w:tblCellMar>
      </w:tblPr>
      <w:tr>
        <w:trPr>
          <w:trHeight w:val="128"/>
        </w:trPr>
        <w:tc>
          <w:tcPr>
            <w:tcW w:w="2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60" w:type="dxa"/>
            <w:vAlign w:val="bottom"/>
            <w:gridSpan w:val="11"/>
          </w:tcPr>
          <w:p>
            <w:pPr>
              <w:ind w:left="80"/>
              <w:spacing w:after="0"/>
              <w:rPr>
                <w:sz w:val="20"/>
                <w:szCs w:val="20"/>
                <w:color w:val="auto"/>
              </w:rPr>
            </w:pPr>
            <w:r>
              <w:rPr>
                <w:rFonts w:ascii="Arial" w:cs="Arial" w:eastAsia="Arial" w:hAnsi="Arial"/>
                <w:sz w:val="10"/>
                <w:szCs w:val="10"/>
                <w:b w:val="1"/>
                <w:bCs w:val="1"/>
                <w:color w:val="auto"/>
              </w:rPr>
              <w:t>Three Months Ended September 30,</w:t>
            </w:r>
          </w:p>
        </w:tc>
        <w:tc>
          <w:tcPr>
            <w:tcW w:w="160" w:type="dxa"/>
            <w:vAlign w:val="bottom"/>
          </w:tcPr>
          <w:p>
            <w:pPr>
              <w:spacing w:after="0"/>
              <w:rPr>
                <w:sz w:val="11"/>
                <w:szCs w:val="11"/>
                <w:color w:val="auto"/>
              </w:rPr>
            </w:pPr>
          </w:p>
        </w:tc>
        <w:tc>
          <w:tcPr>
            <w:tcW w:w="1780" w:type="dxa"/>
            <w:vAlign w:val="bottom"/>
            <w:gridSpan w:val="10"/>
          </w:tcPr>
          <w:p>
            <w:pPr>
              <w:jc w:val="right"/>
              <w:ind w:right="192"/>
              <w:spacing w:after="0"/>
              <w:rPr>
                <w:sz w:val="20"/>
                <w:szCs w:val="20"/>
                <w:color w:val="auto"/>
              </w:rPr>
            </w:pPr>
            <w:r>
              <w:rPr>
                <w:rFonts w:ascii="Arial" w:cs="Arial" w:eastAsia="Arial" w:hAnsi="Arial"/>
                <w:sz w:val="10"/>
                <w:szCs w:val="10"/>
                <w:b w:val="1"/>
                <w:bCs w:val="1"/>
                <w:color w:val="auto"/>
                <w:w w:val="92"/>
              </w:rPr>
              <w:t>Nine Months Ended September 30,</w:t>
            </w:r>
          </w:p>
        </w:tc>
        <w:tc>
          <w:tcPr>
            <w:tcW w:w="0" w:type="dxa"/>
            <w:vAlign w:val="bottom"/>
          </w:tcPr>
          <w:p>
            <w:pPr>
              <w:spacing w:after="0"/>
              <w:rPr>
                <w:sz w:val="1"/>
                <w:szCs w:val="1"/>
                <w:color w:val="auto"/>
              </w:rPr>
            </w:pPr>
          </w:p>
        </w:tc>
      </w:tr>
      <w:tr>
        <w:trPr>
          <w:trHeight w:val="169"/>
        </w:trPr>
        <w:tc>
          <w:tcPr>
            <w:tcW w:w="2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460" w:type="dxa"/>
            <w:vAlign w:val="bottom"/>
            <w:tcBorders>
              <w:top w:val="single" w:sz="8" w:color="auto"/>
              <w:bottom w:val="single" w:sz="8" w:color="auto"/>
            </w:tcBorders>
            <w:gridSpan w:val="3"/>
          </w:tcPr>
          <w:p>
            <w:pPr>
              <w:jc w:val="right"/>
              <w:ind w:right="40"/>
              <w:spacing w:after="0"/>
              <w:rPr>
                <w:sz w:val="20"/>
                <w:szCs w:val="20"/>
                <w:color w:val="auto"/>
              </w:rPr>
            </w:pPr>
            <w:r>
              <w:rPr>
                <w:rFonts w:ascii="Arial" w:cs="Arial" w:eastAsia="Arial" w:hAnsi="Arial"/>
                <w:sz w:val="10"/>
                <w:szCs w:val="10"/>
                <w:b w:val="1"/>
                <w:bCs w:val="1"/>
                <w:color w:val="auto"/>
              </w:rPr>
              <w:t>2016</w:t>
            </w:r>
          </w:p>
        </w:tc>
        <w:tc>
          <w:tcPr>
            <w:tcW w:w="320" w:type="dxa"/>
            <w:vAlign w:val="bottom"/>
            <w:tcBorders>
              <w:top w:val="single" w:sz="8" w:color="auto"/>
              <w:bottom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440" w:type="dxa"/>
            <w:vAlign w:val="bottom"/>
            <w:tcBorders>
              <w:top w:val="single" w:sz="8" w:color="auto"/>
              <w:bottom w:val="single" w:sz="8" w:color="auto"/>
            </w:tcBorders>
            <w:gridSpan w:val="3"/>
          </w:tcPr>
          <w:p>
            <w:pPr>
              <w:jc w:val="right"/>
              <w:ind w:right="40"/>
              <w:spacing w:after="0"/>
              <w:rPr>
                <w:sz w:val="20"/>
                <w:szCs w:val="20"/>
                <w:color w:val="auto"/>
              </w:rPr>
            </w:pPr>
            <w:r>
              <w:rPr>
                <w:rFonts w:ascii="Arial" w:cs="Arial" w:eastAsia="Arial" w:hAnsi="Arial"/>
                <w:sz w:val="10"/>
                <w:szCs w:val="10"/>
                <w:b w:val="1"/>
                <w:bCs w:val="1"/>
                <w:color w:val="auto"/>
              </w:rPr>
              <w:t>2015</w:t>
            </w:r>
          </w:p>
        </w:tc>
        <w:tc>
          <w:tcPr>
            <w:tcW w:w="340" w:type="dxa"/>
            <w:vAlign w:val="bottom"/>
            <w:tcBorders>
              <w:top w:val="single" w:sz="8" w:color="auto"/>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460" w:type="dxa"/>
            <w:vAlign w:val="bottom"/>
            <w:tcBorders>
              <w:top w:val="single" w:sz="8" w:color="auto"/>
              <w:bottom w:val="single" w:sz="8" w:color="auto"/>
            </w:tcBorders>
            <w:gridSpan w:val="3"/>
          </w:tcPr>
          <w:p>
            <w:pPr>
              <w:jc w:val="right"/>
              <w:ind w:right="40"/>
              <w:spacing w:after="0"/>
              <w:rPr>
                <w:sz w:val="20"/>
                <w:szCs w:val="20"/>
                <w:color w:val="auto"/>
              </w:rPr>
            </w:pPr>
            <w:r>
              <w:rPr>
                <w:rFonts w:ascii="Arial" w:cs="Arial" w:eastAsia="Arial" w:hAnsi="Arial"/>
                <w:sz w:val="10"/>
                <w:szCs w:val="10"/>
                <w:b w:val="1"/>
                <w:bCs w:val="1"/>
                <w:color w:val="auto"/>
              </w:rPr>
              <w:t>2016</w:t>
            </w:r>
          </w:p>
        </w:tc>
        <w:tc>
          <w:tcPr>
            <w:tcW w:w="320" w:type="dxa"/>
            <w:vAlign w:val="bottom"/>
            <w:tcBorders>
              <w:top w:val="single" w:sz="8" w:color="auto"/>
              <w:bottom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440" w:type="dxa"/>
            <w:vAlign w:val="bottom"/>
            <w:tcBorders>
              <w:top w:val="single" w:sz="8" w:color="auto"/>
              <w:bottom w:val="single" w:sz="8" w:color="auto"/>
            </w:tcBorders>
            <w:gridSpan w:val="3"/>
          </w:tcPr>
          <w:p>
            <w:pPr>
              <w:jc w:val="right"/>
              <w:ind w:right="40"/>
              <w:spacing w:after="0"/>
              <w:rPr>
                <w:sz w:val="20"/>
                <w:szCs w:val="20"/>
                <w:color w:val="auto"/>
              </w:rPr>
            </w:pPr>
            <w:r>
              <w:rPr>
                <w:rFonts w:ascii="Arial" w:cs="Arial" w:eastAsia="Arial" w:hAnsi="Arial"/>
                <w:sz w:val="10"/>
                <w:szCs w:val="10"/>
                <w:b w:val="1"/>
                <w:bCs w:val="1"/>
                <w:color w:val="auto"/>
              </w:rPr>
              <w:t>2015</w:t>
            </w:r>
          </w:p>
        </w:tc>
        <w:tc>
          <w:tcPr>
            <w:tcW w:w="320" w:type="dxa"/>
            <w:vAlign w:val="bottom"/>
            <w:tcBorders>
              <w:top w:val="single" w:sz="8" w:color="auto"/>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12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w w:val="88"/>
              </w:rPr>
              <w:t>Adjusted Net Interest Expense and Cost of Funds</w:t>
            </w:r>
          </w:p>
        </w:tc>
        <w:tc>
          <w:tcPr>
            <w:tcW w:w="60" w:type="dxa"/>
            <w:vAlign w:val="bottom"/>
          </w:tcPr>
          <w:p>
            <w:pPr>
              <w:spacing w:after="0"/>
              <w:rPr>
                <w:sz w:val="14"/>
                <w:szCs w:val="14"/>
                <w:color w:val="auto"/>
              </w:rPr>
            </w:pPr>
          </w:p>
        </w:tc>
        <w:tc>
          <w:tcPr>
            <w:tcW w:w="440" w:type="dxa"/>
            <w:vAlign w:val="bottom"/>
            <w:tcBorders>
              <w:bottom w:val="single" w:sz="8" w:color="auto"/>
            </w:tcBorders>
            <w:gridSpan w:val="2"/>
          </w:tcPr>
          <w:p>
            <w:pPr>
              <w:jc w:val="right"/>
              <w:spacing w:after="0"/>
              <w:rPr>
                <w:sz w:val="20"/>
                <w:szCs w:val="20"/>
                <w:color w:val="auto"/>
              </w:rPr>
            </w:pPr>
            <w:r>
              <w:rPr>
                <w:rFonts w:ascii="Arial" w:cs="Arial" w:eastAsia="Arial" w:hAnsi="Arial"/>
                <w:sz w:val="10"/>
                <w:szCs w:val="10"/>
                <w:b w:val="1"/>
                <w:bCs w:val="1"/>
                <w:color w:val="auto"/>
              </w:rPr>
              <w:t>Amount</w:t>
            </w:r>
          </w:p>
        </w:tc>
        <w:tc>
          <w:tcPr>
            <w:tcW w:w="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b w:val="1"/>
                <w:bCs w:val="1"/>
                <w:color w:val="auto"/>
              </w:rPr>
              <w:t xml:space="preserve">% </w:t>
            </w:r>
            <w:r>
              <w:rPr>
                <w:rFonts w:ascii="Arial" w:cs="Arial" w:eastAsia="Arial" w:hAnsi="Arial"/>
                <w:sz w:val="5"/>
                <w:szCs w:val="5"/>
                <w:b w:val="1"/>
                <w:bCs w:val="1"/>
                <w:color w:val="auto"/>
              </w:rPr>
              <w:t>1</w:t>
            </w:r>
          </w:p>
        </w:tc>
        <w:tc>
          <w:tcPr>
            <w:tcW w:w="80" w:type="dxa"/>
            <w:vAlign w:val="bottom"/>
          </w:tcPr>
          <w:p>
            <w:pPr>
              <w:spacing w:after="0"/>
              <w:rPr>
                <w:sz w:val="14"/>
                <w:szCs w:val="14"/>
                <w:color w:val="auto"/>
              </w:rPr>
            </w:pPr>
          </w:p>
        </w:tc>
        <w:tc>
          <w:tcPr>
            <w:tcW w:w="420" w:type="dxa"/>
            <w:vAlign w:val="bottom"/>
            <w:tcBorders>
              <w:bottom w:val="single" w:sz="8" w:color="auto"/>
            </w:tcBorders>
            <w:gridSpan w:val="2"/>
          </w:tcPr>
          <w:p>
            <w:pPr>
              <w:jc w:val="right"/>
              <w:spacing w:after="0"/>
              <w:rPr>
                <w:sz w:val="20"/>
                <w:szCs w:val="20"/>
                <w:color w:val="auto"/>
              </w:rPr>
            </w:pPr>
            <w:r>
              <w:rPr>
                <w:rFonts w:ascii="Arial" w:cs="Arial" w:eastAsia="Arial" w:hAnsi="Arial"/>
                <w:sz w:val="10"/>
                <w:szCs w:val="10"/>
                <w:b w:val="1"/>
                <w:bCs w:val="1"/>
                <w:color w:val="auto"/>
                <w:w w:val="95"/>
              </w:rPr>
              <w:t>Amount</w:t>
            </w:r>
          </w:p>
        </w:tc>
        <w:tc>
          <w:tcPr>
            <w:tcW w:w="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b w:val="1"/>
                <w:bCs w:val="1"/>
                <w:color w:val="auto"/>
              </w:rPr>
              <w:t xml:space="preserve">% </w:t>
            </w:r>
            <w:r>
              <w:rPr>
                <w:rFonts w:ascii="Arial" w:cs="Arial" w:eastAsia="Arial" w:hAnsi="Arial"/>
                <w:sz w:val="5"/>
                <w:szCs w:val="5"/>
                <w:b w:val="1"/>
                <w:bCs w:val="1"/>
                <w:color w:val="auto"/>
              </w:rPr>
              <w:t>1</w:t>
            </w:r>
          </w:p>
        </w:tc>
        <w:tc>
          <w:tcPr>
            <w:tcW w:w="60" w:type="dxa"/>
            <w:vAlign w:val="bottom"/>
          </w:tcPr>
          <w:p>
            <w:pPr>
              <w:spacing w:after="0"/>
              <w:rPr>
                <w:sz w:val="14"/>
                <w:szCs w:val="14"/>
                <w:color w:val="auto"/>
              </w:rPr>
            </w:pPr>
          </w:p>
        </w:tc>
        <w:tc>
          <w:tcPr>
            <w:tcW w:w="440" w:type="dxa"/>
            <w:vAlign w:val="bottom"/>
            <w:tcBorders>
              <w:bottom w:val="single" w:sz="8" w:color="auto"/>
            </w:tcBorders>
            <w:gridSpan w:val="2"/>
          </w:tcPr>
          <w:p>
            <w:pPr>
              <w:jc w:val="right"/>
              <w:ind w:right="12"/>
              <w:spacing w:after="0"/>
              <w:rPr>
                <w:sz w:val="20"/>
                <w:szCs w:val="20"/>
                <w:color w:val="auto"/>
              </w:rPr>
            </w:pPr>
            <w:r>
              <w:rPr>
                <w:rFonts w:ascii="Arial" w:cs="Arial" w:eastAsia="Arial" w:hAnsi="Arial"/>
                <w:sz w:val="10"/>
                <w:szCs w:val="10"/>
                <w:b w:val="1"/>
                <w:bCs w:val="1"/>
                <w:color w:val="auto"/>
                <w:w w:val="95"/>
              </w:rPr>
              <w:t>Amount</w:t>
            </w:r>
          </w:p>
        </w:tc>
        <w:tc>
          <w:tcPr>
            <w:tcW w:w="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b w:val="1"/>
                <w:bCs w:val="1"/>
                <w:color w:val="auto"/>
              </w:rPr>
              <w:t xml:space="preserve">% </w:t>
            </w:r>
            <w:r>
              <w:rPr>
                <w:rFonts w:ascii="Arial" w:cs="Arial" w:eastAsia="Arial" w:hAnsi="Arial"/>
                <w:sz w:val="5"/>
                <w:szCs w:val="5"/>
                <w:b w:val="1"/>
                <w:bCs w:val="1"/>
                <w:color w:val="auto"/>
              </w:rPr>
              <w:t>1</w:t>
            </w:r>
          </w:p>
        </w:tc>
        <w:tc>
          <w:tcPr>
            <w:tcW w:w="80" w:type="dxa"/>
            <w:vAlign w:val="bottom"/>
          </w:tcPr>
          <w:p>
            <w:pPr>
              <w:spacing w:after="0"/>
              <w:rPr>
                <w:sz w:val="14"/>
                <w:szCs w:val="14"/>
                <w:color w:val="auto"/>
              </w:rPr>
            </w:pPr>
          </w:p>
        </w:tc>
        <w:tc>
          <w:tcPr>
            <w:tcW w:w="420" w:type="dxa"/>
            <w:vAlign w:val="bottom"/>
            <w:tcBorders>
              <w:bottom w:val="single" w:sz="8" w:color="auto"/>
            </w:tcBorders>
            <w:gridSpan w:val="2"/>
          </w:tcPr>
          <w:p>
            <w:pPr>
              <w:jc w:val="right"/>
              <w:spacing w:after="0"/>
              <w:rPr>
                <w:sz w:val="20"/>
                <w:szCs w:val="20"/>
                <w:color w:val="auto"/>
              </w:rPr>
            </w:pPr>
            <w:r>
              <w:rPr>
                <w:rFonts w:ascii="Arial" w:cs="Arial" w:eastAsia="Arial" w:hAnsi="Arial"/>
                <w:sz w:val="10"/>
                <w:szCs w:val="10"/>
                <w:b w:val="1"/>
                <w:bCs w:val="1"/>
                <w:color w:val="auto"/>
                <w:w w:val="95"/>
              </w:rPr>
              <w:t>Amount</w:t>
            </w:r>
          </w:p>
        </w:tc>
        <w:tc>
          <w:tcPr>
            <w:tcW w:w="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b w:val="1"/>
                <w:bCs w:val="1"/>
                <w:color w:val="auto"/>
              </w:rPr>
              <w:t xml:space="preserve">% </w:t>
            </w:r>
            <w:r>
              <w:rPr>
                <w:rFonts w:ascii="Arial" w:cs="Arial" w:eastAsia="Arial" w:hAnsi="Arial"/>
                <w:sz w:val="5"/>
                <w:szCs w:val="5"/>
                <w:b w:val="1"/>
                <w:bCs w:val="1"/>
                <w:color w:val="auto"/>
              </w:rPr>
              <w:t>1</w:t>
            </w:r>
          </w:p>
        </w:tc>
        <w:tc>
          <w:tcPr>
            <w:tcW w:w="0" w:type="dxa"/>
            <w:vAlign w:val="bottom"/>
          </w:tcPr>
          <w:p>
            <w:pPr>
              <w:spacing w:after="0"/>
              <w:rPr>
                <w:sz w:val="1"/>
                <w:szCs w:val="1"/>
                <w:color w:val="auto"/>
              </w:rPr>
            </w:pPr>
          </w:p>
        </w:tc>
      </w:tr>
      <w:tr>
        <w:trPr>
          <w:trHeight w:val="169"/>
        </w:trPr>
        <w:tc>
          <w:tcPr>
            <w:tcW w:w="2180" w:type="dxa"/>
            <w:vAlign w:val="bottom"/>
            <w:gridSpan w:val="2"/>
          </w:tcPr>
          <w:p>
            <w:pPr>
              <w:ind w:left="20"/>
              <w:spacing w:after="0"/>
              <w:rPr>
                <w:sz w:val="20"/>
                <w:szCs w:val="20"/>
                <w:color w:val="auto"/>
              </w:rPr>
            </w:pPr>
            <w:r>
              <w:rPr>
                <w:rFonts w:ascii="Arial" w:cs="Arial" w:eastAsia="Arial" w:hAnsi="Arial"/>
                <w:sz w:val="10"/>
                <w:szCs w:val="10"/>
                <w:b w:val="1"/>
                <w:bCs w:val="1"/>
                <w:color w:val="auto"/>
              </w:rPr>
              <w:t>Interest expense:</w:t>
            </w:r>
          </w:p>
        </w:tc>
        <w:tc>
          <w:tcPr>
            <w:tcW w:w="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4"/>
        </w:trPr>
        <w:tc>
          <w:tcPr>
            <w:tcW w:w="2180" w:type="dxa"/>
            <w:vAlign w:val="bottom"/>
            <w:gridSpan w:val="2"/>
            <w:shd w:val="clear" w:color="auto" w:fill="CCEEFF"/>
          </w:tcPr>
          <w:p>
            <w:pPr>
              <w:ind w:left="240"/>
              <w:spacing w:after="0"/>
              <w:rPr>
                <w:sz w:val="20"/>
                <w:szCs w:val="20"/>
                <w:color w:val="auto"/>
              </w:rPr>
            </w:pPr>
            <w:r>
              <w:rPr>
                <w:rFonts w:ascii="Arial" w:cs="Arial" w:eastAsia="Arial" w:hAnsi="Arial"/>
                <w:sz w:val="10"/>
                <w:szCs w:val="10"/>
                <w:color w:val="auto"/>
              </w:rPr>
              <w:t>Interest expense on mortgage borrowings</w:t>
            </w:r>
          </w:p>
        </w:tc>
        <w:tc>
          <w:tcPr>
            <w:tcW w:w="16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w:t>
            </w:r>
          </w:p>
        </w:tc>
        <w:tc>
          <w:tcPr>
            <w:tcW w:w="2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89</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w w:val="98"/>
              </w:rPr>
              <w:t>0.80%</w:t>
            </w:r>
          </w:p>
        </w:tc>
        <w:tc>
          <w:tcPr>
            <w:tcW w:w="80" w:type="dxa"/>
            <w:vAlign w:val="bottom"/>
            <w:shd w:val="clear" w:color="auto" w:fill="CCEEFF"/>
          </w:tcPr>
          <w:p>
            <w:pPr>
              <w:spacing w:after="0"/>
              <w:rPr>
                <w:sz w:val="16"/>
                <w:szCs w:val="16"/>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53</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0.49%</w:t>
            </w: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w:t>
            </w:r>
          </w:p>
        </w:tc>
        <w:tc>
          <w:tcPr>
            <w:tcW w:w="2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258</w:t>
            </w: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w w:val="98"/>
              </w:rPr>
              <w:t>0.75%</w:t>
            </w:r>
          </w:p>
        </w:tc>
        <w:tc>
          <w:tcPr>
            <w:tcW w:w="80" w:type="dxa"/>
            <w:vAlign w:val="bottom"/>
            <w:shd w:val="clear" w:color="auto" w:fill="CCEEFF"/>
          </w:tcPr>
          <w:p>
            <w:pPr>
              <w:spacing w:after="0"/>
              <w:rPr>
                <w:sz w:val="16"/>
                <w:szCs w:val="16"/>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165</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0.45%</w:t>
            </w:r>
          </w:p>
        </w:tc>
        <w:tc>
          <w:tcPr>
            <w:tcW w:w="0" w:type="dxa"/>
            <w:vAlign w:val="bottom"/>
          </w:tcPr>
          <w:p>
            <w:pPr>
              <w:spacing w:after="0"/>
              <w:rPr>
                <w:sz w:val="1"/>
                <w:szCs w:val="1"/>
                <w:color w:val="auto"/>
              </w:rPr>
            </w:pPr>
          </w:p>
        </w:tc>
      </w:tr>
      <w:tr>
        <w:trPr>
          <w:trHeight w:val="105"/>
        </w:trPr>
        <w:tc>
          <w:tcPr>
            <w:tcW w:w="2180" w:type="dxa"/>
            <w:vAlign w:val="bottom"/>
            <w:gridSpan w:val="2"/>
          </w:tcPr>
          <w:p>
            <w:pPr>
              <w:ind w:left="240"/>
              <w:spacing w:after="0" w:line="105" w:lineRule="exact"/>
              <w:rPr>
                <w:sz w:val="20"/>
                <w:szCs w:val="20"/>
                <w:color w:val="auto"/>
              </w:rPr>
            </w:pPr>
            <w:r>
              <w:rPr>
                <w:rFonts w:ascii="Arial" w:cs="Arial" w:eastAsia="Arial" w:hAnsi="Arial"/>
                <w:sz w:val="10"/>
                <w:szCs w:val="10"/>
                <w:color w:val="auto"/>
                <w:w w:val="98"/>
              </w:rPr>
              <w:t>Periodic interest costs of interest rate swaps</w:t>
            </w:r>
          </w:p>
        </w:tc>
        <w:tc>
          <w:tcPr>
            <w:tcW w:w="160" w:type="dxa"/>
            <w:vAlign w:val="bottom"/>
          </w:tcPr>
          <w:p>
            <w:pPr>
              <w:spacing w:after="0"/>
              <w:rPr>
                <w:sz w:val="9"/>
                <w:szCs w:val="9"/>
                <w:color w:val="auto"/>
              </w:rPr>
            </w:pPr>
          </w:p>
        </w:tc>
        <w:tc>
          <w:tcPr>
            <w:tcW w:w="28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320" w:type="dxa"/>
            <w:vAlign w:val="bottom"/>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340" w:type="dxa"/>
            <w:vAlign w:val="bottom"/>
          </w:tcPr>
          <w:p>
            <w:pPr>
              <w:spacing w:after="0"/>
              <w:rPr>
                <w:sz w:val="9"/>
                <w:szCs w:val="9"/>
                <w:color w:val="auto"/>
              </w:rPr>
            </w:pPr>
          </w:p>
        </w:tc>
        <w:tc>
          <w:tcPr>
            <w:tcW w:w="60" w:type="dxa"/>
            <w:vAlign w:val="bottom"/>
          </w:tcPr>
          <w:p>
            <w:pPr>
              <w:spacing w:after="0"/>
              <w:rPr>
                <w:sz w:val="9"/>
                <w:szCs w:val="9"/>
                <w:color w:val="auto"/>
              </w:rPr>
            </w:pPr>
          </w:p>
        </w:tc>
        <w:tc>
          <w:tcPr>
            <w:tcW w:w="160" w:type="dxa"/>
            <w:vAlign w:val="bottom"/>
          </w:tcPr>
          <w:p>
            <w:pPr>
              <w:spacing w:after="0"/>
              <w:rPr>
                <w:sz w:val="9"/>
                <w:szCs w:val="9"/>
                <w:color w:val="auto"/>
              </w:rPr>
            </w:pPr>
          </w:p>
        </w:tc>
        <w:tc>
          <w:tcPr>
            <w:tcW w:w="280" w:type="dxa"/>
            <w:vAlign w:val="bottom"/>
          </w:tcPr>
          <w:p>
            <w:pPr>
              <w:spacing w:after="0"/>
              <w:rPr>
                <w:sz w:val="9"/>
                <w:szCs w:val="9"/>
                <w:color w:val="auto"/>
              </w:rPr>
            </w:pPr>
          </w:p>
        </w:tc>
        <w:tc>
          <w:tcPr>
            <w:tcW w:w="60" w:type="dxa"/>
            <w:vAlign w:val="bottom"/>
          </w:tcPr>
          <w:p>
            <w:pPr>
              <w:spacing w:after="0"/>
              <w:rPr>
                <w:sz w:val="9"/>
                <w:szCs w:val="9"/>
                <w:color w:val="auto"/>
              </w:rPr>
            </w:pPr>
          </w:p>
        </w:tc>
        <w:tc>
          <w:tcPr>
            <w:tcW w:w="120" w:type="dxa"/>
            <w:vAlign w:val="bottom"/>
          </w:tcPr>
          <w:p>
            <w:pPr>
              <w:spacing w:after="0"/>
              <w:rPr>
                <w:sz w:val="9"/>
                <w:szCs w:val="9"/>
                <w:color w:val="auto"/>
              </w:rPr>
            </w:pPr>
          </w:p>
        </w:tc>
        <w:tc>
          <w:tcPr>
            <w:tcW w:w="320" w:type="dxa"/>
            <w:vAlign w:val="bottom"/>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3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2180" w:type="dxa"/>
            <w:vAlign w:val="bottom"/>
            <w:gridSpan w:val="2"/>
          </w:tcPr>
          <w:p>
            <w:pPr>
              <w:ind w:left="340"/>
              <w:spacing w:after="0" w:line="99" w:lineRule="exact"/>
              <w:rPr>
                <w:sz w:val="20"/>
                <w:szCs w:val="20"/>
                <w:color w:val="auto"/>
              </w:rPr>
            </w:pPr>
            <w:r>
              <w:rPr>
                <w:rFonts w:ascii="Arial" w:cs="Arial" w:eastAsia="Arial" w:hAnsi="Arial"/>
                <w:sz w:val="10"/>
                <w:szCs w:val="10"/>
                <w:color w:val="auto"/>
              </w:rPr>
              <w:t>previously designated as hedges under</w:t>
            </w:r>
          </w:p>
        </w:tc>
        <w:tc>
          <w:tcPr>
            <w:tcW w:w="160" w:type="dxa"/>
            <w:vAlign w:val="bottom"/>
          </w:tcPr>
          <w:p>
            <w:pPr>
              <w:spacing w:after="0"/>
              <w:rPr>
                <w:sz w:val="8"/>
                <w:szCs w:val="8"/>
                <w:color w:val="auto"/>
              </w:rPr>
            </w:pPr>
          </w:p>
        </w:tc>
        <w:tc>
          <w:tcPr>
            <w:tcW w:w="28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26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340" w:type="dxa"/>
            <w:vAlign w:val="bottom"/>
          </w:tcPr>
          <w:p>
            <w:pPr>
              <w:spacing w:after="0"/>
              <w:rPr>
                <w:sz w:val="8"/>
                <w:szCs w:val="8"/>
                <w:color w:val="auto"/>
              </w:rPr>
            </w:pPr>
          </w:p>
        </w:tc>
        <w:tc>
          <w:tcPr>
            <w:tcW w:w="60" w:type="dxa"/>
            <w:vAlign w:val="bottom"/>
          </w:tcPr>
          <w:p>
            <w:pPr>
              <w:spacing w:after="0"/>
              <w:rPr>
                <w:sz w:val="8"/>
                <w:szCs w:val="8"/>
                <w:color w:val="auto"/>
              </w:rPr>
            </w:pPr>
          </w:p>
        </w:tc>
        <w:tc>
          <w:tcPr>
            <w:tcW w:w="160" w:type="dxa"/>
            <w:vAlign w:val="bottom"/>
          </w:tcPr>
          <w:p>
            <w:pPr>
              <w:spacing w:after="0"/>
              <w:rPr>
                <w:sz w:val="8"/>
                <w:szCs w:val="8"/>
                <w:color w:val="auto"/>
              </w:rPr>
            </w:pPr>
          </w:p>
        </w:tc>
        <w:tc>
          <w:tcPr>
            <w:tcW w:w="28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26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3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6"/>
        </w:trPr>
        <w:tc>
          <w:tcPr>
            <w:tcW w:w="2180" w:type="dxa"/>
            <w:vAlign w:val="bottom"/>
            <w:tcBorders>
              <w:bottom w:val="single" w:sz="8" w:color="CCEEFF"/>
            </w:tcBorders>
            <w:gridSpan w:val="2"/>
          </w:tcPr>
          <w:p>
            <w:pPr>
              <w:ind w:left="340"/>
              <w:spacing w:after="0"/>
              <w:rPr>
                <w:sz w:val="20"/>
                <w:szCs w:val="20"/>
                <w:color w:val="auto"/>
              </w:rPr>
            </w:pPr>
            <w:r>
              <w:rPr>
                <w:rFonts w:ascii="Arial" w:cs="Arial" w:eastAsia="Arial" w:hAnsi="Arial"/>
                <w:sz w:val="10"/>
                <w:szCs w:val="10"/>
                <w:color w:val="auto"/>
              </w:rPr>
              <w:t>GAAP, net</w:t>
            </w:r>
          </w:p>
        </w:tc>
        <w:tc>
          <w:tcPr>
            <w:tcW w:w="16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w:t>
            </w:r>
          </w:p>
        </w:tc>
        <w:tc>
          <w:tcPr>
            <w:tcW w:w="8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98"/>
              </w:rPr>
              <w:t>0.06%</w:t>
            </w:r>
          </w:p>
        </w:tc>
        <w:tc>
          <w:tcPr>
            <w:tcW w:w="80" w:type="dxa"/>
            <w:vAlign w:val="bottom"/>
            <w:tcBorders>
              <w:bottom w:val="single" w:sz="8" w:color="CCEEFF"/>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24</w:t>
            </w:r>
          </w:p>
        </w:tc>
        <w:tc>
          <w:tcPr>
            <w:tcW w:w="8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0.22%</w:t>
            </w:r>
          </w:p>
        </w:tc>
        <w:tc>
          <w:tcPr>
            <w:tcW w:w="60" w:type="dxa"/>
            <w:vAlign w:val="bottom"/>
            <w:tcBorders>
              <w:bottom w:val="single" w:sz="8" w:color="CCEEFF"/>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38</w:t>
            </w:r>
          </w:p>
        </w:tc>
        <w:tc>
          <w:tcPr>
            <w:tcW w:w="60" w:type="dxa"/>
            <w:vAlign w:val="bottom"/>
            <w:tcBorders>
              <w:bottom w:val="single" w:sz="8" w:color="CCEEFF"/>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98"/>
              </w:rPr>
              <w:t>0.11%</w:t>
            </w:r>
          </w:p>
        </w:tc>
        <w:tc>
          <w:tcPr>
            <w:tcW w:w="80" w:type="dxa"/>
            <w:vAlign w:val="bottom"/>
            <w:tcBorders>
              <w:bottom w:val="single" w:sz="8" w:color="CCEEFF"/>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79</w:t>
            </w:r>
          </w:p>
        </w:tc>
        <w:tc>
          <w:tcPr>
            <w:tcW w:w="8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0.21%</w:t>
            </w:r>
          </w:p>
        </w:tc>
        <w:tc>
          <w:tcPr>
            <w:tcW w:w="0" w:type="dxa"/>
            <w:vAlign w:val="bottom"/>
          </w:tcPr>
          <w:p>
            <w:pPr>
              <w:spacing w:after="0"/>
              <w:rPr>
                <w:sz w:val="1"/>
                <w:szCs w:val="1"/>
                <w:color w:val="auto"/>
              </w:rPr>
            </w:pPr>
          </w:p>
        </w:tc>
      </w:tr>
      <w:tr>
        <w:trPr>
          <w:trHeight w:val="164"/>
        </w:trPr>
        <w:tc>
          <w:tcPr>
            <w:tcW w:w="218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Total interest expense</w:t>
            </w:r>
          </w:p>
        </w:tc>
        <w:tc>
          <w:tcPr>
            <w:tcW w:w="160" w:type="dxa"/>
            <w:vAlign w:val="bottom"/>
            <w:shd w:val="clear" w:color="auto" w:fill="CCEEFF"/>
          </w:tcPr>
          <w:p>
            <w:pPr>
              <w:spacing w:after="0"/>
              <w:rPr>
                <w:sz w:val="14"/>
                <w:szCs w:val="14"/>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96</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w w:val="98"/>
              </w:rPr>
              <w:t>0.86%</w:t>
            </w: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77</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0.71%</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296</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w w:val="98"/>
              </w:rPr>
              <w:t>0.86%</w:t>
            </w: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244</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0.66%</w:t>
            </w:r>
          </w:p>
        </w:tc>
        <w:tc>
          <w:tcPr>
            <w:tcW w:w="0" w:type="dxa"/>
            <w:vAlign w:val="bottom"/>
          </w:tcPr>
          <w:p>
            <w:pPr>
              <w:spacing w:after="0"/>
              <w:rPr>
                <w:sz w:val="1"/>
                <w:szCs w:val="1"/>
                <w:color w:val="auto"/>
              </w:rPr>
            </w:pPr>
          </w:p>
        </w:tc>
      </w:tr>
      <w:tr>
        <w:trPr>
          <w:trHeight w:val="105"/>
        </w:trPr>
        <w:tc>
          <w:tcPr>
            <w:tcW w:w="2180" w:type="dxa"/>
            <w:vAlign w:val="bottom"/>
            <w:gridSpan w:val="2"/>
          </w:tcPr>
          <w:p>
            <w:pPr>
              <w:ind w:left="240"/>
              <w:spacing w:after="0" w:line="105" w:lineRule="exact"/>
              <w:rPr>
                <w:sz w:val="20"/>
                <w:szCs w:val="20"/>
                <w:color w:val="auto"/>
              </w:rPr>
            </w:pPr>
            <w:r>
              <w:rPr>
                <w:rFonts w:ascii="Arial" w:cs="Arial" w:eastAsia="Arial" w:hAnsi="Arial"/>
                <w:sz w:val="10"/>
                <w:szCs w:val="10"/>
                <w:color w:val="auto"/>
              </w:rPr>
              <w:t>Other periodic interest costs of interest rate</w:t>
            </w:r>
          </w:p>
        </w:tc>
        <w:tc>
          <w:tcPr>
            <w:tcW w:w="160" w:type="dxa"/>
            <w:vAlign w:val="bottom"/>
          </w:tcPr>
          <w:p>
            <w:pPr>
              <w:spacing w:after="0"/>
              <w:rPr>
                <w:sz w:val="9"/>
                <w:szCs w:val="9"/>
                <w:color w:val="auto"/>
              </w:rPr>
            </w:pPr>
          </w:p>
        </w:tc>
        <w:tc>
          <w:tcPr>
            <w:tcW w:w="28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320" w:type="dxa"/>
            <w:vAlign w:val="bottom"/>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340" w:type="dxa"/>
            <w:vAlign w:val="bottom"/>
          </w:tcPr>
          <w:p>
            <w:pPr>
              <w:spacing w:after="0"/>
              <w:rPr>
                <w:sz w:val="9"/>
                <w:szCs w:val="9"/>
                <w:color w:val="auto"/>
              </w:rPr>
            </w:pPr>
          </w:p>
        </w:tc>
        <w:tc>
          <w:tcPr>
            <w:tcW w:w="60" w:type="dxa"/>
            <w:vAlign w:val="bottom"/>
          </w:tcPr>
          <w:p>
            <w:pPr>
              <w:spacing w:after="0"/>
              <w:rPr>
                <w:sz w:val="9"/>
                <w:szCs w:val="9"/>
                <w:color w:val="auto"/>
              </w:rPr>
            </w:pPr>
          </w:p>
        </w:tc>
        <w:tc>
          <w:tcPr>
            <w:tcW w:w="160" w:type="dxa"/>
            <w:vAlign w:val="bottom"/>
          </w:tcPr>
          <w:p>
            <w:pPr>
              <w:spacing w:after="0"/>
              <w:rPr>
                <w:sz w:val="9"/>
                <w:szCs w:val="9"/>
                <w:color w:val="auto"/>
              </w:rPr>
            </w:pPr>
          </w:p>
        </w:tc>
        <w:tc>
          <w:tcPr>
            <w:tcW w:w="280" w:type="dxa"/>
            <w:vAlign w:val="bottom"/>
          </w:tcPr>
          <w:p>
            <w:pPr>
              <w:spacing w:after="0"/>
              <w:rPr>
                <w:sz w:val="9"/>
                <w:szCs w:val="9"/>
                <w:color w:val="auto"/>
              </w:rPr>
            </w:pPr>
          </w:p>
        </w:tc>
        <w:tc>
          <w:tcPr>
            <w:tcW w:w="60" w:type="dxa"/>
            <w:vAlign w:val="bottom"/>
          </w:tcPr>
          <w:p>
            <w:pPr>
              <w:spacing w:after="0"/>
              <w:rPr>
                <w:sz w:val="9"/>
                <w:szCs w:val="9"/>
                <w:color w:val="auto"/>
              </w:rPr>
            </w:pPr>
          </w:p>
        </w:tc>
        <w:tc>
          <w:tcPr>
            <w:tcW w:w="120" w:type="dxa"/>
            <w:vAlign w:val="bottom"/>
          </w:tcPr>
          <w:p>
            <w:pPr>
              <w:spacing w:after="0"/>
              <w:rPr>
                <w:sz w:val="9"/>
                <w:szCs w:val="9"/>
                <w:color w:val="auto"/>
              </w:rPr>
            </w:pPr>
          </w:p>
        </w:tc>
        <w:tc>
          <w:tcPr>
            <w:tcW w:w="320" w:type="dxa"/>
            <w:vAlign w:val="bottom"/>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3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6"/>
        </w:trPr>
        <w:tc>
          <w:tcPr>
            <w:tcW w:w="2180" w:type="dxa"/>
            <w:vAlign w:val="bottom"/>
            <w:tcBorders>
              <w:bottom w:val="single" w:sz="8" w:color="CCEEFF"/>
            </w:tcBorders>
            <w:gridSpan w:val="2"/>
          </w:tcPr>
          <w:p>
            <w:pPr>
              <w:ind w:left="340"/>
              <w:spacing w:after="0"/>
              <w:rPr>
                <w:sz w:val="20"/>
                <w:szCs w:val="20"/>
                <w:color w:val="auto"/>
              </w:rPr>
            </w:pPr>
            <w:r>
              <w:rPr>
                <w:rFonts w:ascii="Arial" w:cs="Arial" w:eastAsia="Arial" w:hAnsi="Arial"/>
                <w:sz w:val="10"/>
                <w:szCs w:val="10"/>
                <w:color w:val="auto"/>
              </w:rPr>
              <w:t>swaps, net</w:t>
            </w:r>
          </w:p>
        </w:tc>
        <w:tc>
          <w:tcPr>
            <w:tcW w:w="16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51</w:t>
            </w:r>
          </w:p>
        </w:tc>
        <w:tc>
          <w:tcPr>
            <w:tcW w:w="8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98"/>
              </w:rPr>
              <w:t>0.47%</w:t>
            </w:r>
          </w:p>
        </w:tc>
        <w:tc>
          <w:tcPr>
            <w:tcW w:w="80" w:type="dxa"/>
            <w:vAlign w:val="bottom"/>
            <w:tcBorders>
              <w:bottom w:val="single" w:sz="8" w:color="CCEEFF"/>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107</w:t>
            </w:r>
          </w:p>
        </w:tc>
        <w:tc>
          <w:tcPr>
            <w:tcW w:w="8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0.99%</w:t>
            </w:r>
          </w:p>
        </w:tc>
        <w:tc>
          <w:tcPr>
            <w:tcW w:w="60" w:type="dxa"/>
            <w:vAlign w:val="bottom"/>
            <w:tcBorders>
              <w:bottom w:val="single" w:sz="8" w:color="CCEEFF"/>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209</w:t>
            </w:r>
          </w:p>
        </w:tc>
        <w:tc>
          <w:tcPr>
            <w:tcW w:w="60" w:type="dxa"/>
            <w:vAlign w:val="bottom"/>
            <w:tcBorders>
              <w:bottom w:val="single" w:sz="8" w:color="CCEEFF"/>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98"/>
              </w:rPr>
              <w:t>0.60%</w:t>
            </w:r>
          </w:p>
        </w:tc>
        <w:tc>
          <w:tcPr>
            <w:tcW w:w="80" w:type="dxa"/>
            <w:vAlign w:val="bottom"/>
            <w:tcBorders>
              <w:bottom w:val="single" w:sz="8" w:color="CCEEFF"/>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290</w:t>
            </w:r>
          </w:p>
        </w:tc>
        <w:tc>
          <w:tcPr>
            <w:tcW w:w="8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0.79%</w:t>
            </w:r>
          </w:p>
        </w:tc>
        <w:tc>
          <w:tcPr>
            <w:tcW w:w="0" w:type="dxa"/>
            <w:vAlign w:val="bottom"/>
          </w:tcPr>
          <w:p>
            <w:pPr>
              <w:spacing w:after="0"/>
              <w:rPr>
                <w:sz w:val="1"/>
                <w:szCs w:val="1"/>
                <w:color w:val="auto"/>
              </w:rPr>
            </w:pPr>
          </w:p>
        </w:tc>
      </w:tr>
      <w:tr>
        <w:trPr>
          <w:trHeight w:val="87"/>
        </w:trPr>
        <w:tc>
          <w:tcPr>
            <w:tcW w:w="2180" w:type="dxa"/>
            <w:vAlign w:val="bottom"/>
            <w:gridSpan w:val="2"/>
            <w:shd w:val="clear" w:color="auto" w:fill="CCEEFF"/>
          </w:tcPr>
          <w:p>
            <w:pPr>
              <w:ind w:left="20"/>
              <w:spacing w:after="0" w:line="87" w:lineRule="exact"/>
              <w:rPr>
                <w:sz w:val="20"/>
                <w:szCs w:val="20"/>
                <w:color w:val="auto"/>
              </w:rPr>
            </w:pPr>
            <w:r>
              <w:rPr>
                <w:rFonts w:ascii="Arial" w:cs="Arial" w:eastAsia="Arial" w:hAnsi="Arial"/>
                <w:sz w:val="10"/>
                <w:szCs w:val="10"/>
                <w:b w:val="1"/>
                <w:bCs w:val="1"/>
                <w:color w:val="auto"/>
                <w:w w:val="95"/>
              </w:rPr>
              <w:t>Total adjusted net interest expense and cost of</w:t>
            </w:r>
          </w:p>
        </w:tc>
        <w:tc>
          <w:tcPr>
            <w:tcW w:w="160" w:type="dxa"/>
            <w:vAlign w:val="bottom"/>
            <w:vMerge w:val="restart"/>
            <w:shd w:val="clear" w:color="auto" w:fill="CCEEFF"/>
          </w:tcPr>
          <w:p>
            <w:pPr>
              <w:jc w:val="right"/>
              <w:ind w:right="32"/>
              <w:spacing w:after="0"/>
              <w:rPr>
                <w:sz w:val="20"/>
                <w:szCs w:val="20"/>
                <w:color w:val="auto"/>
              </w:rPr>
            </w:pPr>
            <w:r>
              <w:rPr>
                <w:rFonts w:ascii="Arial" w:cs="Arial" w:eastAsia="Arial" w:hAnsi="Arial"/>
                <w:sz w:val="10"/>
                <w:szCs w:val="10"/>
                <w:color w:val="auto"/>
              </w:rPr>
              <w:t>$</w:t>
            </w:r>
          </w:p>
        </w:tc>
        <w:tc>
          <w:tcPr>
            <w:tcW w:w="28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147</w:t>
            </w:r>
          </w:p>
        </w:tc>
        <w:tc>
          <w:tcPr>
            <w:tcW w:w="8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32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98"/>
              </w:rPr>
              <w:t>1.32%</w:t>
            </w:r>
          </w:p>
        </w:tc>
        <w:tc>
          <w:tcPr>
            <w:tcW w:w="80" w:type="dxa"/>
            <w:vAlign w:val="bottom"/>
            <w:shd w:val="clear" w:color="auto" w:fill="CCEEFF"/>
          </w:tcPr>
          <w:p>
            <w:pPr>
              <w:spacing w:after="0"/>
              <w:rPr>
                <w:sz w:val="7"/>
                <w:szCs w:val="7"/>
                <w:color w:val="auto"/>
              </w:rPr>
            </w:pPr>
          </w:p>
        </w:tc>
        <w:tc>
          <w:tcPr>
            <w:tcW w:w="160" w:type="dxa"/>
            <w:vAlign w:val="bottom"/>
            <w:vMerge w:val="restart"/>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26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184</w:t>
            </w:r>
          </w:p>
        </w:tc>
        <w:tc>
          <w:tcPr>
            <w:tcW w:w="8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34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1.70%</w:t>
            </w:r>
          </w:p>
        </w:tc>
        <w:tc>
          <w:tcPr>
            <w:tcW w:w="60" w:type="dxa"/>
            <w:vAlign w:val="bottom"/>
            <w:shd w:val="clear" w:color="auto" w:fill="CCEEFF"/>
          </w:tcPr>
          <w:p>
            <w:pPr>
              <w:spacing w:after="0"/>
              <w:rPr>
                <w:sz w:val="7"/>
                <w:szCs w:val="7"/>
                <w:color w:val="auto"/>
              </w:rPr>
            </w:pPr>
          </w:p>
        </w:tc>
        <w:tc>
          <w:tcPr>
            <w:tcW w:w="160" w:type="dxa"/>
            <w:vAlign w:val="bottom"/>
            <w:vMerge w:val="restart"/>
            <w:shd w:val="clear" w:color="auto" w:fill="CCEEFF"/>
          </w:tcPr>
          <w:p>
            <w:pPr>
              <w:jc w:val="right"/>
              <w:ind w:right="32"/>
              <w:spacing w:after="0"/>
              <w:rPr>
                <w:sz w:val="20"/>
                <w:szCs w:val="20"/>
                <w:color w:val="auto"/>
              </w:rPr>
            </w:pPr>
            <w:r>
              <w:rPr>
                <w:rFonts w:ascii="Arial" w:cs="Arial" w:eastAsia="Arial" w:hAnsi="Arial"/>
                <w:sz w:val="10"/>
                <w:szCs w:val="10"/>
                <w:color w:val="auto"/>
              </w:rPr>
              <w:t>$</w:t>
            </w:r>
          </w:p>
        </w:tc>
        <w:tc>
          <w:tcPr>
            <w:tcW w:w="28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505</w:t>
            </w:r>
          </w:p>
        </w:tc>
        <w:tc>
          <w:tcPr>
            <w:tcW w:w="60" w:type="dxa"/>
            <w:vAlign w:val="bottom"/>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32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98"/>
              </w:rPr>
              <w:t>1.47%</w:t>
            </w:r>
          </w:p>
        </w:tc>
        <w:tc>
          <w:tcPr>
            <w:tcW w:w="80" w:type="dxa"/>
            <w:vAlign w:val="bottom"/>
            <w:shd w:val="clear" w:color="auto" w:fill="CCEEFF"/>
          </w:tcPr>
          <w:p>
            <w:pPr>
              <w:spacing w:after="0"/>
              <w:rPr>
                <w:sz w:val="7"/>
                <w:szCs w:val="7"/>
                <w:color w:val="auto"/>
              </w:rPr>
            </w:pPr>
          </w:p>
        </w:tc>
        <w:tc>
          <w:tcPr>
            <w:tcW w:w="160" w:type="dxa"/>
            <w:vAlign w:val="bottom"/>
            <w:vMerge w:val="restart"/>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26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534</w:t>
            </w:r>
          </w:p>
        </w:tc>
        <w:tc>
          <w:tcPr>
            <w:tcW w:w="8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32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1.45%</w:t>
            </w:r>
          </w:p>
        </w:tc>
        <w:tc>
          <w:tcPr>
            <w:tcW w:w="0" w:type="dxa"/>
            <w:vAlign w:val="bottom"/>
          </w:tcPr>
          <w:p>
            <w:pPr>
              <w:spacing w:after="0"/>
              <w:rPr>
                <w:sz w:val="1"/>
                <w:szCs w:val="1"/>
                <w:color w:val="auto"/>
              </w:rPr>
            </w:pPr>
          </w:p>
        </w:tc>
      </w:tr>
      <w:tr>
        <w:trPr>
          <w:trHeight w:val="130"/>
        </w:trPr>
        <w:tc>
          <w:tcPr>
            <w:tcW w:w="218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funds</w:t>
            </w:r>
          </w:p>
        </w:tc>
        <w:tc>
          <w:tcPr>
            <w:tcW w:w="160" w:type="dxa"/>
            <w:vAlign w:val="bottom"/>
            <w:tcBorders>
              <w:bottom w:val="single" w:sz="8" w:color="auto"/>
            </w:tcBorders>
            <w:vMerge w:val="continue"/>
            <w:shd w:val="clear" w:color="auto" w:fill="CCEEFF"/>
          </w:tcPr>
          <w:p>
            <w:pPr>
              <w:spacing w:after="0"/>
              <w:rPr>
                <w:sz w:val="11"/>
                <w:szCs w:val="11"/>
                <w:color w:val="auto"/>
              </w:rPr>
            </w:pPr>
          </w:p>
        </w:tc>
        <w:tc>
          <w:tcPr>
            <w:tcW w:w="280" w:type="dxa"/>
            <w:vAlign w:val="bottom"/>
            <w:tcBorders>
              <w:bottom w:val="single" w:sz="8" w:color="auto"/>
            </w:tcBorders>
            <w:vMerge w:val="continue"/>
            <w:shd w:val="clear" w:color="auto" w:fill="CCEEFF"/>
          </w:tcPr>
          <w:p>
            <w:pPr>
              <w:spacing w:after="0"/>
              <w:rPr>
                <w:sz w:val="11"/>
                <w:szCs w:val="11"/>
                <w:color w:val="auto"/>
              </w:rPr>
            </w:pPr>
          </w:p>
        </w:tc>
        <w:tc>
          <w:tcPr>
            <w:tcW w:w="80" w:type="dxa"/>
            <w:vAlign w:val="bottom"/>
            <w:tcBorders>
              <w:bottom w:val="single" w:sz="8" w:color="CCEEFF"/>
            </w:tcBorders>
            <w:shd w:val="clear" w:color="auto" w:fill="CCEEFF"/>
          </w:tcPr>
          <w:p>
            <w:pPr>
              <w:spacing w:after="0"/>
              <w:rPr>
                <w:sz w:val="11"/>
                <w:szCs w:val="11"/>
                <w:color w:val="auto"/>
              </w:rPr>
            </w:pPr>
          </w:p>
        </w:tc>
        <w:tc>
          <w:tcPr>
            <w:tcW w:w="100" w:type="dxa"/>
            <w:vAlign w:val="bottom"/>
            <w:tcBorders>
              <w:bottom w:val="single" w:sz="8" w:color="auto"/>
            </w:tcBorders>
            <w:shd w:val="clear" w:color="auto" w:fill="CCEEFF"/>
          </w:tcPr>
          <w:p>
            <w:pPr>
              <w:spacing w:after="0"/>
              <w:rPr>
                <w:sz w:val="11"/>
                <w:szCs w:val="11"/>
                <w:color w:val="auto"/>
              </w:rPr>
            </w:pPr>
          </w:p>
        </w:tc>
        <w:tc>
          <w:tcPr>
            <w:tcW w:w="320" w:type="dxa"/>
            <w:vAlign w:val="bottom"/>
            <w:tcBorders>
              <w:bottom w:val="single" w:sz="8" w:color="auto"/>
            </w:tcBorders>
            <w:vMerge w:val="continue"/>
            <w:shd w:val="clear" w:color="auto" w:fill="CCEEFF"/>
          </w:tcPr>
          <w:p>
            <w:pPr>
              <w:spacing w:after="0"/>
              <w:rPr>
                <w:sz w:val="11"/>
                <w:szCs w:val="11"/>
                <w:color w:val="auto"/>
              </w:rPr>
            </w:pPr>
          </w:p>
        </w:tc>
        <w:tc>
          <w:tcPr>
            <w:tcW w:w="80" w:type="dxa"/>
            <w:vAlign w:val="bottom"/>
            <w:tcBorders>
              <w:bottom w:val="single" w:sz="8" w:color="CCEEFF"/>
            </w:tcBorders>
            <w:shd w:val="clear" w:color="auto" w:fill="CCEEFF"/>
          </w:tcPr>
          <w:p>
            <w:pPr>
              <w:spacing w:after="0"/>
              <w:rPr>
                <w:sz w:val="11"/>
                <w:szCs w:val="11"/>
                <w:color w:val="auto"/>
              </w:rPr>
            </w:pPr>
          </w:p>
        </w:tc>
        <w:tc>
          <w:tcPr>
            <w:tcW w:w="160" w:type="dxa"/>
            <w:vAlign w:val="bottom"/>
            <w:tcBorders>
              <w:bottom w:val="single" w:sz="8" w:color="auto"/>
            </w:tcBorders>
            <w:vMerge w:val="continue"/>
            <w:shd w:val="clear" w:color="auto" w:fill="CCEEFF"/>
          </w:tcPr>
          <w:p>
            <w:pPr>
              <w:spacing w:after="0"/>
              <w:rPr>
                <w:sz w:val="11"/>
                <w:szCs w:val="11"/>
                <w:color w:val="auto"/>
              </w:rPr>
            </w:pPr>
          </w:p>
        </w:tc>
        <w:tc>
          <w:tcPr>
            <w:tcW w:w="260" w:type="dxa"/>
            <w:vAlign w:val="bottom"/>
            <w:tcBorders>
              <w:bottom w:val="single" w:sz="8" w:color="auto"/>
            </w:tcBorders>
            <w:vMerge w:val="continue"/>
            <w:shd w:val="clear" w:color="auto" w:fill="CCEEFF"/>
          </w:tcPr>
          <w:p>
            <w:pPr>
              <w:spacing w:after="0"/>
              <w:rPr>
                <w:sz w:val="11"/>
                <w:szCs w:val="11"/>
                <w:color w:val="auto"/>
              </w:rPr>
            </w:pPr>
          </w:p>
        </w:tc>
        <w:tc>
          <w:tcPr>
            <w:tcW w:w="80" w:type="dxa"/>
            <w:vAlign w:val="bottom"/>
            <w:tcBorders>
              <w:bottom w:val="single" w:sz="8" w:color="CCEEFF"/>
            </w:tcBorders>
            <w:shd w:val="clear" w:color="auto" w:fill="CCEEFF"/>
          </w:tcPr>
          <w:p>
            <w:pPr>
              <w:spacing w:after="0"/>
              <w:rPr>
                <w:sz w:val="11"/>
                <w:szCs w:val="11"/>
                <w:color w:val="auto"/>
              </w:rPr>
            </w:pPr>
          </w:p>
        </w:tc>
        <w:tc>
          <w:tcPr>
            <w:tcW w:w="100" w:type="dxa"/>
            <w:vAlign w:val="bottom"/>
            <w:tcBorders>
              <w:bottom w:val="single" w:sz="8" w:color="auto"/>
            </w:tcBorders>
            <w:shd w:val="clear" w:color="auto" w:fill="CCEEFF"/>
          </w:tcPr>
          <w:p>
            <w:pPr>
              <w:spacing w:after="0"/>
              <w:rPr>
                <w:sz w:val="11"/>
                <w:szCs w:val="11"/>
                <w:color w:val="auto"/>
              </w:rPr>
            </w:pPr>
          </w:p>
        </w:tc>
        <w:tc>
          <w:tcPr>
            <w:tcW w:w="340" w:type="dxa"/>
            <w:vAlign w:val="bottom"/>
            <w:tcBorders>
              <w:bottom w:val="single" w:sz="8" w:color="auto"/>
            </w:tcBorders>
            <w:vMerge w:val="continue"/>
            <w:shd w:val="clear" w:color="auto" w:fill="CCEEFF"/>
          </w:tcPr>
          <w:p>
            <w:pPr>
              <w:spacing w:after="0"/>
              <w:rPr>
                <w:sz w:val="11"/>
                <w:szCs w:val="11"/>
                <w:color w:val="auto"/>
              </w:rPr>
            </w:pPr>
          </w:p>
        </w:tc>
        <w:tc>
          <w:tcPr>
            <w:tcW w:w="60" w:type="dxa"/>
            <w:vAlign w:val="bottom"/>
            <w:tcBorders>
              <w:bottom w:val="single" w:sz="8" w:color="CCEEFF"/>
            </w:tcBorders>
            <w:shd w:val="clear" w:color="auto" w:fill="CCEEFF"/>
          </w:tcPr>
          <w:p>
            <w:pPr>
              <w:spacing w:after="0"/>
              <w:rPr>
                <w:sz w:val="11"/>
                <w:szCs w:val="11"/>
                <w:color w:val="auto"/>
              </w:rPr>
            </w:pPr>
          </w:p>
        </w:tc>
        <w:tc>
          <w:tcPr>
            <w:tcW w:w="160" w:type="dxa"/>
            <w:vAlign w:val="bottom"/>
            <w:tcBorders>
              <w:bottom w:val="single" w:sz="8" w:color="auto"/>
            </w:tcBorders>
            <w:vMerge w:val="continue"/>
            <w:shd w:val="clear" w:color="auto" w:fill="CCEEFF"/>
          </w:tcPr>
          <w:p>
            <w:pPr>
              <w:spacing w:after="0"/>
              <w:rPr>
                <w:sz w:val="11"/>
                <w:szCs w:val="11"/>
                <w:color w:val="auto"/>
              </w:rPr>
            </w:pPr>
          </w:p>
        </w:tc>
        <w:tc>
          <w:tcPr>
            <w:tcW w:w="280" w:type="dxa"/>
            <w:vAlign w:val="bottom"/>
            <w:tcBorders>
              <w:bottom w:val="single" w:sz="8" w:color="auto"/>
            </w:tcBorders>
            <w:vMerge w:val="continue"/>
            <w:shd w:val="clear" w:color="auto" w:fill="CCEEFF"/>
          </w:tcPr>
          <w:p>
            <w:pPr>
              <w:spacing w:after="0"/>
              <w:rPr>
                <w:sz w:val="11"/>
                <w:szCs w:val="11"/>
                <w:color w:val="auto"/>
              </w:rPr>
            </w:pPr>
          </w:p>
        </w:tc>
        <w:tc>
          <w:tcPr>
            <w:tcW w:w="60" w:type="dxa"/>
            <w:vAlign w:val="bottom"/>
            <w:tcBorders>
              <w:bottom w:val="single" w:sz="8" w:color="CCEEFF"/>
            </w:tcBorders>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320" w:type="dxa"/>
            <w:vAlign w:val="bottom"/>
            <w:tcBorders>
              <w:bottom w:val="single" w:sz="8" w:color="auto"/>
            </w:tcBorders>
            <w:vMerge w:val="continue"/>
            <w:shd w:val="clear" w:color="auto" w:fill="CCEEFF"/>
          </w:tcPr>
          <w:p>
            <w:pPr>
              <w:spacing w:after="0"/>
              <w:rPr>
                <w:sz w:val="11"/>
                <w:szCs w:val="11"/>
                <w:color w:val="auto"/>
              </w:rPr>
            </w:pPr>
          </w:p>
        </w:tc>
        <w:tc>
          <w:tcPr>
            <w:tcW w:w="80" w:type="dxa"/>
            <w:vAlign w:val="bottom"/>
            <w:tcBorders>
              <w:bottom w:val="single" w:sz="8" w:color="CCEEFF"/>
            </w:tcBorders>
            <w:shd w:val="clear" w:color="auto" w:fill="CCEEFF"/>
          </w:tcPr>
          <w:p>
            <w:pPr>
              <w:spacing w:after="0"/>
              <w:rPr>
                <w:sz w:val="11"/>
                <w:szCs w:val="11"/>
                <w:color w:val="auto"/>
              </w:rPr>
            </w:pPr>
          </w:p>
        </w:tc>
        <w:tc>
          <w:tcPr>
            <w:tcW w:w="160" w:type="dxa"/>
            <w:vAlign w:val="bottom"/>
            <w:tcBorders>
              <w:bottom w:val="single" w:sz="8" w:color="auto"/>
            </w:tcBorders>
            <w:vMerge w:val="continue"/>
            <w:shd w:val="clear" w:color="auto" w:fill="CCEEFF"/>
          </w:tcPr>
          <w:p>
            <w:pPr>
              <w:spacing w:after="0"/>
              <w:rPr>
                <w:sz w:val="11"/>
                <w:szCs w:val="11"/>
                <w:color w:val="auto"/>
              </w:rPr>
            </w:pPr>
          </w:p>
        </w:tc>
        <w:tc>
          <w:tcPr>
            <w:tcW w:w="260" w:type="dxa"/>
            <w:vAlign w:val="bottom"/>
            <w:tcBorders>
              <w:bottom w:val="single" w:sz="8" w:color="auto"/>
            </w:tcBorders>
            <w:vMerge w:val="continue"/>
            <w:shd w:val="clear" w:color="auto" w:fill="CCEEFF"/>
          </w:tcPr>
          <w:p>
            <w:pPr>
              <w:spacing w:after="0"/>
              <w:rPr>
                <w:sz w:val="11"/>
                <w:szCs w:val="11"/>
                <w:color w:val="auto"/>
              </w:rPr>
            </w:pPr>
          </w:p>
        </w:tc>
        <w:tc>
          <w:tcPr>
            <w:tcW w:w="80" w:type="dxa"/>
            <w:vAlign w:val="bottom"/>
            <w:tcBorders>
              <w:bottom w:val="single" w:sz="8" w:color="CCEEFF"/>
            </w:tcBorders>
            <w:shd w:val="clear" w:color="auto" w:fill="CCEEFF"/>
          </w:tcPr>
          <w:p>
            <w:pPr>
              <w:spacing w:after="0"/>
              <w:rPr>
                <w:sz w:val="11"/>
                <w:szCs w:val="11"/>
                <w:color w:val="auto"/>
              </w:rPr>
            </w:pPr>
          </w:p>
        </w:tc>
        <w:tc>
          <w:tcPr>
            <w:tcW w:w="100" w:type="dxa"/>
            <w:vAlign w:val="bottom"/>
            <w:tcBorders>
              <w:bottom w:val="single" w:sz="8" w:color="auto"/>
            </w:tcBorders>
            <w:shd w:val="clear" w:color="auto" w:fill="CCEEFF"/>
          </w:tcPr>
          <w:p>
            <w:pPr>
              <w:spacing w:after="0"/>
              <w:rPr>
                <w:sz w:val="11"/>
                <w:szCs w:val="11"/>
                <w:color w:val="auto"/>
              </w:rPr>
            </w:pPr>
          </w:p>
        </w:tc>
        <w:tc>
          <w:tcPr>
            <w:tcW w:w="320" w:type="dxa"/>
            <w:vAlign w:val="bottom"/>
            <w:tcBorders>
              <w:bottom w:val="single" w:sz="8" w:color="auto"/>
            </w:tcBorders>
            <w:vMerge w:val="continue"/>
            <w:shd w:val="clear" w:color="auto" w:fill="CCEEFF"/>
          </w:tcPr>
          <w:p>
            <w:pPr>
              <w:spacing w:after="0"/>
              <w:rPr>
                <w:sz w:val="11"/>
                <w:szCs w:val="11"/>
                <w:color w:val="auto"/>
              </w:rPr>
            </w:pPr>
          </w:p>
        </w:tc>
        <w:tc>
          <w:tcPr>
            <w:tcW w:w="0" w:type="dxa"/>
            <w:vAlign w:val="bottom"/>
          </w:tcPr>
          <w:p>
            <w:pPr>
              <w:spacing w:after="0"/>
              <w:rPr>
                <w:sz w:val="1"/>
                <w:szCs w:val="1"/>
                <w:color w:val="auto"/>
              </w:rPr>
            </w:pPr>
          </w:p>
        </w:tc>
      </w:tr>
    </w:tbl>
    <w:p>
      <w:pPr>
        <w:spacing w:after="0" w:line="15" w:lineRule="exact"/>
        <w:rPr>
          <w:sz w:val="20"/>
          <w:szCs w:val="20"/>
          <w:color w:val="auto"/>
        </w:rPr>
      </w:pPr>
    </w:p>
    <w:p>
      <w:pPr>
        <w:ind w:left="20"/>
        <w:spacing w:after="0"/>
        <w:rPr>
          <w:sz w:val="20"/>
          <w:szCs w:val="20"/>
          <w:color w:val="auto"/>
        </w:rPr>
      </w:pPr>
      <w:r>
        <w:rPr>
          <w:rFonts w:ascii="Arial" w:cs="Arial" w:eastAsia="Arial" w:hAnsi="Arial"/>
          <w:sz w:val="10"/>
          <w:szCs w:val="10"/>
          <w:color w:val="auto"/>
        </w:rPr>
        <w:t>_______________________</w:t>
      </w:r>
    </w:p>
    <w:p>
      <w:pPr>
        <w:spacing w:after="0" w:line="11"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0"/>
          <w:szCs w:val="10"/>
          <w:color w:val="auto"/>
        </w:rPr>
        <w:t>1.</w:t>
        <w:tab/>
        <w:t>Percent of our average mortgage borrowings outstanding for the period annualized.</w:t>
      </w:r>
    </w:p>
    <w:p>
      <w:pPr>
        <w:spacing w:after="0" w:line="141"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The principal elements impacting our adjusted net interest expense are the size of our average mortgage borrowings outstanding during the period, the size of our average interest rate swap balance outstanding (excluding forward starting swaps), the average interest rate on our borrowings and the average net pay rate on our pay-fixed receive-floating interest rate swaps. The following is a summary of the estimated impact of the principal elements impacting the increase in our adjusted net interest expense for the three and nine months ended September 30, 2016, compared to the prior year period (in millions):</w:t>
      </w:r>
    </w:p>
    <w:p>
      <w:pPr>
        <w:spacing w:after="0" w:line="28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40</w:t>
      </w:r>
    </w:p>
    <w:p>
      <w:pPr>
        <w:sectPr>
          <w:pgSz w:w="11900" w:h="16838" w:orient="portrait"/>
          <w:cols w:equalWidth="0" w:num="1">
            <w:col w:w="11480"/>
          </w:cols>
          <w:pgMar w:left="220" w:top="433" w:right="199" w:bottom="1440" w:gutter="0" w:footer="0" w:header="0"/>
        </w:sectPr>
      </w:pPr>
    </w:p>
    <w:bookmarkStart w:id="41" w:name="page42"/>
    <w:bookmarkEnd w:id="41"/>
    <w:p>
      <w:pPr>
        <w:jc w:val="center"/>
        <w:spacing w:after="0"/>
        <w:rPr>
          <w:sz w:val="20"/>
          <w:szCs w:val="20"/>
          <w:color w:val="auto"/>
        </w:rPr>
      </w:pPr>
      <w:r>
        <w:rPr>
          <w:rFonts w:ascii="Arial" w:cs="Arial" w:eastAsia="Arial" w:hAnsi="Arial"/>
          <w:sz w:val="10"/>
          <w:szCs w:val="10"/>
          <w:b w:val="1"/>
          <w:bCs w:val="1"/>
          <w:color w:val="auto"/>
        </w:rPr>
        <w:t>Impact of Changes in the Principal Elements of Adjusted Net Interest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10795</wp:posOffset>
            </wp:positionV>
            <wp:extent cx="6948805" cy="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948805" cy="5715"/>
                    </a:xfrm>
                    <a:prstGeom prst="rect">
                      <a:avLst/>
                    </a:prstGeom>
                    <a:noFill/>
                  </pic:spPr>
                </pic:pic>
              </a:graphicData>
            </a:graphic>
          </wp:anchor>
        </w:drawing>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0"/>
          <w:szCs w:val="10"/>
          <w:b w:val="1"/>
          <w:bCs w:val="1"/>
          <w:color w:val="auto"/>
        </w:rPr>
        <w:t>Periods Ended September 30, 2016 and September 30,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10795</wp:posOffset>
            </wp:positionV>
            <wp:extent cx="6948805" cy="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948805" cy="5715"/>
                    </a:xfrm>
                    <a:prstGeom prst="rect">
                      <a:avLst/>
                    </a:prstGeom>
                    <a:noFill/>
                  </pic:spPr>
                </pic:pic>
              </a:graphicData>
            </a:graphic>
          </wp:anchor>
        </w:drawing>
      </w:r>
    </w:p>
    <w:p>
      <w:pPr>
        <w:spacing w:after="0" w:line="54" w:lineRule="exact"/>
        <w:rPr>
          <w:sz w:val="20"/>
          <w:szCs w:val="20"/>
          <w:color w:val="auto"/>
        </w:rPr>
      </w:pPr>
    </w:p>
    <w:tbl>
      <w:tblPr>
        <w:tblLayout w:type="fixed"/>
        <w:tblInd w:w="260" w:type="dxa"/>
        <w:tblCellMar>
          <w:top w:w="0" w:type="dxa"/>
          <w:left w:w="0" w:type="dxa"/>
          <w:bottom w:w="0" w:type="dxa"/>
          <w:right w:w="0" w:type="dxa"/>
        </w:tblCellMar>
      </w:tblPr>
      <w:tr>
        <w:trPr>
          <w:trHeight w:val="128"/>
        </w:trPr>
        <w:tc>
          <w:tcPr>
            <w:tcW w:w="65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700" w:type="dxa"/>
            <w:vAlign w:val="bottom"/>
            <w:tcBorders>
              <w:bottom w:val="single" w:sz="8" w:color="auto"/>
            </w:tcBorders>
            <w:gridSpan w:val="4"/>
          </w:tcPr>
          <w:p>
            <w:pPr>
              <w:jc w:val="right"/>
              <w:ind w:right="812"/>
              <w:spacing w:after="0"/>
              <w:rPr>
                <w:sz w:val="20"/>
                <w:szCs w:val="20"/>
                <w:color w:val="auto"/>
              </w:rPr>
            </w:pPr>
            <w:r>
              <w:rPr>
                <w:rFonts w:ascii="Arial" w:cs="Arial" w:eastAsia="Arial" w:hAnsi="Arial"/>
                <w:sz w:val="10"/>
                <w:szCs w:val="10"/>
                <w:b w:val="1"/>
                <w:bCs w:val="1"/>
                <w:color w:val="auto"/>
              </w:rPr>
              <w:t>Due to Change in Average</w:t>
            </w:r>
          </w:p>
        </w:tc>
      </w:tr>
      <w:tr>
        <w:trPr>
          <w:trHeight w:val="169"/>
        </w:trPr>
        <w:tc>
          <w:tcPr>
            <w:tcW w:w="6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20" w:type="dxa"/>
            <w:vAlign w:val="bottom"/>
            <w:gridSpan w:val="2"/>
          </w:tcPr>
          <w:p>
            <w:pPr>
              <w:ind w:left="60"/>
              <w:spacing w:after="0"/>
              <w:rPr>
                <w:sz w:val="20"/>
                <w:szCs w:val="20"/>
                <w:color w:val="auto"/>
              </w:rPr>
            </w:pPr>
            <w:r>
              <w:rPr>
                <w:rFonts w:ascii="Arial" w:cs="Arial" w:eastAsia="Arial" w:hAnsi="Arial"/>
                <w:sz w:val="10"/>
                <w:szCs w:val="10"/>
                <w:b w:val="1"/>
                <w:bCs w:val="1"/>
                <w:color w:val="auto"/>
              </w:rPr>
              <w:t>Total Increase / (Decrease)</w:t>
            </w:r>
          </w:p>
        </w:tc>
        <w:tc>
          <w:tcPr>
            <w:tcW w:w="120" w:type="dxa"/>
            <w:vAlign w:val="bottom"/>
          </w:tcPr>
          <w:p>
            <w:pPr>
              <w:spacing w:after="0"/>
              <w:rPr>
                <w:sz w:val="14"/>
                <w:szCs w:val="14"/>
                <w:color w:val="auto"/>
              </w:rPr>
            </w:pPr>
          </w:p>
        </w:tc>
        <w:tc>
          <w:tcPr>
            <w:tcW w:w="1400" w:type="dxa"/>
            <w:vAlign w:val="bottom"/>
            <w:gridSpan w:val="2"/>
          </w:tcPr>
          <w:p>
            <w:pPr>
              <w:ind w:left="40"/>
              <w:spacing w:after="0"/>
              <w:rPr>
                <w:sz w:val="20"/>
                <w:szCs w:val="20"/>
                <w:color w:val="auto"/>
              </w:rPr>
            </w:pPr>
            <w:r>
              <w:rPr>
                <w:rFonts w:ascii="Arial" w:cs="Arial" w:eastAsia="Arial" w:hAnsi="Arial"/>
                <w:sz w:val="10"/>
                <w:szCs w:val="10"/>
                <w:b w:val="1"/>
                <w:bCs w:val="1"/>
                <w:color w:val="auto"/>
              </w:rPr>
              <w:t>Borrowing / Swap Balance</w:t>
            </w:r>
          </w:p>
        </w:tc>
        <w:tc>
          <w:tcPr>
            <w:tcW w:w="120" w:type="dxa"/>
            <w:vAlign w:val="bottom"/>
          </w:tcPr>
          <w:p>
            <w:pPr>
              <w:spacing w:after="0"/>
              <w:rPr>
                <w:sz w:val="14"/>
                <w:szCs w:val="14"/>
                <w:color w:val="auto"/>
              </w:rPr>
            </w:pPr>
          </w:p>
        </w:tc>
        <w:tc>
          <w:tcPr>
            <w:tcW w:w="1180" w:type="dxa"/>
            <w:vAlign w:val="bottom"/>
          </w:tcPr>
          <w:p>
            <w:pPr>
              <w:jc w:val="right"/>
              <w:ind w:right="112"/>
              <w:spacing w:after="0"/>
              <w:rPr>
                <w:sz w:val="20"/>
                <w:szCs w:val="20"/>
                <w:color w:val="auto"/>
              </w:rPr>
            </w:pPr>
            <w:r>
              <w:rPr>
                <w:rFonts w:ascii="Arial" w:cs="Arial" w:eastAsia="Arial" w:hAnsi="Arial"/>
                <w:sz w:val="10"/>
                <w:szCs w:val="10"/>
                <w:b w:val="1"/>
                <w:bCs w:val="1"/>
                <w:color w:val="auto"/>
                <w:w w:val="91"/>
              </w:rPr>
              <w:t>Borrowing / Swap Rate</w:t>
            </w:r>
          </w:p>
        </w:tc>
      </w:tr>
      <w:tr>
        <w:trPr>
          <w:trHeight w:val="173"/>
        </w:trPr>
        <w:tc>
          <w:tcPr>
            <w:tcW w:w="658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0"/>
                <w:szCs w:val="10"/>
                <w:b w:val="1"/>
                <w:bCs w:val="1"/>
                <w:color w:val="auto"/>
              </w:rPr>
              <w:t>Three months ended:</w:t>
            </w:r>
          </w:p>
        </w:tc>
        <w:tc>
          <w:tcPr>
            <w:tcW w:w="120" w:type="dxa"/>
            <w:vAlign w:val="bottom"/>
            <w:tcBorders>
              <w:top w:val="single" w:sz="8" w:color="auto"/>
            </w:tcBorders>
            <w:shd w:val="clear" w:color="auto" w:fill="CCEEFF"/>
          </w:tcPr>
          <w:p>
            <w:pPr>
              <w:spacing w:after="0"/>
              <w:rPr>
                <w:sz w:val="15"/>
                <w:szCs w:val="15"/>
                <w:color w:val="auto"/>
              </w:rPr>
            </w:pPr>
          </w:p>
        </w:tc>
        <w:tc>
          <w:tcPr>
            <w:tcW w:w="13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130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1180" w:type="dxa"/>
            <w:vAlign w:val="bottom"/>
            <w:tcBorders>
              <w:top w:val="single" w:sz="8" w:color="auto"/>
            </w:tcBorders>
            <w:shd w:val="clear" w:color="auto" w:fill="CCEEFF"/>
          </w:tcPr>
          <w:p>
            <w:pPr>
              <w:spacing w:after="0"/>
              <w:rPr>
                <w:sz w:val="15"/>
                <w:szCs w:val="15"/>
                <w:color w:val="auto"/>
              </w:rPr>
            </w:pPr>
          </w:p>
        </w:tc>
      </w:tr>
      <w:tr>
        <w:trPr>
          <w:trHeight w:val="176"/>
        </w:trPr>
        <w:tc>
          <w:tcPr>
            <w:tcW w:w="6580" w:type="dxa"/>
            <w:vAlign w:val="bottom"/>
          </w:tcPr>
          <w:p>
            <w:pPr>
              <w:ind w:left="20"/>
              <w:spacing w:after="0"/>
              <w:rPr>
                <w:sz w:val="20"/>
                <w:szCs w:val="20"/>
                <w:color w:val="auto"/>
              </w:rPr>
            </w:pPr>
            <w:r>
              <w:rPr>
                <w:rFonts w:ascii="Arial" w:cs="Arial" w:eastAsia="Arial" w:hAnsi="Arial"/>
                <w:sz w:val="10"/>
                <w:szCs w:val="10"/>
                <w:color w:val="auto"/>
              </w:rPr>
              <w:t>Interest expense on mortgage borrowings</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1300" w:type="dxa"/>
            <w:vAlign w:val="bottom"/>
          </w:tcPr>
          <w:p>
            <w:pPr>
              <w:jc w:val="right"/>
              <w:ind w:right="52"/>
              <w:spacing w:after="0"/>
              <w:rPr>
                <w:sz w:val="20"/>
                <w:szCs w:val="20"/>
                <w:color w:val="auto"/>
              </w:rPr>
            </w:pPr>
            <w:r>
              <w:rPr>
                <w:rFonts w:ascii="Arial" w:cs="Arial" w:eastAsia="Arial" w:hAnsi="Arial"/>
                <w:sz w:val="10"/>
                <w:szCs w:val="10"/>
                <w:color w:val="auto"/>
              </w:rPr>
              <w:t>36</w:t>
            </w:r>
          </w:p>
        </w:tc>
        <w:tc>
          <w:tcPr>
            <w:tcW w:w="120" w:type="dxa"/>
            <w:vAlign w:val="bottom"/>
          </w:tcPr>
          <w:p>
            <w:pPr>
              <w:spacing w:after="0"/>
              <w:rPr>
                <w:sz w:val="15"/>
                <w:szCs w:val="15"/>
                <w:color w:val="auto"/>
              </w:rPr>
            </w:pP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1300" w:type="dxa"/>
            <w:vAlign w:val="bottom"/>
          </w:tcPr>
          <w:p>
            <w:pPr>
              <w:jc w:val="right"/>
              <w:ind w:right="72"/>
              <w:spacing w:after="0"/>
              <w:rPr>
                <w:sz w:val="20"/>
                <w:szCs w:val="20"/>
                <w:color w:val="auto"/>
              </w:rPr>
            </w:pPr>
            <w:r>
              <w:rPr>
                <w:rFonts w:ascii="Arial" w:cs="Arial" w:eastAsia="Arial" w:hAnsi="Arial"/>
                <w:sz w:val="10"/>
                <w:szCs w:val="10"/>
                <w:color w:val="auto"/>
              </w:rPr>
              <w:t>1</w:t>
            </w:r>
          </w:p>
        </w:tc>
        <w:tc>
          <w:tcPr>
            <w:tcW w:w="100" w:type="dxa"/>
            <w:vAlign w:val="bottom"/>
          </w:tcPr>
          <w:p>
            <w:pPr>
              <w:spacing w:after="0"/>
              <w:rPr>
                <w:sz w:val="15"/>
                <w:szCs w:val="15"/>
                <w:color w:val="auto"/>
              </w:rPr>
            </w:pP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1180" w:type="dxa"/>
            <w:vAlign w:val="bottom"/>
          </w:tcPr>
          <w:p>
            <w:pPr>
              <w:jc w:val="right"/>
              <w:ind w:right="52"/>
              <w:spacing w:after="0"/>
              <w:rPr>
                <w:sz w:val="20"/>
                <w:szCs w:val="20"/>
                <w:color w:val="auto"/>
              </w:rPr>
            </w:pPr>
            <w:r>
              <w:rPr>
                <w:rFonts w:ascii="Arial" w:cs="Arial" w:eastAsia="Arial" w:hAnsi="Arial"/>
                <w:sz w:val="10"/>
                <w:szCs w:val="10"/>
                <w:color w:val="auto"/>
              </w:rPr>
              <w:t>35</w:t>
            </w:r>
          </w:p>
        </w:tc>
      </w:tr>
      <w:tr>
        <w:trPr>
          <w:trHeight w:val="180"/>
        </w:trPr>
        <w:tc>
          <w:tcPr>
            <w:tcW w:w="6580" w:type="dxa"/>
            <w:vAlign w:val="bottom"/>
            <w:shd w:val="clear" w:color="auto" w:fill="CCEEFF"/>
          </w:tcPr>
          <w:p>
            <w:pPr>
              <w:ind w:left="20"/>
              <w:spacing w:after="0"/>
              <w:rPr>
                <w:sz w:val="20"/>
                <w:szCs w:val="20"/>
                <w:color w:val="auto"/>
              </w:rPr>
            </w:pPr>
            <w:r>
              <w:rPr>
                <w:rFonts w:ascii="Arial" w:cs="Arial" w:eastAsia="Arial" w:hAnsi="Arial"/>
                <w:sz w:val="10"/>
                <w:szCs w:val="10"/>
                <w:color w:val="auto"/>
              </w:rPr>
              <w:t xml:space="preserve">Periodic interest rate swap costs </w:t>
            </w:r>
            <w:r>
              <w:rPr>
                <w:rFonts w:ascii="Arial" w:cs="Arial" w:eastAsia="Arial" w:hAnsi="Arial"/>
                <w:sz w:val="5"/>
                <w:szCs w:val="5"/>
                <w:color w:val="auto"/>
              </w:rPr>
              <w:t>1</w:t>
            </w:r>
          </w:p>
        </w:tc>
        <w:tc>
          <w:tcPr>
            <w:tcW w:w="120" w:type="dxa"/>
            <w:vAlign w:val="bottom"/>
            <w:tcBorders>
              <w:bottom w:val="single" w:sz="8" w:color="auto"/>
            </w:tcBorders>
            <w:shd w:val="clear" w:color="auto" w:fill="CCEEFF"/>
          </w:tcPr>
          <w:p>
            <w:pPr>
              <w:spacing w:after="0"/>
              <w:rPr>
                <w:sz w:val="15"/>
                <w:szCs w:val="15"/>
                <w:color w:val="auto"/>
              </w:rPr>
            </w:pPr>
          </w:p>
        </w:tc>
        <w:tc>
          <w:tcPr>
            <w:tcW w:w="13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(73)</w:t>
            </w:r>
          </w:p>
        </w:tc>
        <w:tc>
          <w:tcPr>
            <w:tcW w:w="12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3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(17)</w:t>
            </w:r>
          </w:p>
        </w:tc>
        <w:tc>
          <w:tcPr>
            <w:tcW w:w="100" w:type="dxa"/>
            <w:vAlign w:val="bottom"/>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118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(56)</w:t>
            </w:r>
          </w:p>
        </w:tc>
      </w:tr>
      <w:tr>
        <w:trPr>
          <w:trHeight w:val="162"/>
        </w:trPr>
        <w:tc>
          <w:tcPr>
            <w:tcW w:w="6580" w:type="dxa"/>
            <w:vAlign w:val="bottom"/>
            <w:tcBorders>
              <w:bottom w:val="single" w:sz="8" w:color="CCEEFF"/>
            </w:tcBorders>
          </w:tcPr>
          <w:p>
            <w:pPr>
              <w:ind w:left="20"/>
              <w:spacing w:after="0"/>
              <w:rPr>
                <w:sz w:val="20"/>
                <w:szCs w:val="20"/>
                <w:color w:val="auto"/>
              </w:rPr>
            </w:pPr>
            <w:r>
              <w:rPr>
                <w:rFonts w:ascii="Arial" w:cs="Arial" w:eastAsia="Arial" w:hAnsi="Arial"/>
                <w:sz w:val="10"/>
                <w:szCs w:val="10"/>
                <w:color w:val="auto"/>
              </w:rPr>
              <w:t>Total change in adjusted net interest expense</w:t>
            </w:r>
          </w:p>
        </w:tc>
        <w:tc>
          <w:tcPr>
            <w:tcW w:w="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130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(37)</w:t>
            </w:r>
          </w:p>
        </w:tc>
        <w:tc>
          <w:tcPr>
            <w:tcW w:w="12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130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(16)</w:t>
            </w:r>
          </w:p>
        </w:tc>
        <w:tc>
          <w:tcPr>
            <w:tcW w:w="10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118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(21)</w:t>
            </w:r>
          </w:p>
        </w:tc>
      </w:tr>
      <w:tr>
        <w:trPr>
          <w:trHeight w:val="189"/>
        </w:trPr>
        <w:tc>
          <w:tcPr>
            <w:tcW w:w="6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3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3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180" w:type="dxa"/>
            <w:vAlign w:val="bottom"/>
            <w:shd w:val="clear" w:color="auto" w:fill="CCEEFF"/>
          </w:tcPr>
          <w:p>
            <w:pPr>
              <w:spacing w:after="0"/>
              <w:rPr>
                <w:sz w:val="16"/>
                <w:szCs w:val="16"/>
                <w:color w:val="auto"/>
              </w:rPr>
            </w:pPr>
          </w:p>
        </w:tc>
      </w:tr>
      <w:tr>
        <w:trPr>
          <w:trHeight w:val="176"/>
        </w:trPr>
        <w:tc>
          <w:tcPr>
            <w:tcW w:w="6580" w:type="dxa"/>
            <w:vAlign w:val="bottom"/>
          </w:tcPr>
          <w:p>
            <w:pPr>
              <w:ind w:left="20"/>
              <w:spacing w:after="0"/>
              <w:rPr>
                <w:sz w:val="20"/>
                <w:szCs w:val="20"/>
                <w:color w:val="auto"/>
              </w:rPr>
            </w:pPr>
            <w:r>
              <w:rPr>
                <w:rFonts w:ascii="Arial" w:cs="Arial" w:eastAsia="Arial" w:hAnsi="Arial"/>
                <w:sz w:val="10"/>
                <w:szCs w:val="10"/>
                <w:b w:val="1"/>
                <w:bCs w:val="1"/>
                <w:color w:val="auto"/>
              </w:rPr>
              <w:t>Nine months ended:</w:t>
            </w:r>
          </w:p>
        </w:tc>
        <w:tc>
          <w:tcPr>
            <w:tcW w:w="12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180" w:type="dxa"/>
            <w:vAlign w:val="bottom"/>
          </w:tcPr>
          <w:p>
            <w:pPr>
              <w:spacing w:after="0"/>
              <w:rPr>
                <w:sz w:val="15"/>
                <w:szCs w:val="15"/>
                <w:color w:val="auto"/>
              </w:rPr>
            </w:pPr>
          </w:p>
        </w:tc>
      </w:tr>
      <w:tr>
        <w:trPr>
          <w:trHeight w:val="184"/>
        </w:trPr>
        <w:tc>
          <w:tcPr>
            <w:tcW w:w="6580" w:type="dxa"/>
            <w:vAlign w:val="bottom"/>
            <w:shd w:val="clear" w:color="auto" w:fill="CCEEFF"/>
          </w:tcPr>
          <w:p>
            <w:pPr>
              <w:ind w:left="20"/>
              <w:spacing w:after="0"/>
              <w:rPr>
                <w:sz w:val="20"/>
                <w:szCs w:val="20"/>
                <w:color w:val="auto"/>
              </w:rPr>
            </w:pPr>
            <w:r>
              <w:rPr>
                <w:rFonts w:ascii="Arial" w:cs="Arial" w:eastAsia="Arial" w:hAnsi="Arial"/>
                <w:sz w:val="10"/>
                <w:szCs w:val="10"/>
                <w:color w:val="auto"/>
              </w:rPr>
              <w:t>Interest expense on mortgage borrowings</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3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93</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3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(11)</w:t>
            </w: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18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104</w:t>
            </w:r>
          </w:p>
        </w:tc>
      </w:tr>
      <w:tr>
        <w:trPr>
          <w:trHeight w:val="176"/>
        </w:trPr>
        <w:tc>
          <w:tcPr>
            <w:tcW w:w="6580" w:type="dxa"/>
            <w:vAlign w:val="bottom"/>
            <w:tcBorders>
              <w:bottom w:val="single" w:sz="8" w:color="CCEEFF"/>
            </w:tcBorders>
          </w:tcPr>
          <w:p>
            <w:pPr>
              <w:ind w:left="20"/>
              <w:spacing w:after="0"/>
              <w:rPr>
                <w:sz w:val="20"/>
                <w:szCs w:val="20"/>
                <w:color w:val="auto"/>
              </w:rPr>
            </w:pPr>
            <w:r>
              <w:rPr>
                <w:rFonts w:ascii="Arial" w:cs="Arial" w:eastAsia="Arial" w:hAnsi="Arial"/>
                <w:sz w:val="10"/>
                <w:szCs w:val="10"/>
                <w:color w:val="auto"/>
              </w:rPr>
              <w:t xml:space="preserve">Periodic interest rate swap costs </w:t>
            </w:r>
            <w:r>
              <w:rPr>
                <w:rFonts w:ascii="Arial" w:cs="Arial" w:eastAsia="Arial" w:hAnsi="Arial"/>
                <w:sz w:val="5"/>
                <w:szCs w:val="5"/>
                <w:color w:val="auto"/>
              </w:rPr>
              <w:t>1</w:t>
            </w:r>
          </w:p>
        </w:tc>
        <w:tc>
          <w:tcPr>
            <w:tcW w:w="120" w:type="dxa"/>
            <w:vAlign w:val="bottom"/>
            <w:tcBorders>
              <w:bottom w:val="single" w:sz="8" w:color="auto"/>
            </w:tcBorders>
          </w:tcPr>
          <w:p>
            <w:pPr>
              <w:spacing w:after="0"/>
              <w:rPr>
                <w:sz w:val="15"/>
                <w:szCs w:val="15"/>
                <w:color w:val="auto"/>
              </w:rPr>
            </w:pPr>
          </w:p>
        </w:tc>
        <w:tc>
          <w:tcPr>
            <w:tcW w:w="130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(122)</w:t>
            </w:r>
          </w:p>
        </w:tc>
        <w:tc>
          <w:tcPr>
            <w:tcW w:w="120" w:type="dxa"/>
            <w:vAlign w:val="bottom"/>
            <w:tcBorders>
              <w:bottom w:val="single" w:sz="8" w:color="CCEEFF"/>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130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(13)</w:t>
            </w:r>
          </w:p>
        </w:tc>
        <w:tc>
          <w:tcPr>
            <w:tcW w:w="100" w:type="dxa"/>
            <w:vAlign w:val="bottom"/>
            <w:tcBorders>
              <w:bottom w:val="single" w:sz="8" w:color="CCEEFF"/>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118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(109)</w:t>
            </w:r>
          </w:p>
        </w:tc>
      </w:tr>
      <w:tr>
        <w:trPr>
          <w:trHeight w:val="162"/>
        </w:trPr>
        <w:tc>
          <w:tcPr>
            <w:tcW w:w="65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Total change in adjusted net interest expense</w:t>
            </w: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3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(29)</w:t>
            </w:r>
          </w:p>
        </w:tc>
        <w:tc>
          <w:tcPr>
            <w:tcW w:w="12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3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(24)</w:t>
            </w:r>
          </w:p>
        </w:tc>
        <w:tc>
          <w:tcPr>
            <w:tcW w:w="10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18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(5)</w:t>
            </w:r>
          </w:p>
        </w:tc>
      </w:tr>
    </w:tbl>
    <w:p>
      <w:pPr>
        <w:spacing w:after="0"/>
        <w:rPr>
          <w:sz w:val="20"/>
          <w:szCs w:val="20"/>
          <w:color w:val="auto"/>
        </w:rPr>
      </w:pPr>
      <w:r>
        <w:rPr>
          <w:rFonts w:ascii="Arial" w:cs="Arial" w:eastAsia="Arial" w:hAnsi="Arial"/>
          <w:sz w:val="12"/>
          <w:szCs w:val="12"/>
          <w:color w:val="auto"/>
        </w:rPr>
        <w:t>_______________________</w:t>
      </w:r>
    </w:p>
    <w:p>
      <w:pPr>
        <w:spacing w:after="0" w:line="2" w:lineRule="exact"/>
        <w:rPr>
          <w:sz w:val="20"/>
          <w:szCs w:val="20"/>
          <w:color w:val="auto"/>
        </w:rPr>
      </w:pPr>
    </w:p>
    <w:p>
      <w:pPr>
        <w:ind w:left="420" w:hanging="212"/>
        <w:spacing w:after="0" w:line="231" w:lineRule="auto"/>
        <w:tabs>
          <w:tab w:leader="none" w:pos="420" w:val="left"/>
        </w:tabs>
        <w:numPr>
          <w:ilvl w:val="0"/>
          <w:numId w:val="28"/>
        </w:numPr>
        <w:rPr>
          <w:rFonts w:ascii="Arial" w:cs="Arial" w:eastAsia="Arial" w:hAnsi="Arial"/>
          <w:sz w:val="10"/>
          <w:szCs w:val="10"/>
          <w:color w:val="auto"/>
        </w:rPr>
      </w:pPr>
      <w:r>
        <w:rPr>
          <w:rFonts w:ascii="Arial" w:cs="Arial" w:eastAsia="Arial" w:hAnsi="Arial"/>
          <w:sz w:val="10"/>
          <w:szCs w:val="10"/>
          <w:color w:val="auto"/>
        </w:rPr>
        <w:t>Includes amounts recognized in interest expense and in gain (loss) on derivatives and other securities, net in our consolidated statements of comprehensive income. The change due to interest rate reflects the net impact of the change in the weighted average fixed pay and variable receive rates.</w:t>
      </w:r>
    </w:p>
    <w:p>
      <w:pPr>
        <w:spacing w:after="0" w:line="13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2"/>
          <w:szCs w:val="12"/>
          <w:color w:val="auto"/>
        </w:rPr>
        <w:t>The average interest rate on our borrowings increased for the current year periods largely due to the Fed Funds rate increase in December of 2015. The size of our average borrowings outstanding increased 3% for the current three month period and decreased 7% for the current nine month period due to shifts in asset composition, adjustments to our leverage ratios and share repurchases. The size of our interest rate swap portfolio in absolute dollar terms decreased during the current year periods due to changes in the size and composition of our mortgage borrowings and net TBA position outstanding and hedge repositioning. The decline in the average net pay rate on our pay-fixed receive-floating interest rate swaps was a function of both a lower average pay-fixed rate and a higher average receive-floating rate.</w:t>
      </w:r>
    </w:p>
    <w:p>
      <w:pPr>
        <w:spacing w:after="0" w:line="125" w:lineRule="exact"/>
        <w:rPr>
          <w:sz w:val="20"/>
          <w:szCs w:val="20"/>
          <w:color w:val="auto"/>
        </w:rPr>
      </w:pPr>
    </w:p>
    <w:p>
      <w:pPr>
        <w:jc w:val="both"/>
        <w:ind w:right="20" w:firstLine="324"/>
        <w:spacing w:after="0" w:line="276" w:lineRule="auto"/>
        <w:rPr>
          <w:sz w:val="20"/>
          <w:szCs w:val="20"/>
          <w:color w:val="auto"/>
        </w:rPr>
      </w:pPr>
      <w:r>
        <w:rPr>
          <w:rFonts w:ascii="Arial" w:cs="Arial" w:eastAsia="Arial" w:hAnsi="Arial"/>
          <w:sz w:val="12"/>
          <w:szCs w:val="12"/>
          <w:color w:val="auto"/>
        </w:rPr>
        <w:t>The table below presents a summary of our average mortgage borrowings and our average interest rates swaps outstanding, excluding forward starting swaps, for the three and nine months ended September 30, 2016 and 2015 (dollars in millions):</w:t>
      </w:r>
    </w:p>
    <w:p>
      <w:pPr>
        <w:spacing w:after="0" w:line="226" w:lineRule="exact"/>
        <w:rPr>
          <w:sz w:val="20"/>
          <w:szCs w:val="20"/>
          <w:color w:val="auto"/>
        </w:rPr>
      </w:pPr>
    </w:p>
    <w:tbl>
      <w:tblPr>
        <w:tblLayout w:type="fixed"/>
        <w:tblInd w:w="480" w:type="dxa"/>
        <w:tblCellMar>
          <w:top w:w="0" w:type="dxa"/>
          <w:left w:w="0" w:type="dxa"/>
          <w:bottom w:w="0" w:type="dxa"/>
          <w:right w:w="0" w:type="dxa"/>
        </w:tblCellMar>
      </w:tblPr>
      <w:tr>
        <w:trPr>
          <w:trHeight w:val="128"/>
        </w:trPr>
        <w:tc>
          <w:tcPr>
            <w:tcW w:w="62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960" w:type="dxa"/>
            <w:vAlign w:val="bottom"/>
            <w:gridSpan w:val="5"/>
          </w:tcPr>
          <w:p>
            <w:pPr>
              <w:ind w:left="100"/>
              <w:spacing w:after="0"/>
              <w:rPr>
                <w:sz w:val="20"/>
                <w:szCs w:val="20"/>
                <w:color w:val="auto"/>
              </w:rPr>
            </w:pPr>
            <w:r>
              <w:rPr>
                <w:rFonts w:ascii="Arial" w:cs="Arial" w:eastAsia="Arial" w:hAnsi="Arial"/>
                <w:sz w:val="10"/>
                <w:szCs w:val="10"/>
                <w:b w:val="1"/>
                <w:bCs w:val="1"/>
                <w:color w:val="auto"/>
              </w:rPr>
              <w:t>Three Months Ended September 30,</w:t>
            </w:r>
          </w:p>
        </w:tc>
        <w:tc>
          <w:tcPr>
            <w:tcW w:w="180" w:type="dxa"/>
            <w:vAlign w:val="bottom"/>
          </w:tcPr>
          <w:p>
            <w:pPr>
              <w:spacing w:after="0"/>
              <w:rPr>
                <w:sz w:val="11"/>
                <w:szCs w:val="11"/>
                <w:color w:val="auto"/>
              </w:rPr>
            </w:pPr>
          </w:p>
        </w:tc>
        <w:tc>
          <w:tcPr>
            <w:tcW w:w="1840" w:type="dxa"/>
            <w:vAlign w:val="bottom"/>
            <w:gridSpan w:val="4"/>
          </w:tcPr>
          <w:p>
            <w:pPr>
              <w:jc w:val="right"/>
              <w:ind w:right="232"/>
              <w:spacing w:after="0"/>
              <w:rPr>
                <w:sz w:val="20"/>
                <w:szCs w:val="20"/>
                <w:color w:val="auto"/>
              </w:rPr>
            </w:pPr>
            <w:r>
              <w:rPr>
                <w:rFonts w:ascii="Arial" w:cs="Arial" w:eastAsia="Arial" w:hAnsi="Arial"/>
                <w:sz w:val="10"/>
                <w:szCs w:val="10"/>
                <w:b w:val="1"/>
                <w:bCs w:val="1"/>
                <w:color w:val="auto"/>
                <w:w w:val="93"/>
              </w:rPr>
              <w:t>Nine Months Ended September 30,</w:t>
            </w:r>
          </w:p>
        </w:tc>
      </w:tr>
      <w:tr>
        <w:trPr>
          <w:trHeight w:val="169"/>
        </w:trPr>
        <w:tc>
          <w:tcPr>
            <w:tcW w:w="624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Average Ratio of Interest Rate Swaps Outstanding (Excluding Forward Starting Swaps) to Mortgage Borrowings Outstanding</w:t>
            </w:r>
          </w:p>
        </w:tc>
        <w:tc>
          <w:tcPr>
            <w:tcW w:w="100" w:type="dxa"/>
            <w:vAlign w:val="bottom"/>
            <w:tcBorders>
              <w:bottom w:val="single" w:sz="8" w:color="CCEEFF"/>
            </w:tcBorders>
          </w:tcPr>
          <w:p>
            <w:pPr>
              <w:spacing w:after="0"/>
              <w:rPr>
                <w:sz w:val="14"/>
                <w:szCs w:val="14"/>
                <w:color w:val="auto"/>
              </w:rPr>
            </w:pPr>
          </w:p>
        </w:tc>
        <w:tc>
          <w:tcPr>
            <w:tcW w:w="180" w:type="dxa"/>
            <w:vAlign w:val="bottom"/>
            <w:tcBorders>
              <w:top w:val="single" w:sz="8" w:color="auto"/>
              <w:bottom w:val="single" w:sz="8" w:color="auto"/>
            </w:tcBorders>
          </w:tcPr>
          <w:p>
            <w:pPr>
              <w:spacing w:after="0"/>
              <w:rPr>
                <w:sz w:val="14"/>
                <w:szCs w:val="14"/>
                <w:color w:val="auto"/>
              </w:rPr>
            </w:pPr>
          </w:p>
        </w:tc>
        <w:tc>
          <w:tcPr>
            <w:tcW w:w="800" w:type="dxa"/>
            <w:vAlign w:val="bottom"/>
            <w:tcBorders>
              <w:top w:val="single" w:sz="8" w:color="auto"/>
              <w:bottom w:val="single" w:sz="8" w:color="auto"/>
            </w:tcBorders>
          </w:tcPr>
          <w:p>
            <w:pPr>
              <w:jc w:val="right"/>
              <w:ind w:right="352"/>
              <w:spacing w:after="0"/>
              <w:rPr>
                <w:sz w:val="20"/>
                <w:szCs w:val="20"/>
                <w:color w:val="auto"/>
              </w:rPr>
            </w:pPr>
            <w:r>
              <w:rPr>
                <w:rFonts w:ascii="Arial" w:cs="Arial" w:eastAsia="Arial" w:hAnsi="Arial"/>
                <w:sz w:val="10"/>
                <w:szCs w:val="10"/>
                <w:b w:val="1"/>
                <w:bCs w:val="1"/>
                <w:color w:val="auto"/>
              </w:rPr>
              <w:t>2016</w:t>
            </w:r>
          </w:p>
        </w:tc>
        <w:tc>
          <w:tcPr>
            <w:tcW w:w="100" w:type="dxa"/>
            <w:vAlign w:val="bottom"/>
            <w:tcBorders>
              <w:top w:val="single" w:sz="8" w:color="auto"/>
              <w:bottom w:val="single" w:sz="8" w:color="CCEEFF"/>
            </w:tcBorders>
          </w:tcPr>
          <w:p>
            <w:pPr>
              <w:spacing w:after="0"/>
              <w:rPr>
                <w:sz w:val="14"/>
                <w:szCs w:val="14"/>
                <w:color w:val="auto"/>
              </w:rPr>
            </w:pPr>
          </w:p>
        </w:tc>
        <w:tc>
          <w:tcPr>
            <w:tcW w:w="220" w:type="dxa"/>
            <w:vAlign w:val="bottom"/>
            <w:tcBorders>
              <w:top w:val="single" w:sz="8" w:color="auto"/>
              <w:bottom w:val="single" w:sz="8" w:color="auto"/>
            </w:tcBorders>
          </w:tcPr>
          <w:p>
            <w:pPr>
              <w:spacing w:after="0"/>
              <w:rPr>
                <w:sz w:val="14"/>
                <w:szCs w:val="14"/>
                <w:color w:val="auto"/>
              </w:rPr>
            </w:pPr>
          </w:p>
        </w:tc>
        <w:tc>
          <w:tcPr>
            <w:tcW w:w="740" w:type="dxa"/>
            <w:vAlign w:val="bottom"/>
            <w:tcBorders>
              <w:top w:val="single" w:sz="8" w:color="auto"/>
              <w:bottom w:val="single" w:sz="8" w:color="auto"/>
            </w:tcBorders>
          </w:tcPr>
          <w:p>
            <w:pPr>
              <w:jc w:val="right"/>
              <w:ind w:right="352"/>
              <w:spacing w:after="0"/>
              <w:rPr>
                <w:sz w:val="20"/>
                <w:szCs w:val="20"/>
                <w:color w:val="auto"/>
              </w:rPr>
            </w:pPr>
            <w:r>
              <w:rPr>
                <w:rFonts w:ascii="Arial" w:cs="Arial" w:eastAsia="Arial" w:hAnsi="Arial"/>
                <w:sz w:val="10"/>
                <w:szCs w:val="10"/>
                <w:b w:val="1"/>
                <w:bCs w:val="1"/>
                <w:color w:val="auto"/>
              </w:rPr>
              <w:t>2015</w:t>
            </w:r>
          </w:p>
        </w:tc>
        <w:tc>
          <w:tcPr>
            <w:tcW w:w="100" w:type="dxa"/>
            <w:vAlign w:val="bottom"/>
            <w:tcBorders>
              <w:bottom w:val="single" w:sz="8" w:color="CCEEFF"/>
            </w:tcBorders>
          </w:tcPr>
          <w:p>
            <w:pPr>
              <w:spacing w:after="0"/>
              <w:rPr>
                <w:sz w:val="14"/>
                <w:szCs w:val="14"/>
                <w:color w:val="auto"/>
              </w:rPr>
            </w:pPr>
          </w:p>
        </w:tc>
        <w:tc>
          <w:tcPr>
            <w:tcW w:w="180" w:type="dxa"/>
            <w:vAlign w:val="bottom"/>
            <w:tcBorders>
              <w:top w:val="single" w:sz="8" w:color="auto"/>
              <w:bottom w:val="single" w:sz="8" w:color="auto"/>
            </w:tcBorders>
          </w:tcPr>
          <w:p>
            <w:pPr>
              <w:spacing w:after="0"/>
              <w:rPr>
                <w:sz w:val="14"/>
                <w:szCs w:val="14"/>
                <w:color w:val="auto"/>
              </w:rPr>
            </w:pPr>
          </w:p>
        </w:tc>
        <w:tc>
          <w:tcPr>
            <w:tcW w:w="780" w:type="dxa"/>
            <w:vAlign w:val="bottom"/>
            <w:tcBorders>
              <w:top w:val="single" w:sz="8" w:color="auto"/>
              <w:bottom w:val="single" w:sz="8" w:color="auto"/>
            </w:tcBorders>
          </w:tcPr>
          <w:p>
            <w:pPr>
              <w:jc w:val="right"/>
              <w:ind w:right="332"/>
              <w:spacing w:after="0"/>
              <w:rPr>
                <w:sz w:val="20"/>
                <w:szCs w:val="20"/>
                <w:color w:val="auto"/>
              </w:rPr>
            </w:pPr>
            <w:r>
              <w:rPr>
                <w:rFonts w:ascii="Arial" w:cs="Arial" w:eastAsia="Arial" w:hAnsi="Arial"/>
                <w:sz w:val="10"/>
                <w:szCs w:val="10"/>
                <w:b w:val="1"/>
                <w:bCs w:val="1"/>
                <w:color w:val="auto"/>
              </w:rPr>
              <w:t>2016</w:t>
            </w:r>
          </w:p>
        </w:tc>
        <w:tc>
          <w:tcPr>
            <w:tcW w:w="100" w:type="dxa"/>
            <w:vAlign w:val="bottom"/>
            <w:tcBorders>
              <w:top w:val="single" w:sz="8" w:color="auto"/>
              <w:bottom w:val="single" w:sz="8" w:color="CCEEFF"/>
            </w:tcBorders>
          </w:tcPr>
          <w:p>
            <w:pPr>
              <w:spacing w:after="0"/>
              <w:rPr>
                <w:sz w:val="14"/>
                <w:szCs w:val="14"/>
                <w:color w:val="auto"/>
              </w:rPr>
            </w:pPr>
          </w:p>
        </w:tc>
        <w:tc>
          <w:tcPr>
            <w:tcW w:w="220" w:type="dxa"/>
            <w:vAlign w:val="bottom"/>
            <w:tcBorders>
              <w:top w:val="single" w:sz="8" w:color="auto"/>
              <w:bottom w:val="single" w:sz="8" w:color="auto"/>
            </w:tcBorders>
          </w:tcPr>
          <w:p>
            <w:pPr>
              <w:spacing w:after="0"/>
              <w:rPr>
                <w:sz w:val="14"/>
                <w:szCs w:val="14"/>
                <w:color w:val="auto"/>
              </w:rPr>
            </w:pPr>
          </w:p>
        </w:tc>
        <w:tc>
          <w:tcPr>
            <w:tcW w:w="740" w:type="dxa"/>
            <w:vAlign w:val="bottom"/>
            <w:tcBorders>
              <w:top w:val="single" w:sz="8" w:color="auto"/>
              <w:bottom w:val="single" w:sz="8" w:color="auto"/>
            </w:tcBorders>
          </w:tcPr>
          <w:p>
            <w:pPr>
              <w:jc w:val="right"/>
              <w:ind w:right="332"/>
              <w:spacing w:after="0"/>
              <w:rPr>
                <w:sz w:val="20"/>
                <w:szCs w:val="20"/>
                <w:color w:val="auto"/>
              </w:rPr>
            </w:pPr>
            <w:r>
              <w:rPr>
                <w:rFonts w:ascii="Arial" w:cs="Arial" w:eastAsia="Arial" w:hAnsi="Arial"/>
                <w:sz w:val="10"/>
                <w:szCs w:val="10"/>
                <w:b w:val="1"/>
                <w:bCs w:val="1"/>
                <w:color w:val="auto"/>
              </w:rPr>
              <w:t>2015</w:t>
            </w:r>
          </w:p>
        </w:tc>
      </w:tr>
      <w:tr>
        <w:trPr>
          <w:trHeight w:val="164"/>
        </w:trPr>
        <w:tc>
          <w:tcPr>
            <w:tcW w:w="63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Average mortgage borrowings</w:t>
            </w:r>
          </w:p>
        </w:tc>
        <w:tc>
          <w:tcPr>
            <w:tcW w:w="18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w:t>
            </w:r>
          </w:p>
        </w:tc>
        <w:tc>
          <w:tcPr>
            <w:tcW w:w="8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44,401</w:t>
            </w:r>
          </w:p>
        </w:tc>
        <w:tc>
          <w:tcPr>
            <w:tcW w:w="100" w:type="dxa"/>
            <w:vAlign w:val="bottom"/>
            <w:shd w:val="clear" w:color="auto" w:fill="CCEEFF"/>
          </w:tcPr>
          <w:p>
            <w:pPr>
              <w:spacing w:after="0"/>
              <w:rPr>
                <w:sz w:val="14"/>
                <w:szCs w:val="14"/>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43,308</w:t>
            </w:r>
          </w:p>
        </w:tc>
        <w:tc>
          <w:tcPr>
            <w:tcW w:w="100" w:type="dxa"/>
            <w:vAlign w:val="bottom"/>
            <w:shd w:val="clear" w:color="auto" w:fill="CCEEFF"/>
          </w:tcPr>
          <w:p>
            <w:pPr>
              <w:spacing w:after="0"/>
              <w:rPr>
                <w:sz w:val="14"/>
                <w:szCs w:val="14"/>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45,753</w:t>
            </w:r>
          </w:p>
        </w:tc>
        <w:tc>
          <w:tcPr>
            <w:tcW w:w="100" w:type="dxa"/>
            <w:vAlign w:val="bottom"/>
            <w:shd w:val="clear" w:color="auto" w:fill="CCEEFF"/>
          </w:tcPr>
          <w:p>
            <w:pPr>
              <w:spacing w:after="0"/>
              <w:rPr>
                <w:sz w:val="14"/>
                <w:szCs w:val="14"/>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49,188</w:t>
            </w:r>
          </w:p>
        </w:tc>
      </w:tr>
      <w:tr>
        <w:trPr>
          <w:trHeight w:val="176"/>
        </w:trPr>
        <w:tc>
          <w:tcPr>
            <w:tcW w:w="634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Average notional amount of interest rate swaps (excluding forward starting swaps)</w:t>
            </w:r>
          </w:p>
        </w:tc>
        <w:tc>
          <w:tcPr>
            <w:tcW w:w="18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w:t>
            </w:r>
          </w:p>
        </w:tc>
        <w:tc>
          <w:tcPr>
            <w:tcW w:w="8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31,839</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36,615</w:t>
            </w:r>
          </w:p>
        </w:tc>
        <w:tc>
          <w:tcPr>
            <w:tcW w:w="10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w w:val="71"/>
              </w:rPr>
              <w:t>$</w:t>
            </w:r>
          </w:p>
        </w:tc>
        <w:tc>
          <w:tcPr>
            <w:tcW w:w="78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33,790</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35,057</w:t>
            </w:r>
          </w:p>
        </w:tc>
      </w:tr>
      <w:tr>
        <w:trPr>
          <w:trHeight w:val="162"/>
        </w:trPr>
        <w:tc>
          <w:tcPr>
            <w:tcW w:w="63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Average ratio of interest rate swaps to mortgage borrowings</w:t>
            </w:r>
          </w:p>
        </w:tc>
        <w:tc>
          <w:tcPr>
            <w:tcW w:w="180" w:type="dxa"/>
            <w:vAlign w:val="bottom"/>
            <w:tcBorders>
              <w:bottom w:val="single" w:sz="8" w:color="auto"/>
            </w:tcBorders>
            <w:shd w:val="clear" w:color="auto" w:fill="CCEEFF"/>
          </w:tcPr>
          <w:p>
            <w:pPr>
              <w:spacing w:after="0"/>
              <w:rPr>
                <w:sz w:val="14"/>
                <w:szCs w:val="14"/>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72 %</w:t>
            </w:r>
          </w:p>
        </w:tc>
        <w:tc>
          <w:tcPr>
            <w:tcW w:w="10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spacing w:after="0"/>
              <w:rPr>
                <w:sz w:val="14"/>
                <w:szCs w:val="14"/>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85 %</w:t>
            </w:r>
          </w:p>
        </w:tc>
        <w:tc>
          <w:tcPr>
            <w:tcW w:w="100" w:type="dxa"/>
            <w:vAlign w:val="bottom"/>
            <w:tcBorders>
              <w:bottom w:val="single" w:sz="8" w:color="CCEEFF"/>
            </w:tcBorders>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spacing w:after="0"/>
              <w:rPr>
                <w:sz w:val="14"/>
                <w:szCs w:val="14"/>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74 %</w:t>
            </w:r>
          </w:p>
        </w:tc>
        <w:tc>
          <w:tcPr>
            <w:tcW w:w="10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spacing w:after="0"/>
              <w:rPr>
                <w:sz w:val="14"/>
                <w:szCs w:val="14"/>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71 %</w:t>
            </w:r>
          </w:p>
        </w:tc>
      </w:tr>
      <w:tr>
        <w:trPr>
          <w:trHeight w:val="198"/>
        </w:trPr>
        <w:tc>
          <w:tcPr>
            <w:tcW w:w="6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40" w:type="dxa"/>
            <w:vAlign w:val="bottom"/>
          </w:tcPr>
          <w:p>
            <w:pPr>
              <w:spacing w:after="0"/>
              <w:rPr>
                <w:sz w:val="17"/>
                <w:szCs w:val="17"/>
                <w:color w:val="auto"/>
              </w:rPr>
            </w:pPr>
          </w:p>
        </w:tc>
      </w:tr>
      <w:tr>
        <w:trPr>
          <w:trHeight w:val="180"/>
        </w:trPr>
        <w:tc>
          <w:tcPr>
            <w:tcW w:w="63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Weighted average pay rate on interest rate swaps</w:t>
            </w:r>
          </w:p>
        </w:tc>
        <w:tc>
          <w:tcPr>
            <w:tcW w:w="180" w:type="dxa"/>
            <w:vAlign w:val="bottom"/>
            <w:shd w:val="clear" w:color="auto" w:fill="CCEEFF"/>
          </w:tcPr>
          <w:p>
            <w:pPr>
              <w:spacing w:after="0"/>
              <w:rPr>
                <w:sz w:val="15"/>
                <w:szCs w:val="15"/>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1.45 %</w:t>
            </w:r>
          </w:p>
        </w:tc>
        <w:tc>
          <w:tcPr>
            <w:tcW w:w="10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1.72 %</w:t>
            </w: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1.60 %</w:t>
            </w:r>
          </w:p>
        </w:tc>
        <w:tc>
          <w:tcPr>
            <w:tcW w:w="10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1.67 %</w:t>
            </w:r>
          </w:p>
        </w:tc>
      </w:tr>
      <w:tr>
        <w:trPr>
          <w:trHeight w:val="176"/>
        </w:trPr>
        <w:tc>
          <w:tcPr>
            <w:tcW w:w="634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Weighted average receive rate on interest rate swaps</w:t>
            </w:r>
          </w:p>
        </w:tc>
        <w:tc>
          <w:tcPr>
            <w:tcW w:w="180" w:type="dxa"/>
            <w:vAlign w:val="bottom"/>
            <w:tcBorders>
              <w:bottom w:val="single" w:sz="8" w:color="auto"/>
            </w:tcBorders>
          </w:tcPr>
          <w:p>
            <w:pPr>
              <w:spacing w:after="0"/>
              <w:rPr>
                <w:sz w:val="15"/>
                <w:szCs w:val="15"/>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(0.73)%</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(0.30)%</w:t>
            </w:r>
          </w:p>
        </w:tc>
        <w:tc>
          <w:tcPr>
            <w:tcW w:w="10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(0.63)%</w:t>
            </w:r>
          </w:p>
        </w:tc>
        <w:tc>
          <w:tcPr>
            <w:tcW w:w="100" w:type="dxa"/>
            <w:vAlign w:val="bottom"/>
            <w:tcBorders>
              <w:bottom w:val="single" w:sz="8" w:color="CCEEFF"/>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(0.26)%</w:t>
            </w:r>
          </w:p>
        </w:tc>
      </w:tr>
      <w:tr>
        <w:trPr>
          <w:trHeight w:val="162"/>
        </w:trPr>
        <w:tc>
          <w:tcPr>
            <w:tcW w:w="63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Weighted average net pay rate on interest rate swaps</w:t>
            </w:r>
          </w:p>
        </w:tc>
        <w:tc>
          <w:tcPr>
            <w:tcW w:w="180" w:type="dxa"/>
            <w:vAlign w:val="bottom"/>
            <w:tcBorders>
              <w:bottom w:val="single" w:sz="8" w:color="auto"/>
            </w:tcBorders>
            <w:shd w:val="clear" w:color="auto" w:fill="CCEEFF"/>
          </w:tcPr>
          <w:p>
            <w:pPr>
              <w:spacing w:after="0"/>
              <w:rPr>
                <w:sz w:val="14"/>
                <w:szCs w:val="14"/>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0.72 %</w:t>
            </w:r>
          </w:p>
        </w:tc>
        <w:tc>
          <w:tcPr>
            <w:tcW w:w="10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spacing w:after="0"/>
              <w:rPr>
                <w:sz w:val="14"/>
                <w:szCs w:val="14"/>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1.42 %</w:t>
            </w:r>
          </w:p>
        </w:tc>
        <w:tc>
          <w:tcPr>
            <w:tcW w:w="100" w:type="dxa"/>
            <w:vAlign w:val="bottom"/>
            <w:tcBorders>
              <w:bottom w:val="single" w:sz="8" w:color="CCEEFF"/>
            </w:tcBorders>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spacing w:after="0"/>
              <w:rPr>
                <w:sz w:val="14"/>
                <w:szCs w:val="14"/>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0.97 %</w:t>
            </w:r>
          </w:p>
        </w:tc>
        <w:tc>
          <w:tcPr>
            <w:tcW w:w="10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spacing w:after="0"/>
              <w:rPr>
                <w:sz w:val="14"/>
                <w:szCs w:val="14"/>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1.41 %</w:t>
            </w:r>
          </w:p>
        </w:tc>
      </w:tr>
    </w:tbl>
    <w:p>
      <w:pPr>
        <w:spacing w:after="0" w:line="243" w:lineRule="exact"/>
        <w:rPr>
          <w:sz w:val="20"/>
          <w:szCs w:val="20"/>
          <w:color w:val="auto"/>
        </w:rPr>
      </w:pPr>
    </w:p>
    <w:p>
      <w:pPr>
        <w:jc w:val="both"/>
        <w:ind w:left="20" w:firstLine="324"/>
        <w:spacing w:after="0" w:line="290" w:lineRule="auto"/>
        <w:rPr>
          <w:sz w:val="20"/>
          <w:szCs w:val="20"/>
          <w:color w:val="auto"/>
        </w:rPr>
      </w:pPr>
      <w:r>
        <w:rPr>
          <w:rFonts w:ascii="Arial" w:cs="Arial" w:eastAsia="Arial" w:hAnsi="Arial"/>
          <w:sz w:val="11"/>
          <w:szCs w:val="11"/>
          <w:color w:val="auto"/>
        </w:rPr>
        <w:t>For the three and nine months ended September 30, 2016, we had an average balance of $4.4 billion and $5.8 billion, respectively, of forward starting interest rate swaps outstanding, compared to $9.1 billion and $10.8 billion, respectively, for the prior year period. Forward starting interest rate swaps do not impact our adjusted net interest expense and cost of funds until they commence accruing net interest settlements on their forward start dates. We enter into forward starting interest rate swaps based on a variety of factors, including our view of the forward yield curve and the timing of potential changes in short-term interest rates, time to deploy new capital, amount and timing of expirations of our existing interest rate swap portfolio, current and anticipated swap spreads and our desire to mitigate our exposure to specific sectors of the yield curve.</w:t>
      </w:r>
    </w:p>
    <w:p>
      <w:pPr>
        <w:spacing w:after="0" w:line="73" w:lineRule="exact"/>
        <w:rPr>
          <w:sz w:val="20"/>
          <w:szCs w:val="20"/>
          <w:color w:val="auto"/>
        </w:rPr>
      </w:pPr>
    </w:p>
    <w:p>
      <w:pPr>
        <w:jc w:val="both"/>
        <w:ind w:left="20" w:firstLine="324"/>
        <w:spacing w:after="0" w:line="276" w:lineRule="auto"/>
        <w:rPr>
          <w:sz w:val="20"/>
          <w:szCs w:val="20"/>
          <w:color w:val="auto"/>
        </w:rPr>
      </w:pPr>
      <w:r>
        <w:rPr>
          <w:rFonts w:ascii="Arial" w:cs="Arial" w:eastAsia="Arial" w:hAnsi="Arial"/>
          <w:sz w:val="12"/>
          <w:szCs w:val="12"/>
          <w:color w:val="auto"/>
        </w:rPr>
        <w:t>Including forward starting swaps and our net TBA position, our average ratio of interest rate swaps outstanding to our average mortgage borrowings and net TBA position (at cost) was 66% and 72% for the three and nine months ended September 30, 2016, compared to 87% and 81%, respectively, for the prior year period.</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41</w:t>
      </w:r>
    </w:p>
    <w:p>
      <w:pPr>
        <w:sectPr>
          <w:pgSz w:w="11900" w:h="16838" w:orient="portrait"/>
          <w:cols w:equalWidth="0" w:num="1">
            <w:col w:w="11480"/>
          </w:cols>
          <w:pgMar w:left="220" w:top="539" w:right="199" w:bottom="1440" w:gutter="0" w:footer="0" w:header="0"/>
        </w:sectPr>
      </w:pPr>
    </w:p>
    <w:bookmarkStart w:id="42" w:name="page43"/>
    <w:bookmarkEnd w:id="42"/>
    <w:tbl>
      <w:tblPr>
        <w:tblLayout w:type="fixed"/>
        <w:tblInd w:w="100" w:type="dxa"/>
        <w:tblCellMar>
          <w:top w:w="0" w:type="dxa"/>
          <w:left w:w="0" w:type="dxa"/>
          <w:bottom w:w="0" w:type="dxa"/>
          <w:right w:w="0" w:type="dxa"/>
        </w:tblCellMar>
      </w:tblPr>
      <w:tr>
        <w:trPr>
          <w:trHeight w:val="128"/>
        </w:trPr>
        <w:tc>
          <w:tcPr>
            <w:tcW w:w="7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900" w:type="dxa"/>
            <w:vAlign w:val="bottom"/>
            <w:gridSpan w:val="5"/>
          </w:tcPr>
          <w:p>
            <w:pPr>
              <w:ind w:left="80"/>
              <w:spacing w:after="0"/>
              <w:rPr>
                <w:sz w:val="20"/>
                <w:szCs w:val="20"/>
                <w:color w:val="auto"/>
              </w:rPr>
            </w:pPr>
            <w:r>
              <w:rPr>
                <w:rFonts w:ascii="Arial" w:cs="Arial" w:eastAsia="Arial" w:hAnsi="Arial"/>
                <w:sz w:val="10"/>
                <w:szCs w:val="10"/>
                <w:b w:val="1"/>
                <w:bCs w:val="1"/>
                <w:color w:val="auto"/>
              </w:rPr>
              <w:t>Three Months Ended September 30,</w:t>
            </w:r>
          </w:p>
        </w:tc>
        <w:tc>
          <w:tcPr>
            <w:tcW w:w="140" w:type="dxa"/>
            <w:vAlign w:val="bottom"/>
          </w:tcPr>
          <w:p>
            <w:pPr>
              <w:spacing w:after="0"/>
              <w:rPr>
                <w:sz w:val="11"/>
                <w:szCs w:val="11"/>
                <w:color w:val="auto"/>
              </w:rPr>
            </w:pPr>
          </w:p>
        </w:tc>
        <w:tc>
          <w:tcPr>
            <w:tcW w:w="1740" w:type="dxa"/>
            <w:vAlign w:val="bottom"/>
            <w:gridSpan w:val="4"/>
          </w:tcPr>
          <w:p>
            <w:pPr>
              <w:jc w:val="right"/>
              <w:ind w:right="172"/>
              <w:spacing w:after="0"/>
              <w:rPr>
                <w:sz w:val="20"/>
                <w:szCs w:val="20"/>
                <w:color w:val="auto"/>
              </w:rPr>
            </w:pPr>
            <w:r>
              <w:rPr>
                <w:rFonts w:ascii="Arial" w:cs="Arial" w:eastAsia="Arial" w:hAnsi="Arial"/>
                <w:sz w:val="10"/>
                <w:szCs w:val="10"/>
                <w:b w:val="1"/>
                <w:bCs w:val="1"/>
                <w:color w:val="auto"/>
                <w:w w:val="91"/>
              </w:rPr>
              <w:t>Nine Months Ended September 30,</w:t>
            </w:r>
          </w:p>
        </w:tc>
      </w:tr>
      <w:tr>
        <w:trPr>
          <w:trHeight w:val="169"/>
        </w:trPr>
        <w:tc>
          <w:tcPr>
            <w:tcW w:w="722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Average Ratio of Interest Rate Swaps Outstanding (Including Forward Starting Swaps) to Mortgage Borrowings and Net TBA Position</w:t>
            </w:r>
          </w:p>
        </w:tc>
        <w:tc>
          <w:tcPr>
            <w:tcW w:w="120" w:type="dxa"/>
            <w:vAlign w:val="bottom"/>
            <w:tcBorders>
              <w:bottom w:val="single" w:sz="8" w:color="CCEEFF"/>
            </w:tcBorders>
          </w:tcPr>
          <w:p>
            <w:pPr>
              <w:spacing w:after="0"/>
              <w:rPr>
                <w:sz w:val="14"/>
                <w:szCs w:val="14"/>
                <w:color w:val="auto"/>
              </w:rPr>
            </w:pPr>
          </w:p>
        </w:tc>
        <w:tc>
          <w:tcPr>
            <w:tcW w:w="140" w:type="dxa"/>
            <w:vAlign w:val="bottom"/>
            <w:tcBorders>
              <w:top w:val="single" w:sz="8" w:color="auto"/>
              <w:bottom w:val="single" w:sz="8" w:color="auto"/>
            </w:tcBorders>
          </w:tcPr>
          <w:p>
            <w:pPr>
              <w:spacing w:after="0"/>
              <w:rPr>
                <w:sz w:val="14"/>
                <w:szCs w:val="14"/>
                <w:color w:val="auto"/>
              </w:rPr>
            </w:pPr>
          </w:p>
        </w:tc>
        <w:tc>
          <w:tcPr>
            <w:tcW w:w="78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2016</w:t>
            </w:r>
          </w:p>
        </w:tc>
        <w:tc>
          <w:tcPr>
            <w:tcW w:w="12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680" w:type="dxa"/>
            <w:vAlign w:val="bottom"/>
            <w:tcBorders>
              <w:top w:val="single" w:sz="8" w:color="auto"/>
              <w:bottom w:val="single" w:sz="8" w:color="auto"/>
            </w:tcBorders>
          </w:tcPr>
          <w:p>
            <w:pPr>
              <w:jc w:val="right"/>
              <w:ind w:right="292"/>
              <w:spacing w:after="0"/>
              <w:rPr>
                <w:sz w:val="20"/>
                <w:szCs w:val="20"/>
                <w:color w:val="auto"/>
              </w:rPr>
            </w:pPr>
            <w:r>
              <w:rPr>
                <w:rFonts w:ascii="Arial" w:cs="Arial" w:eastAsia="Arial" w:hAnsi="Arial"/>
                <w:sz w:val="10"/>
                <w:szCs w:val="10"/>
                <w:b w:val="1"/>
                <w:bCs w:val="1"/>
                <w:color w:val="auto"/>
              </w:rPr>
              <w:t>2015</w:t>
            </w:r>
          </w:p>
        </w:tc>
        <w:tc>
          <w:tcPr>
            <w:tcW w:w="120" w:type="dxa"/>
            <w:vAlign w:val="bottom"/>
            <w:tcBorders>
              <w:bottom w:val="single" w:sz="8" w:color="CCEEFF"/>
            </w:tcBorders>
          </w:tcPr>
          <w:p>
            <w:pPr>
              <w:spacing w:after="0"/>
              <w:rPr>
                <w:sz w:val="14"/>
                <w:szCs w:val="14"/>
                <w:color w:val="auto"/>
              </w:rPr>
            </w:pPr>
          </w:p>
        </w:tc>
        <w:tc>
          <w:tcPr>
            <w:tcW w:w="140" w:type="dxa"/>
            <w:vAlign w:val="bottom"/>
            <w:tcBorders>
              <w:top w:val="single" w:sz="8" w:color="auto"/>
              <w:bottom w:val="single" w:sz="8" w:color="auto"/>
            </w:tcBorders>
          </w:tcPr>
          <w:p>
            <w:pPr>
              <w:spacing w:after="0"/>
              <w:rPr>
                <w:sz w:val="14"/>
                <w:szCs w:val="14"/>
                <w:color w:val="auto"/>
              </w:rPr>
            </w:pPr>
          </w:p>
        </w:tc>
        <w:tc>
          <w:tcPr>
            <w:tcW w:w="740" w:type="dxa"/>
            <w:vAlign w:val="bottom"/>
            <w:tcBorders>
              <w:top w:val="single" w:sz="8" w:color="auto"/>
              <w:bottom w:val="single" w:sz="8" w:color="auto"/>
            </w:tcBorders>
          </w:tcPr>
          <w:p>
            <w:pPr>
              <w:jc w:val="right"/>
              <w:ind w:right="292"/>
              <w:spacing w:after="0"/>
              <w:rPr>
                <w:sz w:val="20"/>
                <w:szCs w:val="20"/>
                <w:color w:val="auto"/>
              </w:rPr>
            </w:pPr>
            <w:r>
              <w:rPr>
                <w:rFonts w:ascii="Arial" w:cs="Arial" w:eastAsia="Arial" w:hAnsi="Arial"/>
                <w:sz w:val="10"/>
                <w:szCs w:val="10"/>
                <w:b w:val="1"/>
                <w:bCs w:val="1"/>
                <w:color w:val="auto"/>
              </w:rPr>
              <w:t>2016</w:t>
            </w:r>
          </w:p>
        </w:tc>
        <w:tc>
          <w:tcPr>
            <w:tcW w:w="12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680" w:type="dxa"/>
            <w:vAlign w:val="bottom"/>
            <w:tcBorders>
              <w:top w:val="single" w:sz="8" w:color="auto"/>
              <w:bottom w:val="single" w:sz="8" w:color="auto"/>
            </w:tcBorders>
          </w:tcPr>
          <w:p>
            <w:pPr>
              <w:jc w:val="right"/>
              <w:ind w:right="292"/>
              <w:spacing w:after="0"/>
              <w:rPr>
                <w:sz w:val="20"/>
                <w:szCs w:val="20"/>
                <w:color w:val="auto"/>
              </w:rPr>
            </w:pPr>
            <w:r>
              <w:rPr>
                <w:rFonts w:ascii="Arial" w:cs="Arial" w:eastAsia="Arial" w:hAnsi="Arial"/>
                <w:sz w:val="10"/>
                <w:szCs w:val="10"/>
                <w:b w:val="1"/>
                <w:bCs w:val="1"/>
                <w:color w:val="auto"/>
              </w:rPr>
              <w:t>2015</w:t>
            </w:r>
          </w:p>
        </w:tc>
      </w:tr>
      <w:tr>
        <w:trPr>
          <w:trHeight w:val="164"/>
        </w:trPr>
        <w:tc>
          <w:tcPr>
            <w:tcW w:w="73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Average mortgage borrowings</w:t>
            </w: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44,401</w:t>
            </w:r>
          </w:p>
        </w:tc>
        <w:tc>
          <w:tcPr>
            <w:tcW w:w="12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43,308</w:t>
            </w: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45,753</w:t>
            </w:r>
          </w:p>
        </w:tc>
        <w:tc>
          <w:tcPr>
            <w:tcW w:w="12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49,188</w:t>
            </w:r>
          </w:p>
        </w:tc>
      </w:tr>
      <w:tr>
        <w:trPr>
          <w:trHeight w:val="176"/>
        </w:trPr>
        <w:tc>
          <w:tcPr>
            <w:tcW w:w="734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Average net TBA position - at cost</w:t>
            </w:r>
          </w:p>
        </w:tc>
        <w:tc>
          <w:tcPr>
            <w:tcW w:w="140" w:type="dxa"/>
            <w:vAlign w:val="bottom"/>
            <w:tcBorders>
              <w:bottom w:val="single" w:sz="8" w:color="auto"/>
            </w:tcBorders>
          </w:tcPr>
          <w:p>
            <w:pPr>
              <w:spacing w:after="0"/>
              <w:rPr>
                <w:sz w:val="15"/>
                <w:szCs w:val="15"/>
                <w:color w:val="auto"/>
              </w:rPr>
            </w:pPr>
          </w:p>
        </w:tc>
        <w:tc>
          <w:tcPr>
            <w:tcW w:w="7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10,748</w:t>
            </w:r>
          </w:p>
        </w:tc>
        <w:tc>
          <w:tcPr>
            <w:tcW w:w="12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9,434</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9,050</w:t>
            </w:r>
          </w:p>
        </w:tc>
        <w:tc>
          <w:tcPr>
            <w:tcW w:w="12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7,464</w:t>
            </w:r>
          </w:p>
        </w:tc>
      </w:tr>
      <w:tr>
        <w:trPr>
          <w:trHeight w:val="164"/>
        </w:trPr>
        <w:tc>
          <w:tcPr>
            <w:tcW w:w="73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Total average mortgage borrowings and net TBA position</w:t>
            </w: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55,149</w:t>
            </w:r>
          </w:p>
        </w:tc>
        <w:tc>
          <w:tcPr>
            <w:tcW w:w="12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52,742</w:t>
            </w: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54,803</w:t>
            </w:r>
          </w:p>
        </w:tc>
        <w:tc>
          <w:tcPr>
            <w:tcW w:w="12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56,652</w:t>
            </w:r>
          </w:p>
        </w:tc>
      </w:tr>
      <w:tr>
        <w:trPr>
          <w:trHeight w:val="176"/>
        </w:trPr>
        <w:tc>
          <w:tcPr>
            <w:tcW w:w="734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Average notional amount of interest rate swaps (including of forward starting swaps)</w:t>
            </w:r>
          </w:p>
        </w:tc>
        <w:tc>
          <w:tcPr>
            <w:tcW w:w="1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7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36,270</w:t>
            </w:r>
          </w:p>
        </w:tc>
        <w:tc>
          <w:tcPr>
            <w:tcW w:w="12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45,686</w:t>
            </w:r>
          </w:p>
        </w:tc>
        <w:tc>
          <w:tcPr>
            <w:tcW w:w="1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39,575</w:t>
            </w:r>
          </w:p>
        </w:tc>
        <w:tc>
          <w:tcPr>
            <w:tcW w:w="12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45,863</w:t>
            </w:r>
          </w:p>
        </w:tc>
      </w:tr>
      <w:tr>
        <w:trPr>
          <w:trHeight w:val="162"/>
        </w:trPr>
        <w:tc>
          <w:tcPr>
            <w:tcW w:w="734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Average ratio of interest rate swaps to mortgage borrowings and net TBA position</w:t>
            </w:r>
          </w:p>
        </w:tc>
        <w:tc>
          <w:tcPr>
            <w:tcW w:w="140" w:type="dxa"/>
            <w:vAlign w:val="bottom"/>
            <w:tcBorders>
              <w:bottom w:val="single" w:sz="8" w:color="auto"/>
            </w:tcBorders>
            <w:shd w:val="clear" w:color="auto" w:fill="CCEEFF"/>
          </w:tcPr>
          <w:p>
            <w:pPr>
              <w:spacing w:after="0"/>
              <w:rPr>
                <w:sz w:val="14"/>
                <w:szCs w:val="14"/>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66%</w:t>
            </w:r>
          </w:p>
        </w:tc>
        <w:tc>
          <w:tcPr>
            <w:tcW w:w="12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spacing w:after="0"/>
              <w:rPr>
                <w:sz w:val="14"/>
                <w:szCs w:val="14"/>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87%</w:t>
            </w:r>
          </w:p>
        </w:tc>
        <w:tc>
          <w:tcPr>
            <w:tcW w:w="12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spacing w:after="0"/>
              <w:rPr>
                <w:sz w:val="14"/>
                <w:szCs w:val="14"/>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72%</w:t>
            </w:r>
          </w:p>
        </w:tc>
        <w:tc>
          <w:tcPr>
            <w:tcW w:w="12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spacing w:after="0"/>
              <w:rPr>
                <w:sz w:val="14"/>
                <w:szCs w:val="14"/>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81%</w:t>
            </w:r>
          </w:p>
        </w:tc>
      </w:tr>
    </w:tbl>
    <w:p>
      <w:pPr>
        <w:spacing w:after="0" w:line="135"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Net Spread and Dollar Roll Income</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0"/>
          <w:szCs w:val="10"/>
          <w:color w:val="auto"/>
        </w:rPr>
        <w:t>The table below presents a reconciliation of our net interest income (the most comparable GAAP financial measure) to our net spread and dollar roll income and to our net spread and dollar roll income, excluding estimated "catch-up"</w:t>
      </w:r>
    </w:p>
    <w:p>
      <w:pPr>
        <w:spacing w:after="0" w:line="38" w:lineRule="exact"/>
        <w:rPr>
          <w:sz w:val="20"/>
          <w:szCs w:val="20"/>
          <w:color w:val="auto"/>
        </w:rPr>
      </w:pPr>
    </w:p>
    <w:p>
      <w:pPr>
        <w:spacing w:after="0"/>
        <w:rPr>
          <w:sz w:val="20"/>
          <w:szCs w:val="20"/>
          <w:color w:val="auto"/>
        </w:rPr>
      </w:pPr>
      <w:r>
        <w:rPr>
          <w:rFonts w:ascii="Arial" w:cs="Arial" w:eastAsia="Arial" w:hAnsi="Arial"/>
          <w:sz w:val="12"/>
          <w:szCs w:val="12"/>
          <w:color w:val="auto"/>
        </w:rPr>
        <w:t>premium amortization cost, (non-GAAP financial measures) for the three and nine months ended September 30, 2016 and 2015 (dollars in millions):</w:t>
      </w:r>
    </w:p>
    <w:p>
      <w:pPr>
        <w:spacing w:after="0" w:line="192" w:lineRule="exact"/>
        <w:rPr>
          <w:sz w:val="20"/>
          <w:szCs w:val="20"/>
          <w:color w:val="auto"/>
        </w:rPr>
      </w:pPr>
    </w:p>
    <w:tbl>
      <w:tblPr>
        <w:tblLayout w:type="fixed"/>
        <w:tblInd w:w="2680" w:type="dxa"/>
        <w:tblCellMar>
          <w:top w:w="0" w:type="dxa"/>
          <w:left w:w="0" w:type="dxa"/>
          <w:bottom w:w="0" w:type="dxa"/>
          <w:right w:w="0" w:type="dxa"/>
        </w:tblCellMar>
      </w:tblPr>
      <w:tr>
        <w:trPr>
          <w:trHeight w:val="115"/>
        </w:trPr>
        <w:tc>
          <w:tcPr>
            <w:tcW w:w="3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100" w:type="dxa"/>
            <w:vAlign w:val="bottom"/>
            <w:gridSpan w:val="5"/>
          </w:tcPr>
          <w:p>
            <w:pPr>
              <w:jc w:val="center"/>
              <w:ind w:right="180"/>
              <w:spacing w:after="0"/>
              <w:rPr>
                <w:sz w:val="20"/>
                <w:szCs w:val="20"/>
                <w:color w:val="auto"/>
              </w:rPr>
            </w:pPr>
            <w:r>
              <w:rPr>
                <w:rFonts w:ascii="Arial" w:cs="Arial" w:eastAsia="Arial" w:hAnsi="Arial"/>
                <w:sz w:val="10"/>
                <w:szCs w:val="10"/>
                <w:b w:val="1"/>
                <w:bCs w:val="1"/>
                <w:color w:val="auto"/>
                <w:w w:val="88"/>
              </w:rPr>
              <w:t>Three Months Ended</w:t>
            </w:r>
          </w:p>
        </w:tc>
        <w:tc>
          <w:tcPr>
            <w:tcW w:w="100" w:type="dxa"/>
            <w:vAlign w:val="bottom"/>
          </w:tcPr>
          <w:p>
            <w:pPr>
              <w:spacing w:after="0"/>
              <w:rPr>
                <w:sz w:val="10"/>
                <w:szCs w:val="10"/>
                <w:color w:val="auto"/>
              </w:rPr>
            </w:pPr>
          </w:p>
        </w:tc>
        <w:tc>
          <w:tcPr>
            <w:tcW w:w="1020" w:type="dxa"/>
            <w:vAlign w:val="bottom"/>
            <w:gridSpan w:val="4"/>
          </w:tcPr>
          <w:p>
            <w:pPr>
              <w:ind w:left="60"/>
              <w:spacing w:after="0"/>
              <w:rPr>
                <w:sz w:val="20"/>
                <w:szCs w:val="20"/>
                <w:color w:val="auto"/>
              </w:rPr>
            </w:pPr>
            <w:r>
              <w:rPr>
                <w:rFonts w:ascii="Arial" w:cs="Arial" w:eastAsia="Arial" w:hAnsi="Arial"/>
                <w:sz w:val="10"/>
                <w:szCs w:val="10"/>
                <w:b w:val="1"/>
                <w:bCs w:val="1"/>
                <w:color w:val="auto"/>
              </w:rPr>
              <w:t>Nine Months Ended</w:t>
            </w:r>
          </w:p>
        </w:tc>
        <w:tc>
          <w:tcPr>
            <w:tcW w:w="0" w:type="dxa"/>
            <w:vAlign w:val="bottom"/>
          </w:tcPr>
          <w:p>
            <w:pPr>
              <w:spacing w:after="0"/>
              <w:rPr>
                <w:sz w:val="1"/>
                <w:szCs w:val="1"/>
                <w:color w:val="auto"/>
              </w:rPr>
            </w:pPr>
          </w:p>
        </w:tc>
      </w:tr>
      <w:tr>
        <w:trPr>
          <w:trHeight w:val="128"/>
        </w:trPr>
        <w:tc>
          <w:tcPr>
            <w:tcW w:w="3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gridSpan w:val="5"/>
          </w:tcPr>
          <w:p>
            <w:pPr>
              <w:jc w:val="center"/>
              <w:ind w:right="160"/>
              <w:spacing w:after="0"/>
              <w:rPr>
                <w:sz w:val="20"/>
                <w:szCs w:val="20"/>
                <w:color w:val="auto"/>
              </w:rPr>
            </w:pPr>
            <w:r>
              <w:rPr>
                <w:rFonts w:ascii="Arial" w:cs="Arial" w:eastAsia="Arial" w:hAnsi="Arial"/>
                <w:sz w:val="10"/>
                <w:szCs w:val="10"/>
                <w:b w:val="1"/>
                <w:bCs w:val="1"/>
                <w:color w:val="auto"/>
                <w:w w:val="84"/>
              </w:rPr>
              <w:t>September 30,</w:t>
            </w:r>
          </w:p>
        </w:tc>
        <w:tc>
          <w:tcPr>
            <w:tcW w:w="100" w:type="dxa"/>
            <w:vAlign w:val="bottom"/>
          </w:tcPr>
          <w:p>
            <w:pPr>
              <w:spacing w:after="0"/>
              <w:rPr>
                <w:sz w:val="11"/>
                <w:szCs w:val="11"/>
                <w:color w:val="auto"/>
              </w:rPr>
            </w:pPr>
          </w:p>
        </w:tc>
        <w:tc>
          <w:tcPr>
            <w:tcW w:w="1020" w:type="dxa"/>
            <w:vAlign w:val="bottom"/>
            <w:gridSpan w:val="4"/>
          </w:tcPr>
          <w:p>
            <w:pPr>
              <w:jc w:val="right"/>
              <w:ind w:right="212"/>
              <w:spacing w:after="0"/>
              <w:rPr>
                <w:sz w:val="20"/>
                <w:szCs w:val="20"/>
                <w:color w:val="auto"/>
              </w:rPr>
            </w:pPr>
            <w:r>
              <w:rPr>
                <w:rFonts w:ascii="Arial" w:cs="Arial" w:eastAsia="Arial" w:hAnsi="Arial"/>
                <w:sz w:val="10"/>
                <w:szCs w:val="10"/>
                <w:b w:val="1"/>
                <w:bCs w:val="1"/>
                <w:color w:val="auto"/>
              </w:rPr>
              <w:t>September 30,</w:t>
            </w:r>
          </w:p>
        </w:tc>
        <w:tc>
          <w:tcPr>
            <w:tcW w:w="0" w:type="dxa"/>
            <w:vAlign w:val="bottom"/>
          </w:tcPr>
          <w:p>
            <w:pPr>
              <w:spacing w:after="0"/>
              <w:rPr>
                <w:sz w:val="1"/>
                <w:szCs w:val="1"/>
                <w:color w:val="auto"/>
              </w:rPr>
            </w:pPr>
          </w:p>
        </w:tc>
      </w:tr>
      <w:tr>
        <w:trPr>
          <w:trHeight w:val="169"/>
        </w:trPr>
        <w:tc>
          <w:tcPr>
            <w:tcW w:w="3800" w:type="dxa"/>
            <w:vAlign w:val="bottom"/>
            <w:tcBorders>
              <w:bottom w:val="single" w:sz="8" w:color="CCEEFF"/>
            </w:tcBorders>
          </w:tcPr>
          <w:p>
            <w:pPr>
              <w:spacing w:after="0"/>
              <w:rPr>
                <w:sz w:val="14"/>
                <w:szCs w:val="14"/>
                <w:color w:val="auto"/>
              </w:rPr>
            </w:pPr>
          </w:p>
        </w:tc>
        <w:tc>
          <w:tcPr>
            <w:tcW w:w="100" w:type="dxa"/>
            <w:vAlign w:val="bottom"/>
            <w:tcBorders>
              <w:top w:val="single" w:sz="8" w:color="auto"/>
              <w:bottom w:val="single" w:sz="8" w:color="auto"/>
            </w:tcBorders>
          </w:tcPr>
          <w:p>
            <w:pPr>
              <w:spacing w:after="0"/>
              <w:rPr>
                <w:sz w:val="14"/>
                <w:szCs w:val="14"/>
                <w:color w:val="auto"/>
              </w:rPr>
            </w:pPr>
          </w:p>
        </w:tc>
        <w:tc>
          <w:tcPr>
            <w:tcW w:w="420" w:type="dxa"/>
            <w:vAlign w:val="bottom"/>
            <w:tcBorders>
              <w:top w:val="single" w:sz="8" w:color="auto"/>
              <w:bottom w:val="single" w:sz="8" w:color="auto"/>
            </w:tcBorders>
          </w:tcPr>
          <w:p>
            <w:pPr>
              <w:jc w:val="right"/>
              <w:ind w:right="132"/>
              <w:spacing w:after="0"/>
              <w:rPr>
                <w:sz w:val="20"/>
                <w:szCs w:val="20"/>
                <w:color w:val="auto"/>
              </w:rPr>
            </w:pPr>
            <w:r>
              <w:rPr>
                <w:rFonts w:ascii="Arial" w:cs="Arial" w:eastAsia="Arial" w:hAnsi="Arial"/>
                <w:sz w:val="10"/>
                <w:szCs w:val="10"/>
                <w:b w:val="1"/>
                <w:bCs w:val="1"/>
                <w:color w:val="auto"/>
                <w:w w:val="98"/>
              </w:rPr>
              <w:t>2016</w:t>
            </w:r>
          </w:p>
        </w:tc>
        <w:tc>
          <w:tcPr>
            <w:tcW w:w="80" w:type="dxa"/>
            <w:vAlign w:val="bottom"/>
            <w:tcBorders>
              <w:top w:val="single" w:sz="8" w:color="auto"/>
              <w:bottom w:val="single" w:sz="8" w:color="CCEEFF"/>
            </w:tcBorders>
          </w:tcPr>
          <w:p>
            <w:pPr>
              <w:spacing w:after="0"/>
              <w:rPr>
                <w:sz w:val="14"/>
                <w:szCs w:val="14"/>
                <w:color w:val="auto"/>
              </w:rPr>
            </w:pPr>
          </w:p>
        </w:tc>
        <w:tc>
          <w:tcPr>
            <w:tcW w:w="100" w:type="dxa"/>
            <w:vAlign w:val="bottom"/>
            <w:tcBorders>
              <w:top w:val="single" w:sz="8" w:color="auto"/>
              <w:bottom w:val="single" w:sz="8" w:color="auto"/>
            </w:tcBorders>
          </w:tcPr>
          <w:p>
            <w:pPr>
              <w:spacing w:after="0"/>
              <w:rPr>
                <w:sz w:val="14"/>
                <w:szCs w:val="14"/>
                <w:color w:val="auto"/>
              </w:rPr>
            </w:pPr>
          </w:p>
        </w:tc>
        <w:tc>
          <w:tcPr>
            <w:tcW w:w="420" w:type="dxa"/>
            <w:vAlign w:val="bottom"/>
            <w:tcBorders>
              <w:top w:val="single" w:sz="8" w:color="auto"/>
              <w:bottom w:val="single" w:sz="8" w:color="auto"/>
            </w:tcBorders>
          </w:tcPr>
          <w:p>
            <w:pPr>
              <w:jc w:val="right"/>
              <w:ind w:right="132"/>
              <w:spacing w:after="0"/>
              <w:rPr>
                <w:sz w:val="20"/>
                <w:szCs w:val="20"/>
                <w:color w:val="auto"/>
              </w:rPr>
            </w:pPr>
            <w:r>
              <w:rPr>
                <w:rFonts w:ascii="Arial" w:cs="Arial" w:eastAsia="Arial" w:hAnsi="Arial"/>
                <w:sz w:val="10"/>
                <w:szCs w:val="10"/>
                <w:b w:val="1"/>
                <w:bCs w:val="1"/>
                <w:color w:val="auto"/>
                <w:w w:val="98"/>
              </w:rPr>
              <w:t>2015</w:t>
            </w:r>
          </w:p>
        </w:tc>
        <w:tc>
          <w:tcPr>
            <w:tcW w:w="80" w:type="dxa"/>
            <w:vAlign w:val="bottom"/>
            <w:tcBorders>
              <w:bottom w:val="single" w:sz="8" w:color="CCEEFF"/>
            </w:tcBorders>
          </w:tcPr>
          <w:p>
            <w:pPr>
              <w:spacing w:after="0"/>
              <w:rPr>
                <w:sz w:val="14"/>
                <w:szCs w:val="14"/>
                <w:color w:val="auto"/>
              </w:rPr>
            </w:pPr>
          </w:p>
        </w:tc>
        <w:tc>
          <w:tcPr>
            <w:tcW w:w="100" w:type="dxa"/>
            <w:vAlign w:val="bottom"/>
            <w:tcBorders>
              <w:top w:val="single" w:sz="8" w:color="auto"/>
              <w:bottom w:val="single" w:sz="8" w:color="auto"/>
            </w:tcBorders>
          </w:tcPr>
          <w:p>
            <w:pPr>
              <w:spacing w:after="0"/>
              <w:rPr>
                <w:sz w:val="14"/>
                <w:szCs w:val="14"/>
                <w:color w:val="auto"/>
              </w:rPr>
            </w:pPr>
          </w:p>
        </w:tc>
        <w:tc>
          <w:tcPr>
            <w:tcW w:w="420" w:type="dxa"/>
            <w:vAlign w:val="bottom"/>
            <w:tcBorders>
              <w:top w:val="single" w:sz="8" w:color="auto"/>
              <w:bottom w:val="single" w:sz="8" w:color="auto"/>
            </w:tcBorders>
          </w:tcPr>
          <w:p>
            <w:pPr>
              <w:ind w:left="60"/>
              <w:spacing w:after="0"/>
              <w:rPr>
                <w:sz w:val="20"/>
                <w:szCs w:val="20"/>
                <w:color w:val="auto"/>
              </w:rPr>
            </w:pPr>
            <w:r>
              <w:rPr>
                <w:rFonts w:ascii="Arial" w:cs="Arial" w:eastAsia="Arial" w:hAnsi="Arial"/>
                <w:sz w:val="10"/>
                <w:szCs w:val="10"/>
                <w:b w:val="1"/>
                <w:bCs w:val="1"/>
                <w:color w:val="auto"/>
              </w:rPr>
              <w:t>2016</w:t>
            </w:r>
          </w:p>
        </w:tc>
        <w:tc>
          <w:tcPr>
            <w:tcW w:w="60" w:type="dxa"/>
            <w:vAlign w:val="bottom"/>
            <w:tcBorders>
              <w:top w:val="single" w:sz="8" w:color="auto"/>
              <w:bottom w:val="single" w:sz="8" w:color="CCEEFF"/>
            </w:tcBorders>
          </w:tcPr>
          <w:p>
            <w:pPr>
              <w:spacing w:after="0"/>
              <w:rPr>
                <w:sz w:val="14"/>
                <w:szCs w:val="14"/>
                <w:color w:val="auto"/>
              </w:rPr>
            </w:pPr>
          </w:p>
        </w:tc>
        <w:tc>
          <w:tcPr>
            <w:tcW w:w="120" w:type="dxa"/>
            <w:vAlign w:val="bottom"/>
            <w:tcBorders>
              <w:top w:val="single" w:sz="8" w:color="auto"/>
              <w:bottom w:val="single" w:sz="8" w:color="auto"/>
            </w:tcBorders>
          </w:tcPr>
          <w:p>
            <w:pPr>
              <w:spacing w:after="0"/>
              <w:rPr>
                <w:sz w:val="14"/>
                <w:szCs w:val="14"/>
                <w:color w:val="auto"/>
              </w:rPr>
            </w:pPr>
          </w:p>
        </w:tc>
        <w:tc>
          <w:tcPr>
            <w:tcW w:w="420" w:type="dxa"/>
            <w:vAlign w:val="bottom"/>
            <w:tcBorders>
              <w:top w:val="single" w:sz="8" w:color="auto"/>
              <w:bottom w:val="single" w:sz="8" w:color="auto"/>
            </w:tcBorders>
          </w:tcPr>
          <w:p>
            <w:pPr>
              <w:jc w:val="right"/>
              <w:ind w:right="132"/>
              <w:spacing w:after="0"/>
              <w:rPr>
                <w:sz w:val="20"/>
                <w:szCs w:val="20"/>
                <w:color w:val="auto"/>
              </w:rPr>
            </w:pPr>
            <w:r>
              <w:rPr>
                <w:rFonts w:ascii="Arial" w:cs="Arial" w:eastAsia="Arial" w:hAnsi="Arial"/>
                <w:sz w:val="10"/>
                <w:szCs w:val="10"/>
                <w:b w:val="1"/>
                <w:bCs w:val="1"/>
                <w:color w:val="auto"/>
                <w:w w:val="98"/>
              </w:rPr>
              <w:t>2015</w:t>
            </w:r>
          </w:p>
        </w:tc>
        <w:tc>
          <w:tcPr>
            <w:tcW w:w="0" w:type="dxa"/>
            <w:vAlign w:val="bottom"/>
          </w:tcPr>
          <w:p>
            <w:pPr>
              <w:spacing w:after="0"/>
              <w:rPr>
                <w:sz w:val="1"/>
                <w:szCs w:val="1"/>
                <w:color w:val="auto"/>
              </w:rPr>
            </w:pPr>
          </w:p>
        </w:tc>
      </w:tr>
      <w:tr>
        <w:trPr>
          <w:trHeight w:val="164"/>
        </w:trPr>
        <w:tc>
          <w:tcPr>
            <w:tcW w:w="3800" w:type="dxa"/>
            <w:vAlign w:val="bottom"/>
            <w:shd w:val="clear" w:color="auto" w:fill="CCEEFF"/>
          </w:tcPr>
          <w:p>
            <w:pPr>
              <w:spacing w:after="0"/>
              <w:rPr>
                <w:sz w:val="20"/>
                <w:szCs w:val="20"/>
                <w:color w:val="auto"/>
              </w:rPr>
            </w:pPr>
            <w:r>
              <w:rPr>
                <w:rFonts w:ascii="Arial" w:cs="Arial" w:eastAsia="Arial" w:hAnsi="Arial"/>
                <w:sz w:val="10"/>
                <w:szCs w:val="10"/>
                <w:color w:val="auto"/>
              </w:rPr>
              <w:t>Net interest income</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219</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218</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632</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848</w:t>
            </w:r>
          </w:p>
        </w:tc>
        <w:tc>
          <w:tcPr>
            <w:tcW w:w="0" w:type="dxa"/>
            <w:vAlign w:val="bottom"/>
          </w:tcPr>
          <w:p>
            <w:pPr>
              <w:spacing w:after="0"/>
              <w:rPr>
                <w:sz w:val="1"/>
                <w:szCs w:val="1"/>
                <w:color w:val="auto"/>
              </w:rPr>
            </w:pPr>
          </w:p>
        </w:tc>
      </w:tr>
      <w:tr>
        <w:trPr>
          <w:trHeight w:val="176"/>
        </w:trPr>
        <w:tc>
          <w:tcPr>
            <w:tcW w:w="3800" w:type="dxa"/>
            <w:vAlign w:val="bottom"/>
          </w:tcPr>
          <w:p>
            <w:pPr>
              <w:ind w:left="100"/>
              <w:spacing w:after="0"/>
              <w:rPr>
                <w:sz w:val="20"/>
                <w:szCs w:val="20"/>
                <w:color w:val="auto"/>
              </w:rPr>
            </w:pPr>
            <w:r>
              <w:rPr>
                <w:rFonts w:ascii="Arial" w:cs="Arial" w:eastAsia="Arial" w:hAnsi="Arial"/>
                <w:sz w:val="10"/>
                <w:szCs w:val="10"/>
                <w:color w:val="auto"/>
              </w:rPr>
              <w:t xml:space="preserve">Other periodic interest costs of interest rate swaps, net </w:t>
            </w:r>
            <w:r>
              <w:rPr>
                <w:rFonts w:ascii="Arial" w:cs="Arial" w:eastAsia="Arial" w:hAnsi="Arial"/>
                <w:sz w:val="5"/>
                <w:szCs w:val="5"/>
                <w:color w:val="auto"/>
              </w:rPr>
              <w:t>1</w:t>
            </w:r>
          </w:p>
        </w:tc>
        <w:tc>
          <w:tcPr>
            <w:tcW w:w="10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0"/>
                <w:szCs w:val="10"/>
                <w:color w:val="auto"/>
              </w:rPr>
              <w:t>(51)</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0"/>
                <w:szCs w:val="10"/>
                <w:color w:val="auto"/>
              </w:rPr>
              <w:t>(107)</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0"/>
                <w:szCs w:val="10"/>
                <w:color w:val="auto"/>
              </w:rPr>
              <w:t>(209)</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0"/>
                <w:szCs w:val="10"/>
                <w:color w:val="auto"/>
              </w:rPr>
              <w:t>(290)</w:t>
            </w:r>
          </w:p>
        </w:tc>
        <w:tc>
          <w:tcPr>
            <w:tcW w:w="0" w:type="dxa"/>
            <w:vAlign w:val="bottom"/>
          </w:tcPr>
          <w:p>
            <w:pPr>
              <w:spacing w:after="0"/>
              <w:rPr>
                <w:sz w:val="1"/>
                <w:szCs w:val="1"/>
                <w:color w:val="auto"/>
              </w:rPr>
            </w:pPr>
          </w:p>
        </w:tc>
      </w:tr>
      <w:tr>
        <w:trPr>
          <w:trHeight w:val="184"/>
        </w:trPr>
        <w:tc>
          <w:tcPr>
            <w:tcW w:w="3800" w:type="dxa"/>
            <w:vAlign w:val="bottom"/>
            <w:shd w:val="clear" w:color="auto" w:fill="CCEEFF"/>
          </w:tcPr>
          <w:p>
            <w:pPr>
              <w:ind w:left="100"/>
              <w:spacing w:after="0"/>
              <w:rPr>
                <w:sz w:val="20"/>
                <w:szCs w:val="20"/>
                <w:color w:val="auto"/>
              </w:rPr>
            </w:pPr>
            <w:r>
              <w:rPr>
                <w:rFonts w:ascii="Arial" w:cs="Arial" w:eastAsia="Arial" w:hAnsi="Arial"/>
                <w:sz w:val="10"/>
                <w:szCs w:val="10"/>
                <w:color w:val="auto"/>
              </w:rPr>
              <w:t xml:space="preserve">TBA dollar roll income </w:t>
            </w:r>
            <w:r>
              <w:rPr>
                <w:rFonts w:ascii="Arial" w:cs="Arial" w:eastAsia="Arial" w:hAnsi="Arial"/>
                <w:sz w:val="5"/>
                <w:szCs w:val="5"/>
                <w:color w:val="auto"/>
              </w:rPr>
              <w:t>1</w:t>
            </w: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54</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73</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148</w:t>
            </w: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184</w:t>
            </w:r>
          </w:p>
        </w:tc>
        <w:tc>
          <w:tcPr>
            <w:tcW w:w="0" w:type="dxa"/>
            <w:vAlign w:val="bottom"/>
          </w:tcPr>
          <w:p>
            <w:pPr>
              <w:spacing w:after="0"/>
              <w:rPr>
                <w:sz w:val="1"/>
                <w:szCs w:val="1"/>
                <w:color w:val="auto"/>
              </w:rPr>
            </w:pPr>
          </w:p>
        </w:tc>
      </w:tr>
      <w:tr>
        <w:trPr>
          <w:trHeight w:val="176"/>
        </w:trPr>
        <w:tc>
          <w:tcPr>
            <w:tcW w:w="3800" w:type="dxa"/>
            <w:vAlign w:val="bottom"/>
          </w:tcPr>
          <w:p>
            <w:pPr>
              <w:ind w:left="100"/>
              <w:spacing w:after="0"/>
              <w:rPr>
                <w:sz w:val="20"/>
                <w:szCs w:val="20"/>
                <w:color w:val="auto"/>
              </w:rPr>
            </w:pPr>
            <w:r>
              <w:rPr>
                <w:rFonts w:ascii="Arial" w:cs="Arial" w:eastAsia="Arial" w:hAnsi="Arial"/>
                <w:sz w:val="10"/>
                <w:szCs w:val="10"/>
                <w:color w:val="auto"/>
              </w:rPr>
              <w:t>Management fee income</w:t>
            </w:r>
          </w:p>
        </w:tc>
        <w:tc>
          <w:tcPr>
            <w:tcW w:w="100" w:type="dxa"/>
            <w:vAlign w:val="bottom"/>
          </w:tcPr>
          <w:p>
            <w:pPr>
              <w:spacing w:after="0"/>
              <w:rPr>
                <w:sz w:val="15"/>
                <w:szCs w:val="15"/>
                <w:color w:val="auto"/>
              </w:rPr>
            </w:pPr>
          </w:p>
        </w:tc>
        <w:tc>
          <w:tcPr>
            <w:tcW w:w="420" w:type="dxa"/>
            <w:vAlign w:val="bottom"/>
          </w:tcPr>
          <w:p>
            <w:pPr>
              <w:jc w:val="right"/>
              <w:ind w:right="12"/>
              <w:spacing w:after="0"/>
              <w:rPr>
                <w:sz w:val="20"/>
                <w:szCs w:val="20"/>
                <w:color w:val="auto"/>
              </w:rPr>
            </w:pPr>
            <w:r>
              <w:rPr>
                <w:rFonts w:ascii="Arial" w:cs="Arial" w:eastAsia="Arial" w:hAnsi="Arial"/>
                <w:sz w:val="10"/>
                <w:szCs w:val="10"/>
                <w:color w:val="auto"/>
              </w:rPr>
              <w:t>4</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5"/>
                <w:szCs w:val="15"/>
                <w:color w:val="auto"/>
              </w:rPr>
            </w:pPr>
          </w:p>
        </w:tc>
        <w:tc>
          <w:tcPr>
            <w:tcW w:w="420" w:type="dxa"/>
            <w:vAlign w:val="bottom"/>
          </w:tcPr>
          <w:p>
            <w:pPr>
              <w:jc w:val="right"/>
              <w:ind w:right="12"/>
              <w:spacing w:after="0"/>
              <w:rPr>
                <w:sz w:val="20"/>
                <w:szCs w:val="20"/>
                <w:color w:val="auto"/>
              </w:rPr>
            </w:pPr>
            <w:r>
              <w:rPr>
                <w:rFonts w:ascii="Arial" w:cs="Arial" w:eastAsia="Arial" w:hAnsi="Arial"/>
                <w:sz w:val="10"/>
                <w:szCs w:val="10"/>
                <w:color w:val="auto"/>
              </w:rPr>
              <w:t>4</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jc w:val="right"/>
              <w:ind w:right="12"/>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80"/>
        </w:trPr>
        <w:tc>
          <w:tcPr>
            <w:tcW w:w="3800" w:type="dxa"/>
            <w:vAlign w:val="bottom"/>
            <w:shd w:val="clear" w:color="auto" w:fill="CCEEFF"/>
          </w:tcPr>
          <w:p>
            <w:pPr>
              <w:ind w:left="100"/>
              <w:spacing w:after="0"/>
              <w:rPr>
                <w:sz w:val="20"/>
                <w:szCs w:val="20"/>
                <w:color w:val="auto"/>
              </w:rPr>
            </w:pPr>
            <w:r>
              <w:rPr>
                <w:rFonts w:ascii="Arial" w:cs="Arial" w:eastAsia="Arial" w:hAnsi="Arial"/>
                <w:sz w:val="10"/>
                <w:szCs w:val="10"/>
                <w:color w:val="auto"/>
              </w:rPr>
              <w:t xml:space="preserve">Dividend from REIT equity securities </w:t>
            </w:r>
            <w:r>
              <w:rPr>
                <w:rFonts w:ascii="Arial" w:cs="Arial" w:eastAsia="Arial" w:hAnsi="Arial"/>
                <w:sz w:val="5"/>
                <w:szCs w:val="5"/>
                <w:color w:val="auto"/>
              </w:rPr>
              <w:t>1</w:t>
            </w:r>
          </w:p>
        </w:tc>
        <w:tc>
          <w:tcPr>
            <w:tcW w:w="100" w:type="dxa"/>
            <w:vAlign w:val="bottom"/>
            <w:shd w:val="clear" w:color="auto" w:fill="CCEEFF"/>
          </w:tcPr>
          <w:p>
            <w:pPr>
              <w:spacing w:after="0"/>
              <w:rPr>
                <w:sz w:val="15"/>
                <w:szCs w:val="15"/>
                <w:color w:val="auto"/>
              </w:rPr>
            </w:pPr>
          </w:p>
        </w:tc>
        <w:tc>
          <w:tcPr>
            <w:tcW w:w="5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5"/>
                <w:szCs w:val="15"/>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w:t>
            </w: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2</w:t>
            </w: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5</w:t>
            </w:r>
          </w:p>
        </w:tc>
        <w:tc>
          <w:tcPr>
            <w:tcW w:w="0" w:type="dxa"/>
            <w:vAlign w:val="bottom"/>
          </w:tcPr>
          <w:p>
            <w:pPr>
              <w:spacing w:after="0"/>
              <w:rPr>
                <w:sz w:val="1"/>
                <w:szCs w:val="1"/>
                <w:color w:val="auto"/>
              </w:rPr>
            </w:pPr>
          </w:p>
        </w:tc>
      </w:tr>
      <w:tr>
        <w:trPr>
          <w:trHeight w:val="160"/>
        </w:trPr>
        <w:tc>
          <w:tcPr>
            <w:tcW w:w="3800" w:type="dxa"/>
            <w:vAlign w:val="bottom"/>
          </w:tcPr>
          <w:p>
            <w:pPr>
              <w:spacing w:after="0"/>
              <w:rPr>
                <w:sz w:val="20"/>
                <w:szCs w:val="20"/>
                <w:color w:val="auto"/>
              </w:rPr>
            </w:pPr>
            <w:r>
              <w:rPr>
                <w:rFonts w:ascii="Arial" w:cs="Arial" w:eastAsia="Arial" w:hAnsi="Arial"/>
                <w:sz w:val="10"/>
                <w:szCs w:val="10"/>
                <w:color w:val="auto"/>
              </w:rPr>
              <w:t>Adjusted net interest and dollar roll income</w:t>
            </w:r>
          </w:p>
        </w:tc>
        <w:tc>
          <w:tcPr>
            <w:tcW w:w="100" w:type="dxa"/>
            <w:vAlign w:val="bottom"/>
            <w:tcBorders>
              <w:top w:val="single" w:sz="8" w:color="auto"/>
            </w:tcBorders>
          </w:tcPr>
          <w:p>
            <w:pPr>
              <w:spacing w:after="0"/>
              <w:rPr>
                <w:sz w:val="13"/>
                <w:szCs w:val="13"/>
                <w:color w:val="auto"/>
              </w:rPr>
            </w:pPr>
          </w:p>
        </w:tc>
        <w:tc>
          <w:tcPr>
            <w:tcW w:w="420" w:type="dxa"/>
            <w:vAlign w:val="bottom"/>
            <w:tcBorders>
              <w:top w:val="single" w:sz="8" w:color="auto"/>
            </w:tcBorders>
          </w:tcPr>
          <w:p>
            <w:pPr>
              <w:jc w:val="right"/>
              <w:ind w:right="12"/>
              <w:spacing w:after="0"/>
              <w:rPr>
                <w:sz w:val="20"/>
                <w:szCs w:val="20"/>
                <w:color w:val="auto"/>
              </w:rPr>
            </w:pPr>
            <w:r>
              <w:rPr>
                <w:rFonts w:ascii="Arial" w:cs="Arial" w:eastAsia="Arial" w:hAnsi="Arial"/>
                <w:sz w:val="10"/>
                <w:szCs w:val="10"/>
                <w:color w:val="auto"/>
              </w:rPr>
              <w:t>226</w:t>
            </w:r>
          </w:p>
        </w:tc>
        <w:tc>
          <w:tcPr>
            <w:tcW w:w="8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420" w:type="dxa"/>
            <w:vAlign w:val="bottom"/>
            <w:tcBorders>
              <w:top w:val="single" w:sz="8" w:color="auto"/>
            </w:tcBorders>
          </w:tcPr>
          <w:p>
            <w:pPr>
              <w:jc w:val="right"/>
              <w:ind w:right="12"/>
              <w:spacing w:after="0"/>
              <w:rPr>
                <w:sz w:val="20"/>
                <w:szCs w:val="20"/>
                <w:color w:val="auto"/>
              </w:rPr>
            </w:pPr>
            <w:r>
              <w:rPr>
                <w:rFonts w:ascii="Arial" w:cs="Arial" w:eastAsia="Arial" w:hAnsi="Arial"/>
                <w:sz w:val="10"/>
                <w:szCs w:val="10"/>
                <w:color w:val="auto"/>
              </w:rPr>
              <w:t>185</w:t>
            </w:r>
          </w:p>
        </w:tc>
        <w:tc>
          <w:tcPr>
            <w:tcW w:w="8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420" w:type="dxa"/>
            <w:vAlign w:val="bottom"/>
            <w:tcBorders>
              <w:top w:val="single" w:sz="8" w:color="auto"/>
            </w:tcBorders>
          </w:tcPr>
          <w:p>
            <w:pPr>
              <w:jc w:val="right"/>
              <w:ind w:right="12"/>
              <w:spacing w:after="0"/>
              <w:rPr>
                <w:sz w:val="20"/>
                <w:szCs w:val="20"/>
                <w:color w:val="auto"/>
              </w:rPr>
            </w:pPr>
            <w:r>
              <w:rPr>
                <w:rFonts w:ascii="Arial" w:cs="Arial" w:eastAsia="Arial" w:hAnsi="Arial"/>
                <w:sz w:val="10"/>
                <w:szCs w:val="10"/>
                <w:color w:val="auto"/>
              </w:rPr>
              <w:t>577</w:t>
            </w:r>
          </w:p>
        </w:tc>
        <w:tc>
          <w:tcPr>
            <w:tcW w:w="6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420" w:type="dxa"/>
            <w:vAlign w:val="bottom"/>
            <w:tcBorders>
              <w:top w:val="single" w:sz="8" w:color="auto"/>
            </w:tcBorders>
          </w:tcPr>
          <w:p>
            <w:pPr>
              <w:jc w:val="right"/>
              <w:ind w:right="12"/>
              <w:spacing w:after="0"/>
              <w:rPr>
                <w:sz w:val="20"/>
                <w:szCs w:val="20"/>
                <w:color w:val="auto"/>
              </w:rPr>
            </w:pPr>
            <w:r>
              <w:rPr>
                <w:rFonts w:ascii="Arial" w:cs="Arial" w:eastAsia="Arial" w:hAnsi="Arial"/>
                <w:sz w:val="10"/>
                <w:szCs w:val="10"/>
                <w:color w:val="auto"/>
              </w:rPr>
              <w:t>747</w:t>
            </w:r>
          </w:p>
        </w:tc>
        <w:tc>
          <w:tcPr>
            <w:tcW w:w="0" w:type="dxa"/>
            <w:vAlign w:val="bottom"/>
          </w:tcPr>
          <w:p>
            <w:pPr>
              <w:spacing w:after="0"/>
              <w:rPr>
                <w:sz w:val="1"/>
                <w:szCs w:val="1"/>
                <w:color w:val="auto"/>
              </w:rPr>
            </w:pPr>
          </w:p>
        </w:tc>
      </w:tr>
      <w:tr>
        <w:trPr>
          <w:trHeight w:val="184"/>
        </w:trPr>
        <w:tc>
          <w:tcPr>
            <w:tcW w:w="3800" w:type="dxa"/>
            <w:vAlign w:val="bottom"/>
            <w:shd w:val="clear" w:color="auto" w:fill="CCEEFF"/>
          </w:tcPr>
          <w:p>
            <w:pPr>
              <w:spacing w:after="0"/>
              <w:rPr>
                <w:sz w:val="20"/>
                <w:szCs w:val="20"/>
                <w:color w:val="auto"/>
              </w:rPr>
            </w:pPr>
            <w:r>
              <w:rPr>
                <w:rFonts w:ascii="Arial" w:cs="Arial" w:eastAsia="Arial" w:hAnsi="Arial"/>
                <w:sz w:val="10"/>
                <w:szCs w:val="10"/>
                <w:color w:val="auto"/>
              </w:rPr>
              <w:t>Operating expenses:</w:t>
            </w: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6"/>
        </w:trPr>
        <w:tc>
          <w:tcPr>
            <w:tcW w:w="3800" w:type="dxa"/>
            <w:vAlign w:val="bottom"/>
          </w:tcPr>
          <w:p>
            <w:pPr>
              <w:ind w:left="100"/>
              <w:spacing w:after="0"/>
              <w:rPr>
                <w:sz w:val="20"/>
                <w:szCs w:val="20"/>
                <w:color w:val="auto"/>
              </w:rPr>
            </w:pPr>
            <w:r>
              <w:rPr>
                <w:rFonts w:ascii="Arial" w:cs="Arial" w:eastAsia="Arial" w:hAnsi="Arial"/>
                <w:sz w:val="10"/>
                <w:szCs w:val="10"/>
                <w:color w:val="auto"/>
              </w:rPr>
              <w:t>Total operating expenses</w:t>
            </w:r>
          </w:p>
        </w:tc>
        <w:tc>
          <w:tcPr>
            <w:tcW w:w="100" w:type="dxa"/>
            <w:vAlign w:val="bottom"/>
          </w:tcPr>
          <w:p>
            <w:pPr>
              <w:spacing w:after="0"/>
              <w:rPr>
                <w:sz w:val="15"/>
                <w:szCs w:val="15"/>
                <w:color w:val="auto"/>
              </w:rPr>
            </w:pPr>
          </w:p>
        </w:tc>
        <w:tc>
          <w:tcPr>
            <w:tcW w:w="420" w:type="dxa"/>
            <w:vAlign w:val="bottom"/>
          </w:tcPr>
          <w:p>
            <w:pPr>
              <w:jc w:val="right"/>
              <w:ind w:right="12"/>
              <w:spacing w:after="0"/>
              <w:rPr>
                <w:sz w:val="20"/>
                <w:szCs w:val="20"/>
                <w:color w:val="auto"/>
              </w:rPr>
            </w:pPr>
            <w:r>
              <w:rPr>
                <w:rFonts w:ascii="Arial" w:cs="Arial" w:eastAsia="Arial" w:hAnsi="Arial"/>
                <w:sz w:val="10"/>
                <w:szCs w:val="10"/>
                <w:color w:val="auto"/>
              </w:rPr>
              <w:t>15</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20" w:type="dxa"/>
            <w:vAlign w:val="bottom"/>
          </w:tcPr>
          <w:p>
            <w:pPr>
              <w:jc w:val="right"/>
              <w:ind w:right="12"/>
              <w:spacing w:after="0"/>
              <w:rPr>
                <w:sz w:val="20"/>
                <w:szCs w:val="20"/>
                <w:color w:val="auto"/>
              </w:rPr>
            </w:pPr>
            <w:r>
              <w:rPr>
                <w:rFonts w:ascii="Arial" w:cs="Arial" w:eastAsia="Arial" w:hAnsi="Arial"/>
                <w:sz w:val="10"/>
                <w:szCs w:val="10"/>
                <w:color w:val="auto"/>
              </w:rPr>
              <w:t>34</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20" w:type="dxa"/>
            <w:vAlign w:val="bottom"/>
          </w:tcPr>
          <w:p>
            <w:pPr>
              <w:jc w:val="right"/>
              <w:ind w:right="12"/>
              <w:spacing w:after="0"/>
              <w:rPr>
                <w:sz w:val="20"/>
                <w:szCs w:val="20"/>
                <w:color w:val="auto"/>
              </w:rPr>
            </w:pPr>
            <w:r>
              <w:rPr>
                <w:rFonts w:ascii="Arial" w:cs="Arial" w:eastAsia="Arial" w:hAnsi="Arial"/>
                <w:sz w:val="10"/>
                <w:szCs w:val="10"/>
                <w:color w:val="auto"/>
              </w:rPr>
              <w:t>88</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jc w:val="right"/>
              <w:ind w:right="12"/>
              <w:spacing w:after="0"/>
              <w:rPr>
                <w:sz w:val="20"/>
                <w:szCs w:val="20"/>
                <w:color w:val="auto"/>
              </w:rPr>
            </w:pPr>
            <w:r>
              <w:rPr>
                <w:rFonts w:ascii="Arial" w:cs="Arial" w:eastAsia="Arial" w:hAnsi="Arial"/>
                <w:sz w:val="10"/>
                <w:szCs w:val="10"/>
                <w:color w:val="auto"/>
              </w:rPr>
              <w:t>106</w:t>
            </w:r>
          </w:p>
        </w:tc>
        <w:tc>
          <w:tcPr>
            <w:tcW w:w="0" w:type="dxa"/>
            <w:vAlign w:val="bottom"/>
          </w:tcPr>
          <w:p>
            <w:pPr>
              <w:spacing w:after="0"/>
              <w:rPr>
                <w:sz w:val="1"/>
                <w:szCs w:val="1"/>
                <w:color w:val="auto"/>
              </w:rPr>
            </w:pPr>
          </w:p>
        </w:tc>
      </w:tr>
      <w:tr>
        <w:trPr>
          <w:trHeight w:val="180"/>
        </w:trPr>
        <w:tc>
          <w:tcPr>
            <w:tcW w:w="3800" w:type="dxa"/>
            <w:vAlign w:val="bottom"/>
            <w:shd w:val="clear" w:color="auto" w:fill="CCEEFF"/>
          </w:tcPr>
          <w:p>
            <w:pPr>
              <w:ind w:left="100"/>
              <w:spacing w:after="0"/>
              <w:rPr>
                <w:sz w:val="20"/>
                <w:szCs w:val="20"/>
                <w:color w:val="auto"/>
              </w:rPr>
            </w:pPr>
            <w:r>
              <w:rPr>
                <w:rFonts w:ascii="Arial" w:cs="Arial" w:eastAsia="Arial" w:hAnsi="Arial"/>
                <w:sz w:val="10"/>
                <w:szCs w:val="10"/>
                <w:color w:val="auto"/>
              </w:rPr>
              <w:t>Non-recurring transaction costs</w:t>
            </w:r>
          </w:p>
        </w:tc>
        <w:tc>
          <w:tcPr>
            <w:tcW w:w="100" w:type="dxa"/>
            <w:vAlign w:val="bottom"/>
            <w:shd w:val="clear" w:color="auto" w:fill="CCEEFF"/>
          </w:tcPr>
          <w:p>
            <w:pPr>
              <w:spacing w:after="0"/>
              <w:rPr>
                <w:sz w:val="15"/>
                <w:szCs w:val="15"/>
                <w:color w:val="auto"/>
              </w:rPr>
            </w:pPr>
          </w:p>
        </w:tc>
        <w:tc>
          <w:tcPr>
            <w:tcW w:w="5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5"/>
                <w:szCs w:val="15"/>
                <w:color w:val="auto"/>
              </w:rPr>
            </w:pPr>
          </w:p>
        </w:tc>
        <w:tc>
          <w:tcPr>
            <w:tcW w:w="5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5"/>
                <w:szCs w:val="15"/>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w:t>
            </w: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60"/>
        </w:trPr>
        <w:tc>
          <w:tcPr>
            <w:tcW w:w="380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Adjusted operating expenses</w:t>
            </w:r>
          </w:p>
        </w:tc>
        <w:tc>
          <w:tcPr>
            <w:tcW w:w="100" w:type="dxa"/>
            <w:vAlign w:val="bottom"/>
            <w:tcBorders>
              <w:top w:val="single" w:sz="8" w:color="auto"/>
              <w:bottom w:val="single" w:sz="8" w:color="auto"/>
            </w:tcBorders>
          </w:tcPr>
          <w:p>
            <w:pPr>
              <w:spacing w:after="0"/>
              <w:rPr>
                <w:sz w:val="13"/>
                <w:szCs w:val="13"/>
                <w:color w:val="auto"/>
              </w:rPr>
            </w:pPr>
          </w:p>
        </w:tc>
        <w:tc>
          <w:tcPr>
            <w:tcW w:w="42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0"/>
                <w:szCs w:val="10"/>
                <w:color w:val="auto"/>
              </w:rPr>
              <w:t>15</w:t>
            </w:r>
          </w:p>
        </w:tc>
        <w:tc>
          <w:tcPr>
            <w:tcW w:w="80" w:type="dxa"/>
            <w:vAlign w:val="bottom"/>
            <w:tcBorders>
              <w:bottom w:val="single" w:sz="8" w:color="CCEEFF"/>
            </w:tcBorders>
          </w:tcPr>
          <w:p>
            <w:pPr>
              <w:spacing w:after="0"/>
              <w:rPr>
                <w:sz w:val="13"/>
                <w:szCs w:val="13"/>
                <w:color w:val="auto"/>
              </w:rPr>
            </w:pPr>
          </w:p>
        </w:tc>
        <w:tc>
          <w:tcPr>
            <w:tcW w:w="100" w:type="dxa"/>
            <w:vAlign w:val="bottom"/>
            <w:tcBorders>
              <w:top w:val="single" w:sz="8" w:color="auto"/>
              <w:bottom w:val="single" w:sz="8" w:color="auto"/>
            </w:tcBorders>
          </w:tcPr>
          <w:p>
            <w:pPr>
              <w:spacing w:after="0"/>
              <w:rPr>
                <w:sz w:val="13"/>
                <w:szCs w:val="13"/>
                <w:color w:val="auto"/>
              </w:rPr>
            </w:pPr>
          </w:p>
        </w:tc>
        <w:tc>
          <w:tcPr>
            <w:tcW w:w="42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0"/>
                <w:szCs w:val="10"/>
                <w:color w:val="auto"/>
              </w:rPr>
              <w:t>34</w:t>
            </w:r>
          </w:p>
        </w:tc>
        <w:tc>
          <w:tcPr>
            <w:tcW w:w="80" w:type="dxa"/>
            <w:vAlign w:val="bottom"/>
            <w:tcBorders>
              <w:bottom w:val="single" w:sz="8" w:color="CCEEFF"/>
            </w:tcBorders>
          </w:tcPr>
          <w:p>
            <w:pPr>
              <w:spacing w:after="0"/>
              <w:rPr>
                <w:sz w:val="13"/>
                <w:szCs w:val="13"/>
                <w:color w:val="auto"/>
              </w:rPr>
            </w:pPr>
          </w:p>
        </w:tc>
        <w:tc>
          <w:tcPr>
            <w:tcW w:w="100" w:type="dxa"/>
            <w:vAlign w:val="bottom"/>
            <w:tcBorders>
              <w:top w:val="single" w:sz="8" w:color="auto"/>
              <w:bottom w:val="single" w:sz="8" w:color="auto"/>
            </w:tcBorders>
          </w:tcPr>
          <w:p>
            <w:pPr>
              <w:spacing w:after="0"/>
              <w:rPr>
                <w:sz w:val="13"/>
                <w:szCs w:val="13"/>
                <w:color w:val="auto"/>
              </w:rPr>
            </w:pPr>
          </w:p>
        </w:tc>
        <w:tc>
          <w:tcPr>
            <w:tcW w:w="42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0"/>
                <w:szCs w:val="10"/>
                <w:color w:val="auto"/>
              </w:rPr>
              <w:t>79</w:t>
            </w:r>
          </w:p>
        </w:tc>
        <w:tc>
          <w:tcPr>
            <w:tcW w:w="60" w:type="dxa"/>
            <w:vAlign w:val="bottom"/>
            <w:tcBorders>
              <w:bottom w:val="single" w:sz="8" w:color="CCEEFF"/>
            </w:tcBorders>
          </w:tcPr>
          <w:p>
            <w:pPr>
              <w:spacing w:after="0"/>
              <w:rPr>
                <w:sz w:val="13"/>
                <w:szCs w:val="13"/>
                <w:color w:val="auto"/>
              </w:rPr>
            </w:pPr>
          </w:p>
        </w:tc>
        <w:tc>
          <w:tcPr>
            <w:tcW w:w="120" w:type="dxa"/>
            <w:vAlign w:val="bottom"/>
            <w:tcBorders>
              <w:top w:val="single" w:sz="8" w:color="auto"/>
              <w:bottom w:val="single" w:sz="8" w:color="auto"/>
            </w:tcBorders>
          </w:tcPr>
          <w:p>
            <w:pPr>
              <w:spacing w:after="0"/>
              <w:rPr>
                <w:sz w:val="13"/>
                <w:szCs w:val="13"/>
                <w:color w:val="auto"/>
              </w:rPr>
            </w:pPr>
          </w:p>
        </w:tc>
        <w:tc>
          <w:tcPr>
            <w:tcW w:w="42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0"/>
                <w:szCs w:val="10"/>
                <w:color w:val="auto"/>
              </w:rPr>
              <w:t>106</w:t>
            </w:r>
          </w:p>
        </w:tc>
        <w:tc>
          <w:tcPr>
            <w:tcW w:w="0" w:type="dxa"/>
            <w:vAlign w:val="bottom"/>
          </w:tcPr>
          <w:p>
            <w:pPr>
              <w:spacing w:after="0"/>
              <w:rPr>
                <w:sz w:val="1"/>
                <w:szCs w:val="1"/>
                <w:color w:val="auto"/>
              </w:rPr>
            </w:pPr>
          </w:p>
        </w:tc>
      </w:tr>
      <w:tr>
        <w:trPr>
          <w:trHeight w:val="164"/>
        </w:trPr>
        <w:tc>
          <w:tcPr>
            <w:tcW w:w="3800" w:type="dxa"/>
            <w:vAlign w:val="bottom"/>
            <w:shd w:val="clear" w:color="auto" w:fill="CCEEFF"/>
          </w:tcPr>
          <w:p>
            <w:pPr>
              <w:spacing w:after="0"/>
              <w:rPr>
                <w:sz w:val="20"/>
                <w:szCs w:val="20"/>
                <w:color w:val="auto"/>
              </w:rPr>
            </w:pPr>
            <w:r>
              <w:rPr>
                <w:rFonts w:ascii="Arial" w:cs="Arial" w:eastAsia="Arial" w:hAnsi="Arial"/>
                <w:sz w:val="10"/>
                <w:szCs w:val="10"/>
                <w:color w:val="auto"/>
              </w:rPr>
              <w:t>Net spread and dollar roll income</w:t>
            </w:r>
          </w:p>
        </w:tc>
        <w:tc>
          <w:tcPr>
            <w:tcW w:w="100" w:type="dxa"/>
            <w:vAlign w:val="bottom"/>
            <w:shd w:val="clear" w:color="auto" w:fill="CCEEFF"/>
          </w:tcPr>
          <w:p>
            <w:pPr>
              <w:spacing w:after="0"/>
              <w:rPr>
                <w:sz w:val="14"/>
                <w:szCs w:val="14"/>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211</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151</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498</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641</w:t>
            </w:r>
          </w:p>
        </w:tc>
        <w:tc>
          <w:tcPr>
            <w:tcW w:w="0" w:type="dxa"/>
            <w:vAlign w:val="bottom"/>
          </w:tcPr>
          <w:p>
            <w:pPr>
              <w:spacing w:after="0"/>
              <w:rPr>
                <w:sz w:val="1"/>
                <w:szCs w:val="1"/>
                <w:color w:val="auto"/>
              </w:rPr>
            </w:pPr>
          </w:p>
        </w:tc>
      </w:tr>
      <w:tr>
        <w:trPr>
          <w:trHeight w:val="176"/>
        </w:trPr>
        <w:tc>
          <w:tcPr>
            <w:tcW w:w="3800" w:type="dxa"/>
            <w:vAlign w:val="bottom"/>
            <w:tcBorders>
              <w:bottom w:val="single" w:sz="8" w:color="CCEEFF"/>
            </w:tcBorders>
          </w:tcPr>
          <w:p>
            <w:pPr>
              <w:ind w:left="100"/>
              <w:spacing w:after="0"/>
              <w:rPr>
                <w:sz w:val="20"/>
                <w:szCs w:val="20"/>
                <w:color w:val="auto"/>
              </w:rPr>
            </w:pPr>
            <w:r>
              <w:rPr>
                <w:rFonts w:ascii="Arial" w:cs="Arial" w:eastAsia="Arial" w:hAnsi="Arial"/>
                <w:sz w:val="10"/>
                <w:szCs w:val="10"/>
                <w:color w:val="auto"/>
              </w:rPr>
              <w:t>Dividend on preferred stock</w:t>
            </w:r>
          </w:p>
        </w:tc>
        <w:tc>
          <w:tcPr>
            <w:tcW w:w="10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7</w:t>
            </w:r>
          </w:p>
        </w:tc>
        <w:tc>
          <w:tcPr>
            <w:tcW w:w="8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7</w:t>
            </w:r>
          </w:p>
        </w:tc>
        <w:tc>
          <w:tcPr>
            <w:tcW w:w="8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21</w:t>
            </w:r>
          </w:p>
        </w:tc>
        <w:tc>
          <w:tcPr>
            <w:tcW w:w="60" w:type="dxa"/>
            <w:vAlign w:val="bottom"/>
            <w:tcBorders>
              <w:bottom w:val="single" w:sz="8" w:color="CCEEFF"/>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21</w:t>
            </w:r>
          </w:p>
        </w:tc>
        <w:tc>
          <w:tcPr>
            <w:tcW w:w="0" w:type="dxa"/>
            <w:vAlign w:val="bottom"/>
          </w:tcPr>
          <w:p>
            <w:pPr>
              <w:spacing w:after="0"/>
              <w:rPr>
                <w:sz w:val="1"/>
                <w:szCs w:val="1"/>
                <w:color w:val="auto"/>
              </w:rPr>
            </w:pPr>
          </w:p>
        </w:tc>
      </w:tr>
      <w:tr>
        <w:trPr>
          <w:trHeight w:val="164"/>
        </w:trPr>
        <w:tc>
          <w:tcPr>
            <w:tcW w:w="3800" w:type="dxa"/>
            <w:vAlign w:val="bottom"/>
            <w:shd w:val="clear" w:color="auto" w:fill="CCEEFF"/>
          </w:tcPr>
          <w:p>
            <w:pPr>
              <w:spacing w:after="0"/>
              <w:rPr>
                <w:sz w:val="20"/>
                <w:szCs w:val="20"/>
                <w:color w:val="auto"/>
              </w:rPr>
            </w:pPr>
            <w:r>
              <w:rPr>
                <w:rFonts w:ascii="Arial" w:cs="Arial" w:eastAsia="Arial" w:hAnsi="Arial"/>
                <w:sz w:val="10"/>
                <w:szCs w:val="10"/>
                <w:color w:val="auto"/>
              </w:rPr>
              <w:t>Net spread and dollar roll income available to common stockholders</w:t>
            </w:r>
          </w:p>
        </w:tc>
        <w:tc>
          <w:tcPr>
            <w:tcW w:w="100" w:type="dxa"/>
            <w:vAlign w:val="bottom"/>
            <w:shd w:val="clear" w:color="auto" w:fill="CCEEFF"/>
          </w:tcPr>
          <w:p>
            <w:pPr>
              <w:spacing w:after="0"/>
              <w:rPr>
                <w:sz w:val="14"/>
                <w:szCs w:val="14"/>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204</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144</w:t>
            </w: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477</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620</w:t>
            </w:r>
          </w:p>
        </w:tc>
        <w:tc>
          <w:tcPr>
            <w:tcW w:w="0" w:type="dxa"/>
            <w:vAlign w:val="bottom"/>
          </w:tcPr>
          <w:p>
            <w:pPr>
              <w:spacing w:after="0"/>
              <w:rPr>
                <w:sz w:val="1"/>
                <w:szCs w:val="1"/>
                <w:color w:val="auto"/>
              </w:rPr>
            </w:pPr>
          </w:p>
        </w:tc>
      </w:tr>
      <w:tr>
        <w:trPr>
          <w:trHeight w:val="176"/>
        </w:trPr>
        <w:tc>
          <w:tcPr>
            <w:tcW w:w="3800" w:type="dxa"/>
            <w:vAlign w:val="bottom"/>
            <w:tcBorders>
              <w:bottom w:val="single" w:sz="8" w:color="CCEEFF"/>
            </w:tcBorders>
          </w:tcPr>
          <w:p>
            <w:pPr>
              <w:ind w:left="100"/>
              <w:spacing w:after="0"/>
              <w:rPr>
                <w:sz w:val="20"/>
                <w:szCs w:val="20"/>
                <w:color w:val="auto"/>
              </w:rPr>
            </w:pPr>
            <w:r>
              <w:rPr>
                <w:rFonts w:ascii="Arial" w:cs="Arial" w:eastAsia="Arial" w:hAnsi="Arial"/>
                <w:sz w:val="10"/>
                <w:szCs w:val="10"/>
                <w:color w:val="auto"/>
              </w:rPr>
              <w:t>Estimated "catch-up" premium amortization cost due to change in CPR forecast</w:t>
            </w:r>
          </w:p>
        </w:tc>
        <w:tc>
          <w:tcPr>
            <w:tcW w:w="10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8</w:t>
            </w:r>
          </w:p>
        </w:tc>
        <w:tc>
          <w:tcPr>
            <w:tcW w:w="8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33</w:t>
            </w:r>
          </w:p>
        </w:tc>
        <w:tc>
          <w:tcPr>
            <w:tcW w:w="80" w:type="dxa"/>
            <w:vAlign w:val="bottom"/>
            <w:tcBorders>
              <w:bottom w:val="single" w:sz="8" w:color="CCEEFF"/>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95</w:t>
            </w:r>
          </w:p>
        </w:tc>
        <w:tc>
          <w:tcPr>
            <w:tcW w:w="60" w:type="dxa"/>
            <w:vAlign w:val="bottom"/>
            <w:tcBorders>
              <w:bottom w:val="single" w:sz="8" w:color="CCEEFF"/>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15</w:t>
            </w:r>
          </w:p>
        </w:tc>
        <w:tc>
          <w:tcPr>
            <w:tcW w:w="0" w:type="dxa"/>
            <w:vAlign w:val="bottom"/>
          </w:tcPr>
          <w:p>
            <w:pPr>
              <w:spacing w:after="0"/>
              <w:rPr>
                <w:sz w:val="1"/>
                <w:szCs w:val="1"/>
                <w:color w:val="auto"/>
              </w:rPr>
            </w:pPr>
          </w:p>
        </w:tc>
      </w:tr>
      <w:tr>
        <w:trPr>
          <w:trHeight w:val="89"/>
        </w:trPr>
        <w:tc>
          <w:tcPr>
            <w:tcW w:w="3800" w:type="dxa"/>
            <w:vAlign w:val="bottom"/>
            <w:shd w:val="clear" w:color="auto" w:fill="CCEEFF"/>
          </w:tcPr>
          <w:p>
            <w:pPr>
              <w:spacing w:after="0" w:line="89" w:lineRule="exact"/>
              <w:rPr>
                <w:sz w:val="20"/>
                <w:szCs w:val="20"/>
                <w:color w:val="auto"/>
              </w:rPr>
            </w:pPr>
            <w:r>
              <w:rPr>
                <w:rFonts w:ascii="Arial" w:cs="Arial" w:eastAsia="Arial" w:hAnsi="Arial"/>
                <w:sz w:val="10"/>
                <w:szCs w:val="10"/>
                <w:color w:val="auto"/>
                <w:w w:val="95"/>
              </w:rPr>
              <w:t>Net spread and dollar roll income, excluding "catch-up" premium amortization, available to</w:t>
            </w: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vMerge w:val="restart"/>
            <w:shd w:val="clear" w:color="auto" w:fill="CCEEFF"/>
          </w:tcPr>
          <w:p>
            <w:pPr>
              <w:jc w:val="right"/>
              <w:ind w:right="12"/>
              <w:spacing w:after="0"/>
              <w:rPr>
                <w:sz w:val="20"/>
                <w:szCs w:val="20"/>
                <w:color w:val="auto"/>
              </w:rPr>
            </w:pPr>
            <w:r>
              <w:rPr>
                <w:rFonts w:ascii="Arial" w:cs="Arial" w:eastAsia="Arial" w:hAnsi="Arial"/>
                <w:sz w:val="10"/>
                <w:szCs w:val="10"/>
                <w:color w:val="auto"/>
              </w:rPr>
              <w:t>212</w:t>
            </w:r>
          </w:p>
        </w:tc>
        <w:tc>
          <w:tcPr>
            <w:tcW w:w="80" w:type="dxa"/>
            <w:vAlign w:val="bottom"/>
            <w:shd w:val="clear" w:color="auto" w:fill="CCEEFF"/>
          </w:tcPr>
          <w:p>
            <w:pPr>
              <w:spacing w:after="0"/>
              <w:rPr>
                <w:sz w:val="7"/>
                <w:szCs w:val="7"/>
                <w:color w:val="auto"/>
              </w:rPr>
            </w:pP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vMerge w:val="restart"/>
            <w:shd w:val="clear" w:color="auto" w:fill="CCEEFF"/>
          </w:tcPr>
          <w:p>
            <w:pPr>
              <w:jc w:val="right"/>
              <w:ind w:right="12"/>
              <w:spacing w:after="0"/>
              <w:rPr>
                <w:sz w:val="20"/>
                <w:szCs w:val="20"/>
                <w:color w:val="auto"/>
              </w:rPr>
            </w:pPr>
            <w:r>
              <w:rPr>
                <w:rFonts w:ascii="Arial" w:cs="Arial" w:eastAsia="Arial" w:hAnsi="Arial"/>
                <w:sz w:val="10"/>
                <w:szCs w:val="10"/>
                <w:color w:val="auto"/>
              </w:rPr>
              <w:t>177</w:t>
            </w:r>
          </w:p>
        </w:tc>
        <w:tc>
          <w:tcPr>
            <w:tcW w:w="80" w:type="dxa"/>
            <w:vAlign w:val="bottom"/>
            <w:shd w:val="clear" w:color="auto" w:fill="CCEEFF"/>
          </w:tcPr>
          <w:p>
            <w:pPr>
              <w:spacing w:after="0"/>
              <w:rPr>
                <w:sz w:val="7"/>
                <w:szCs w:val="7"/>
                <w:color w:val="auto"/>
              </w:rPr>
            </w:pP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vMerge w:val="restart"/>
            <w:shd w:val="clear" w:color="auto" w:fill="CCEEFF"/>
          </w:tcPr>
          <w:p>
            <w:pPr>
              <w:jc w:val="right"/>
              <w:ind w:right="12"/>
              <w:spacing w:after="0"/>
              <w:rPr>
                <w:sz w:val="20"/>
                <w:szCs w:val="20"/>
                <w:color w:val="auto"/>
              </w:rPr>
            </w:pPr>
            <w:r>
              <w:rPr>
                <w:rFonts w:ascii="Arial" w:cs="Arial" w:eastAsia="Arial" w:hAnsi="Arial"/>
                <w:sz w:val="10"/>
                <w:szCs w:val="10"/>
                <w:color w:val="auto"/>
              </w:rPr>
              <w:t>572</w:t>
            </w:r>
          </w:p>
        </w:tc>
        <w:tc>
          <w:tcPr>
            <w:tcW w:w="60" w:type="dxa"/>
            <w:vAlign w:val="bottom"/>
            <w:shd w:val="clear" w:color="auto" w:fill="CCEEFF"/>
          </w:tcPr>
          <w:p>
            <w:pPr>
              <w:spacing w:after="0"/>
              <w:rPr>
                <w:sz w:val="7"/>
                <w:szCs w:val="7"/>
                <w:color w:val="auto"/>
              </w:rPr>
            </w:pPr>
          </w:p>
        </w:tc>
        <w:tc>
          <w:tcPr>
            <w:tcW w:w="12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420" w:type="dxa"/>
            <w:vAlign w:val="bottom"/>
            <w:vMerge w:val="restart"/>
            <w:shd w:val="clear" w:color="auto" w:fill="CCEEFF"/>
          </w:tcPr>
          <w:p>
            <w:pPr>
              <w:jc w:val="right"/>
              <w:ind w:right="12"/>
              <w:spacing w:after="0"/>
              <w:rPr>
                <w:sz w:val="20"/>
                <w:szCs w:val="20"/>
                <w:color w:val="auto"/>
              </w:rPr>
            </w:pPr>
            <w:r>
              <w:rPr>
                <w:rFonts w:ascii="Arial" w:cs="Arial" w:eastAsia="Arial" w:hAnsi="Arial"/>
                <w:sz w:val="10"/>
                <w:szCs w:val="10"/>
                <w:color w:val="auto"/>
              </w:rPr>
              <w:t>635</w:t>
            </w:r>
          </w:p>
        </w:tc>
        <w:tc>
          <w:tcPr>
            <w:tcW w:w="0" w:type="dxa"/>
            <w:vAlign w:val="bottom"/>
          </w:tcPr>
          <w:p>
            <w:pPr>
              <w:spacing w:after="0"/>
              <w:rPr>
                <w:sz w:val="1"/>
                <w:szCs w:val="1"/>
                <w:color w:val="auto"/>
              </w:rPr>
            </w:pPr>
          </w:p>
        </w:tc>
      </w:tr>
      <w:tr>
        <w:trPr>
          <w:trHeight w:val="128"/>
        </w:trPr>
        <w:tc>
          <w:tcPr>
            <w:tcW w:w="380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common stockholders</w:t>
            </w:r>
          </w:p>
        </w:tc>
        <w:tc>
          <w:tcPr>
            <w:tcW w:w="100" w:type="dxa"/>
            <w:vAlign w:val="bottom"/>
            <w:tcBorders>
              <w:bottom w:val="single" w:sz="8" w:color="auto"/>
            </w:tcBorders>
            <w:vMerge w:val="continue"/>
            <w:shd w:val="clear" w:color="auto" w:fill="CCEEFF"/>
          </w:tcPr>
          <w:p>
            <w:pPr>
              <w:spacing w:after="0"/>
              <w:rPr>
                <w:sz w:val="11"/>
                <w:szCs w:val="11"/>
                <w:color w:val="auto"/>
              </w:rPr>
            </w:pPr>
          </w:p>
        </w:tc>
        <w:tc>
          <w:tcPr>
            <w:tcW w:w="420" w:type="dxa"/>
            <w:vAlign w:val="bottom"/>
            <w:tcBorders>
              <w:bottom w:val="single" w:sz="8" w:color="auto"/>
            </w:tcBorders>
            <w:vMerge w:val="continue"/>
            <w:shd w:val="clear" w:color="auto" w:fill="CCEEFF"/>
          </w:tcPr>
          <w:p>
            <w:pPr>
              <w:spacing w:after="0"/>
              <w:rPr>
                <w:sz w:val="11"/>
                <w:szCs w:val="11"/>
                <w:color w:val="auto"/>
              </w:rPr>
            </w:pPr>
          </w:p>
        </w:tc>
        <w:tc>
          <w:tcPr>
            <w:tcW w:w="80" w:type="dxa"/>
            <w:vAlign w:val="bottom"/>
            <w:tcBorders>
              <w:bottom w:val="single" w:sz="8" w:color="CCEEFF"/>
            </w:tcBorders>
            <w:shd w:val="clear" w:color="auto" w:fill="CCEEFF"/>
          </w:tcPr>
          <w:p>
            <w:pPr>
              <w:spacing w:after="0"/>
              <w:rPr>
                <w:sz w:val="11"/>
                <w:szCs w:val="11"/>
                <w:color w:val="auto"/>
              </w:rPr>
            </w:pPr>
          </w:p>
        </w:tc>
        <w:tc>
          <w:tcPr>
            <w:tcW w:w="100" w:type="dxa"/>
            <w:vAlign w:val="bottom"/>
            <w:tcBorders>
              <w:bottom w:val="single" w:sz="8" w:color="auto"/>
            </w:tcBorders>
            <w:vMerge w:val="continue"/>
            <w:shd w:val="clear" w:color="auto" w:fill="CCEEFF"/>
          </w:tcPr>
          <w:p>
            <w:pPr>
              <w:spacing w:after="0"/>
              <w:rPr>
                <w:sz w:val="11"/>
                <w:szCs w:val="11"/>
                <w:color w:val="auto"/>
              </w:rPr>
            </w:pPr>
          </w:p>
        </w:tc>
        <w:tc>
          <w:tcPr>
            <w:tcW w:w="420" w:type="dxa"/>
            <w:vAlign w:val="bottom"/>
            <w:tcBorders>
              <w:bottom w:val="single" w:sz="8" w:color="auto"/>
            </w:tcBorders>
            <w:vMerge w:val="continue"/>
            <w:shd w:val="clear" w:color="auto" w:fill="CCEEFF"/>
          </w:tcPr>
          <w:p>
            <w:pPr>
              <w:spacing w:after="0"/>
              <w:rPr>
                <w:sz w:val="11"/>
                <w:szCs w:val="11"/>
                <w:color w:val="auto"/>
              </w:rPr>
            </w:pPr>
          </w:p>
        </w:tc>
        <w:tc>
          <w:tcPr>
            <w:tcW w:w="80" w:type="dxa"/>
            <w:vAlign w:val="bottom"/>
            <w:tcBorders>
              <w:bottom w:val="single" w:sz="8" w:color="CCEEFF"/>
            </w:tcBorders>
            <w:shd w:val="clear" w:color="auto" w:fill="CCEEFF"/>
          </w:tcPr>
          <w:p>
            <w:pPr>
              <w:spacing w:after="0"/>
              <w:rPr>
                <w:sz w:val="11"/>
                <w:szCs w:val="11"/>
                <w:color w:val="auto"/>
              </w:rPr>
            </w:pPr>
          </w:p>
        </w:tc>
        <w:tc>
          <w:tcPr>
            <w:tcW w:w="100" w:type="dxa"/>
            <w:vAlign w:val="bottom"/>
            <w:tcBorders>
              <w:bottom w:val="single" w:sz="8" w:color="auto"/>
            </w:tcBorders>
            <w:vMerge w:val="continue"/>
            <w:shd w:val="clear" w:color="auto" w:fill="CCEEFF"/>
          </w:tcPr>
          <w:p>
            <w:pPr>
              <w:spacing w:after="0"/>
              <w:rPr>
                <w:sz w:val="11"/>
                <w:szCs w:val="11"/>
                <w:color w:val="auto"/>
              </w:rPr>
            </w:pPr>
          </w:p>
        </w:tc>
        <w:tc>
          <w:tcPr>
            <w:tcW w:w="420" w:type="dxa"/>
            <w:vAlign w:val="bottom"/>
            <w:tcBorders>
              <w:bottom w:val="single" w:sz="8" w:color="auto"/>
            </w:tcBorders>
            <w:vMerge w:val="continue"/>
            <w:shd w:val="clear" w:color="auto" w:fill="CCEEFF"/>
          </w:tcPr>
          <w:p>
            <w:pPr>
              <w:spacing w:after="0"/>
              <w:rPr>
                <w:sz w:val="11"/>
                <w:szCs w:val="11"/>
                <w:color w:val="auto"/>
              </w:rPr>
            </w:pPr>
          </w:p>
        </w:tc>
        <w:tc>
          <w:tcPr>
            <w:tcW w:w="60" w:type="dxa"/>
            <w:vAlign w:val="bottom"/>
            <w:tcBorders>
              <w:bottom w:val="single" w:sz="8" w:color="CCEEFF"/>
            </w:tcBorders>
            <w:shd w:val="clear" w:color="auto" w:fill="CCEEFF"/>
          </w:tcPr>
          <w:p>
            <w:pPr>
              <w:spacing w:after="0"/>
              <w:rPr>
                <w:sz w:val="11"/>
                <w:szCs w:val="11"/>
                <w:color w:val="auto"/>
              </w:rPr>
            </w:pPr>
          </w:p>
        </w:tc>
        <w:tc>
          <w:tcPr>
            <w:tcW w:w="120" w:type="dxa"/>
            <w:vAlign w:val="bottom"/>
            <w:tcBorders>
              <w:bottom w:val="single" w:sz="8" w:color="auto"/>
            </w:tcBorders>
            <w:vMerge w:val="continue"/>
            <w:shd w:val="clear" w:color="auto" w:fill="CCEEFF"/>
          </w:tcPr>
          <w:p>
            <w:pPr>
              <w:spacing w:after="0"/>
              <w:rPr>
                <w:sz w:val="11"/>
                <w:szCs w:val="11"/>
                <w:color w:val="auto"/>
              </w:rPr>
            </w:pPr>
          </w:p>
        </w:tc>
        <w:tc>
          <w:tcPr>
            <w:tcW w:w="420" w:type="dxa"/>
            <w:vAlign w:val="bottom"/>
            <w:tcBorders>
              <w:bottom w:val="single" w:sz="8" w:color="auto"/>
            </w:tcBorders>
            <w:vMerge w:val="continue"/>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89"/>
        </w:trPr>
        <w:tc>
          <w:tcPr>
            <w:tcW w:w="38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8"/>
        </w:trPr>
        <w:tc>
          <w:tcPr>
            <w:tcW w:w="380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Weighted average number of common shares outstanding - basic and diluted</w:t>
            </w:r>
          </w:p>
        </w:tc>
        <w:tc>
          <w:tcPr>
            <w:tcW w:w="100" w:type="dxa"/>
            <w:vAlign w:val="bottom"/>
            <w:tcBorders>
              <w:bottom w:val="single" w:sz="8" w:color="auto"/>
            </w:tcBorders>
            <w:shd w:val="clear" w:color="auto" w:fill="CCEEFF"/>
          </w:tcPr>
          <w:p>
            <w:pPr>
              <w:spacing w:after="0"/>
              <w:rPr>
                <w:sz w:val="15"/>
                <w:szCs w:val="15"/>
                <w:color w:val="auto"/>
              </w:rPr>
            </w:pPr>
          </w:p>
        </w:tc>
        <w:tc>
          <w:tcPr>
            <w:tcW w:w="4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331.0</w:t>
            </w:r>
          </w:p>
        </w:tc>
        <w:tc>
          <w:tcPr>
            <w:tcW w:w="8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4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347.8</w:t>
            </w:r>
          </w:p>
        </w:tc>
        <w:tc>
          <w:tcPr>
            <w:tcW w:w="8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4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332.1</w:t>
            </w:r>
          </w:p>
        </w:tc>
        <w:tc>
          <w:tcPr>
            <w:tcW w:w="60" w:type="dxa"/>
            <w:vAlign w:val="bottom"/>
            <w:tcBorders>
              <w:bottom w:val="single" w:sz="8" w:color="CCEEFF"/>
            </w:tcBorders>
            <w:shd w:val="clear" w:color="auto" w:fill="CCEEFF"/>
          </w:tcPr>
          <w:p>
            <w:pPr>
              <w:spacing w:after="0"/>
              <w:rPr>
                <w:sz w:val="15"/>
                <w:szCs w:val="15"/>
                <w:color w:val="auto"/>
              </w:rPr>
            </w:pPr>
          </w:p>
        </w:tc>
        <w:tc>
          <w:tcPr>
            <w:tcW w:w="120" w:type="dxa"/>
            <w:vAlign w:val="bottom"/>
            <w:tcBorders>
              <w:bottom w:val="single" w:sz="8" w:color="auto"/>
            </w:tcBorders>
            <w:shd w:val="clear" w:color="auto" w:fill="CCEEFF"/>
          </w:tcPr>
          <w:p>
            <w:pPr>
              <w:spacing w:after="0"/>
              <w:rPr>
                <w:sz w:val="15"/>
                <w:szCs w:val="15"/>
                <w:color w:val="auto"/>
              </w:rPr>
            </w:pPr>
          </w:p>
        </w:tc>
        <w:tc>
          <w:tcPr>
            <w:tcW w:w="4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350.9</w:t>
            </w:r>
          </w:p>
        </w:tc>
        <w:tc>
          <w:tcPr>
            <w:tcW w:w="0" w:type="dxa"/>
            <w:vAlign w:val="bottom"/>
          </w:tcPr>
          <w:p>
            <w:pPr>
              <w:spacing w:after="0"/>
              <w:rPr>
                <w:sz w:val="1"/>
                <w:szCs w:val="1"/>
                <w:color w:val="auto"/>
              </w:rPr>
            </w:pPr>
          </w:p>
        </w:tc>
      </w:tr>
      <w:tr>
        <w:trPr>
          <w:trHeight w:val="160"/>
        </w:trPr>
        <w:tc>
          <w:tcPr>
            <w:tcW w:w="380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Net spread and dollar roll income per common share - basic and diluted</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0.62</w:t>
            </w:r>
          </w:p>
        </w:tc>
        <w:tc>
          <w:tcPr>
            <w:tcW w:w="80" w:type="dxa"/>
            <w:vAlign w:val="bottom"/>
            <w:tcBorders>
              <w:bottom w:val="single" w:sz="8" w:color="CCEEFF"/>
            </w:tcBorders>
          </w:tcPr>
          <w:p>
            <w:pPr>
              <w:spacing w:after="0"/>
              <w:rPr>
                <w:sz w:val="13"/>
                <w:szCs w:val="13"/>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0.41</w:t>
            </w:r>
          </w:p>
        </w:tc>
        <w:tc>
          <w:tcPr>
            <w:tcW w:w="80" w:type="dxa"/>
            <w:vAlign w:val="bottom"/>
            <w:tcBorders>
              <w:bottom w:val="single" w:sz="8" w:color="CCEEFF"/>
            </w:tcBorders>
          </w:tcPr>
          <w:p>
            <w:pPr>
              <w:spacing w:after="0"/>
              <w:rPr>
                <w:sz w:val="13"/>
                <w:szCs w:val="13"/>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1.44</w:t>
            </w:r>
          </w:p>
        </w:tc>
        <w:tc>
          <w:tcPr>
            <w:tcW w:w="6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w:t>
            </w: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1.77</w:t>
            </w:r>
          </w:p>
        </w:tc>
        <w:tc>
          <w:tcPr>
            <w:tcW w:w="0" w:type="dxa"/>
            <w:vAlign w:val="bottom"/>
          </w:tcPr>
          <w:p>
            <w:pPr>
              <w:spacing w:after="0"/>
              <w:rPr>
                <w:sz w:val="1"/>
                <w:szCs w:val="1"/>
                <w:color w:val="auto"/>
              </w:rPr>
            </w:pPr>
          </w:p>
        </w:tc>
      </w:tr>
      <w:tr>
        <w:trPr>
          <w:trHeight w:val="87"/>
        </w:trPr>
        <w:tc>
          <w:tcPr>
            <w:tcW w:w="3800" w:type="dxa"/>
            <w:vAlign w:val="bottom"/>
            <w:shd w:val="clear" w:color="auto" w:fill="CCEEFF"/>
          </w:tcPr>
          <w:p>
            <w:pPr>
              <w:spacing w:after="0" w:line="87" w:lineRule="exact"/>
              <w:rPr>
                <w:sz w:val="20"/>
                <w:szCs w:val="20"/>
                <w:color w:val="auto"/>
              </w:rPr>
            </w:pPr>
            <w:r>
              <w:rPr>
                <w:rFonts w:ascii="Arial" w:cs="Arial" w:eastAsia="Arial" w:hAnsi="Arial"/>
                <w:sz w:val="10"/>
                <w:szCs w:val="10"/>
                <w:color w:val="auto"/>
                <w:w w:val="93"/>
              </w:rPr>
              <w:t>Net spread and dollar roll income, excluding "catch-up" premium amortization, per common</w:t>
            </w: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vMerge w:val="restart"/>
            <w:shd w:val="clear" w:color="auto" w:fill="CCEEFF"/>
          </w:tcPr>
          <w:p>
            <w:pPr>
              <w:jc w:val="right"/>
              <w:ind w:right="12"/>
              <w:spacing w:after="0"/>
              <w:rPr>
                <w:sz w:val="20"/>
                <w:szCs w:val="20"/>
                <w:color w:val="auto"/>
              </w:rPr>
            </w:pPr>
            <w:r>
              <w:rPr>
                <w:rFonts w:ascii="Arial" w:cs="Arial" w:eastAsia="Arial" w:hAnsi="Arial"/>
                <w:sz w:val="10"/>
                <w:szCs w:val="10"/>
                <w:color w:val="auto"/>
              </w:rPr>
              <w:t>0.64</w:t>
            </w:r>
          </w:p>
        </w:tc>
        <w:tc>
          <w:tcPr>
            <w:tcW w:w="80" w:type="dxa"/>
            <w:vAlign w:val="bottom"/>
            <w:shd w:val="clear" w:color="auto" w:fill="CCEEFF"/>
          </w:tcPr>
          <w:p>
            <w:pPr>
              <w:spacing w:after="0"/>
              <w:rPr>
                <w:sz w:val="7"/>
                <w:szCs w:val="7"/>
                <w:color w:val="auto"/>
              </w:rPr>
            </w:pP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vMerge w:val="restart"/>
            <w:shd w:val="clear" w:color="auto" w:fill="CCEEFF"/>
          </w:tcPr>
          <w:p>
            <w:pPr>
              <w:jc w:val="right"/>
              <w:ind w:right="12"/>
              <w:spacing w:after="0"/>
              <w:rPr>
                <w:sz w:val="20"/>
                <w:szCs w:val="20"/>
                <w:color w:val="auto"/>
              </w:rPr>
            </w:pPr>
            <w:r>
              <w:rPr>
                <w:rFonts w:ascii="Arial" w:cs="Arial" w:eastAsia="Arial" w:hAnsi="Arial"/>
                <w:sz w:val="10"/>
                <w:szCs w:val="10"/>
                <w:color w:val="auto"/>
              </w:rPr>
              <w:t>0.51</w:t>
            </w:r>
          </w:p>
        </w:tc>
        <w:tc>
          <w:tcPr>
            <w:tcW w:w="80" w:type="dxa"/>
            <w:vAlign w:val="bottom"/>
            <w:shd w:val="clear" w:color="auto" w:fill="CCEEFF"/>
          </w:tcPr>
          <w:p>
            <w:pPr>
              <w:spacing w:after="0"/>
              <w:rPr>
                <w:sz w:val="7"/>
                <w:szCs w:val="7"/>
                <w:color w:val="auto"/>
              </w:rPr>
            </w:pPr>
          </w:p>
        </w:tc>
        <w:tc>
          <w:tcPr>
            <w:tcW w:w="1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vMerge w:val="restart"/>
            <w:shd w:val="clear" w:color="auto" w:fill="CCEEFF"/>
          </w:tcPr>
          <w:p>
            <w:pPr>
              <w:jc w:val="right"/>
              <w:ind w:right="12"/>
              <w:spacing w:after="0"/>
              <w:rPr>
                <w:sz w:val="20"/>
                <w:szCs w:val="20"/>
                <w:color w:val="auto"/>
              </w:rPr>
            </w:pPr>
            <w:r>
              <w:rPr>
                <w:rFonts w:ascii="Arial" w:cs="Arial" w:eastAsia="Arial" w:hAnsi="Arial"/>
                <w:sz w:val="10"/>
                <w:szCs w:val="10"/>
                <w:color w:val="auto"/>
              </w:rPr>
              <w:t>1.72</w:t>
            </w:r>
          </w:p>
        </w:tc>
        <w:tc>
          <w:tcPr>
            <w:tcW w:w="60" w:type="dxa"/>
            <w:vAlign w:val="bottom"/>
            <w:shd w:val="clear" w:color="auto" w:fill="CCEEFF"/>
          </w:tcPr>
          <w:p>
            <w:pPr>
              <w:spacing w:after="0"/>
              <w:rPr>
                <w:sz w:val="7"/>
                <w:szCs w:val="7"/>
                <w:color w:val="auto"/>
              </w:rPr>
            </w:pPr>
          </w:p>
        </w:tc>
        <w:tc>
          <w:tcPr>
            <w:tcW w:w="12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420" w:type="dxa"/>
            <w:vAlign w:val="bottom"/>
            <w:vMerge w:val="restart"/>
            <w:shd w:val="clear" w:color="auto" w:fill="CCEEFF"/>
          </w:tcPr>
          <w:p>
            <w:pPr>
              <w:jc w:val="right"/>
              <w:ind w:right="12"/>
              <w:spacing w:after="0"/>
              <w:rPr>
                <w:sz w:val="20"/>
                <w:szCs w:val="20"/>
                <w:color w:val="auto"/>
              </w:rPr>
            </w:pPr>
            <w:r>
              <w:rPr>
                <w:rFonts w:ascii="Arial" w:cs="Arial" w:eastAsia="Arial" w:hAnsi="Arial"/>
                <w:sz w:val="10"/>
                <w:szCs w:val="10"/>
                <w:color w:val="auto"/>
              </w:rPr>
              <w:t>1.81</w:t>
            </w:r>
          </w:p>
        </w:tc>
        <w:tc>
          <w:tcPr>
            <w:tcW w:w="0" w:type="dxa"/>
            <w:vAlign w:val="bottom"/>
          </w:tcPr>
          <w:p>
            <w:pPr>
              <w:spacing w:after="0"/>
              <w:rPr>
                <w:sz w:val="1"/>
                <w:szCs w:val="1"/>
                <w:color w:val="auto"/>
              </w:rPr>
            </w:pPr>
          </w:p>
        </w:tc>
      </w:tr>
      <w:tr>
        <w:trPr>
          <w:trHeight w:val="121"/>
        </w:trPr>
        <w:tc>
          <w:tcPr>
            <w:tcW w:w="380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share - basic and diluted</w:t>
            </w:r>
          </w:p>
        </w:tc>
        <w:tc>
          <w:tcPr>
            <w:tcW w:w="100" w:type="dxa"/>
            <w:vAlign w:val="bottom"/>
            <w:tcBorders>
              <w:bottom w:val="single" w:sz="8" w:color="auto"/>
            </w:tcBorders>
            <w:vMerge w:val="continue"/>
            <w:shd w:val="clear" w:color="auto" w:fill="CCEEFF"/>
          </w:tcPr>
          <w:p>
            <w:pPr>
              <w:spacing w:after="0"/>
              <w:rPr>
                <w:sz w:val="10"/>
                <w:szCs w:val="10"/>
                <w:color w:val="auto"/>
              </w:rPr>
            </w:pPr>
          </w:p>
        </w:tc>
        <w:tc>
          <w:tcPr>
            <w:tcW w:w="420" w:type="dxa"/>
            <w:vAlign w:val="bottom"/>
            <w:tcBorders>
              <w:bottom w:val="single" w:sz="8" w:color="auto"/>
            </w:tcBorders>
            <w:vMerge w:val="continue"/>
            <w:shd w:val="clear" w:color="auto" w:fill="CCEEFF"/>
          </w:tcPr>
          <w:p>
            <w:pPr>
              <w:spacing w:after="0"/>
              <w:rPr>
                <w:sz w:val="10"/>
                <w:szCs w:val="10"/>
                <w:color w:val="auto"/>
              </w:rPr>
            </w:pPr>
          </w:p>
        </w:tc>
        <w:tc>
          <w:tcPr>
            <w:tcW w:w="80" w:type="dxa"/>
            <w:vAlign w:val="bottom"/>
            <w:tcBorders>
              <w:bottom w:val="single" w:sz="8" w:color="CCEEFF"/>
            </w:tcBorders>
            <w:shd w:val="clear" w:color="auto" w:fill="CCEEFF"/>
          </w:tcPr>
          <w:p>
            <w:pPr>
              <w:spacing w:after="0"/>
              <w:rPr>
                <w:sz w:val="10"/>
                <w:szCs w:val="10"/>
                <w:color w:val="auto"/>
              </w:rPr>
            </w:pPr>
          </w:p>
        </w:tc>
        <w:tc>
          <w:tcPr>
            <w:tcW w:w="100" w:type="dxa"/>
            <w:vAlign w:val="bottom"/>
            <w:tcBorders>
              <w:bottom w:val="single" w:sz="8" w:color="auto"/>
            </w:tcBorders>
            <w:vMerge w:val="continue"/>
            <w:shd w:val="clear" w:color="auto" w:fill="CCEEFF"/>
          </w:tcPr>
          <w:p>
            <w:pPr>
              <w:spacing w:after="0"/>
              <w:rPr>
                <w:sz w:val="10"/>
                <w:szCs w:val="10"/>
                <w:color w:val="auto"/>
              </w:rPr>
            </w:pPr>
          </w:p>
        </w:tc>
        <w:tc>
          <w:tcPr>
            <w:tcW w:w="420" w:type="dxa"/>
            <w:vAlign w:val="bottom"/>
            <w:tcBorders>
              <w:bottom w:val="single" w:sz="8" w:color="auto"/>
            </w:tcBorders>
            <w:vMerge w:val="continue"/>
            <w:shd w:val="clear" w:color="auto" w:fill="CCEEFF"/>
          </w:tcPr>
          <w:p>
            <w:pPr>
              <w:spacing w:after="0"/>
              <w:rPr>
                <w:sz w:val="10"/>
                <w:szCs w:val="10"/>
                <w:color w:val="auto"/>
              </w:rPr>
            </w:pPr>
          </w:p>
        </w:tc>
        <w:tc>
          <w:tcPr>
            <w:tcW w:w="80" w:type="dxa"/>
            <w:vAlign w:val="bottom"/>
            <w:tcBorders>
              <w:bottom w:val="single" w:sz="8" w:color="CCEEFF"/>
            </w:tcBorders>
            <w:shd w:val="clear" w:color="auto" w:fill="CCEEFF"/>
          </w:tcPr>
          <w:p>
            <w:pPr>
              <w:spacing w:after="0"/>
              <w:rPr>
                <w:sz w:val="10"/>
                <w:szCs w:val="10"/>
                <w:color w:val="auto"/>
              </w:rPr>
            </w:pPr>
          </w:p>
        </w:tc>
        <w:tc>
          <w:tcPr>
            <w:tcW w:w="100" w:type="dxa"/>
            <w:vAlign w:val="bottom"/>
            <w:tcBorders>
              <w:bottom w:val="single" w:sz="8" w:color="auto"/>
            </w:tcBorders>
            <w:vMerge w:val="continue"/>
            <w:shd w:val="clear" w:color="auto" w:fill="CCEEFF"/>
          </w:tcPr>
          <w:p>
            <w:pPr>
              <w:spacing w:after="0"/>
              <w:rPr>
                <w:sz w:val="10"/>
                <w:szCs w:val="10"/>
                <w:color w:val="auto"/>
              </w:rPr>
            </w:pPr>
          </w:p>
        </w:tc>
        <w:tc>
          <w:tcPr>
            <w:tcW w:w="420" w:type="dxa"/>
            <w:vAlign w:val="bottom"/>
            <w:tcBorders>
              <w:bottom w:val="single" w:sz="8" w:color="auto"/>
            </w:tcBorders>
            <w:vMerge w:val="continue"/>
            <w:shd w:val="clear" w:color="auto" w:fill="CCEEFF"/>
          </w:tcPr>
          <w:p>
            <w:pPr>
              <w:spacing w:after="0"/>
              <w:rPr>
                <w:sz w:val="10"/>
                <w:szCs w:val="10"/>
                <w:color w:val="auto"/>
              </w:rPr>
            </w:pPr>
          </w:p>
        </w:tc>
        <w:tc>
          <w:tcPr>
            <w:tcW w:w="60" w:type="dxa"/>
            <w:vAlign w:val="bottom"/>
            <w:tcBorders>
              <w:bottom w:val="single" w:sz="8" w:color="CCEEFF"/>
            </w:tcBorders>
            <w:shd w:val="clear" w:color="auto" w:fill="CCEEFF"/>
          </w:tcPr>
          <w:p>
            <w:pPr>
              <w:spacing w:after="0"/>
              <w:rPr>
                <w:sz w:val="10"/>
                <w:szCs w:val="10"/>
                <w:color w:val="auto"/>
              </w:rPr>
            </w:pPr>
          </w:p>
        </w:tc>
        <w:tc>
          <w:tcPr>
            <w:tcW w:w="120" w:type="dxa"/>
            <w:vAlign w:val="bottom"/>
            <w:tcBorders>
              <w:bottom w:val="single" w:sz="8" w:color="auto"/>
            </w:tcBorders>
            <w:vMerge w:val="continue"/>
            <w:shd w:val="clear" w:color="auto" w:fill="CCEEFF"/>
          </w:tcPr>
          <w:p>
            <w:pPr>
              <w:spacing w:after="0"/>
              <w:rPr>
                <w:sz w:val="10"/>
                <w:szCs w:val="10"/>
                <w:color w:val="auto"/>
              </w:rPr>
            </w:pPr>
          </w:p>
        </w:tc>
        <w:tc>
          <w:tcPr>
            <w:tcW w:w="420" w:type="dxa"/>
            <w:vAlign w:val="bottom"/>
            <w:tcBorders>
              <w:bottom w:val="single" w:sz="8" w:color="auto"/>
            </w:tcBorders>
            <w:vMerge w:val="continue"/>
            <w:shd w:val="clear" w:color="auto" w:fill="CCEEFF"/>
          </w:tcPr>
          <w:p>
            <w:pPr>
              <w:spacing w:after="0"/>
              <w:rPr>
                <w:sz w:val="10"/>
                <w:szCs w:val="10"/>
                <w:color w:val="auto"/>
              </w:rPr>
            </w:pPr>
          </w:p>
        </w:tc>
        <w:tc>
          <w:tcPr>
            <w:tcW w:w="0" w:type="dxa"/>
            <w:vAlign w:val="bottom"/>
          </w:tcPr>
          <w:p>
            <w:pPr>
              <w:spacing w:after="0"/>
              <w:rPr>
                <w:sz w:val="1"/>
                <w:szCs w:val="1"/>
                <w:color w:val="auto"/>
              </w:rPr>
            </w:pPr>
          </w:p>
        </w:tc>
      </w:tr>
    </w:tbl>
    <w:p>
      <w:pPr>
        <w:spacing w:after="0" w:line="7" w:lineRule="exact"/>
        <w:rPr>
          <w:sz w:val="20"/>
          <w:szCs w:val="20"/>
          <w:color w:val="auto"/>
        </w:rPr>
      </w:pPr>
    </w:p>
    <w:p>
      <w:pPr>
        <w:spacing w:after="0"/>
        <w:rPr>
          <w:sz w:val="20"/>
          <w:szCs w:val="20"/>
          <w:color w:val="auto"/>
        </w:rPr>
      </w:pPr>
      <w:r>
        <w:rPr>
          <w:rFonts w:ascii="Arial" w:cs="Arial" w:eastAsia="Arial" w:hAnsi="Arial"/>
          <w:sz w:val="10"/>
          <w:szCs w:val="10"/>
          <w:color w:val="auto"/>
        </w:rPr>
        <w:t>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-71120</wp:posOffset>
            </wp:positionV>
            <wp:extent cx="1475740" cy="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475740" cy="5715"/>
                    </a:xfrm>
                    <a:prstGeom prst="rect">
                      <a:avLst/>
                    </a:prstGeom>
                    <a:noFill/>
                  </pic:spPr>
                </pic:pic>
              </a:graphicData>
            </a:graphic>
          </wp:anchor>
        </w:drawing>
      </w:r>
    </w:p>
    <w:p>
      <w:pPr>
        <w:ind w:left="200"/>
        <w:spacing w:after="0" w:line="236" w:lineRule="auto"/>
        <w:tabs>
          <w:tab w:leader="none" w:pos="400" w:val="left"/>
        </w:tabs>
        <w:rPr>
          <w:sz w:val="20"/>
          <w:szCs w:val="20"/>
          <w:color w:val="auto"/>
        </w:rPr>
      </w:pPr>
      <w:r>
        <w:rPr>
          <w:rFonts w:ascii="Arial" w:cs="Arial" w:eastAsia="Arial" w:hAnsi="Arial"/>
          <w:sz w:val="10"/>
          <w:szCs w:val="10"/>
          <w:color w:val="auto"/>
        </w:rPr>
        <w:t>1.</w:t>
        <w:tab/>
        <w:t>Reported in gain (loss) on derivative instruments and other securities, net in our consolidated statements of comprehensive income</w:t>
      </w:r>
    </w:p>
    <w:p>
      <w:pPr>
        <w:spacing w:after="0" w:line="99" w:lineRule="exact"/>
        <w:rPr>
          <w:sz w:val="20"/>
          <w:szCs w:val="20"/>
          <w:color w:val="auto"/>
        </w:rPr>
      </w:pPr>
    </w:p>
    <w:p>
      <w:pPr>
        <w:jc w:val="both"/>
        <w:ind w:right="20" w:firstLine="270"/>
        <w:spacing w:after="0" w:line="298" w:lineRule="auto"/>
        <w:rPr>
          <w:sz w:val="20"/>
          <w:szCs w:val="20"/>
          <w:color w:val="auto"/>
        </w:rPr>
      </w:pPr>
      <w:r>
        <w:rPr>
          <w:rFonts w:ascii="Arial" w:cs="Arial" w:eastAsia="Arial" w:hAnsi="Arial"/>
          <w:sz w:val="11"/>
          <w:szCs w:val="11"/>
          <w:color w:val="auto"/>
        </w:rPr>
        <w:t>Net spread and dollar roll income, excluding "catch-up" premium amortization adjustments, for the three months ended September 30, 2016 increased to $0.64 from $0.51 per common share for the prior year period, driven by higher "at risk" leverage, lower total cost of funds and lower operating costs. Net spread and dollar roll income, excluding "catch-up" premium amortization adjustments, for the nine months September 30, 2016 decreased to $1.72 from $1.81 per common share for the prior year period, largely due to higher repo costs and a decline in TBA dollar roll income relative to our average TBA position, partially offset by higher "at risk" leverage and lower operating costs.</w:t>
      </w:r>
    </w:p>
    <w:p>
      <w:pPr>
        <w:spacing w:after="0" w:line="69"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Our average net interest rate spread and dollar roll income (i.e., the difference between the average yield on our assets and our average cost of funds inclusive of TBAs), excluding catch-up premium amortization cost, was 1.47% and 1.39% for the three and nine months ended September 30, 2016, compared to 1.37% and 1.52% for the prior year period. Including catch-up premium amortization adjustments, our net interest rate spread and dollar roll income was 1.42% and 1.18% for the three and nine months ended September 30, 2016, compared to 1.14% and 1.48%, respectively, for the prior year period.</w:t>
      </w:r>
    </w:p>
    <w:p>
      <w:pPr>
        <w:spacing w:after="0" w:line="28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42</w:t>
      </w:r>
    </w:p>
    <w:p>
      <w:pPr>
        <w:sectPr>
          <w:pgSz w:w="11900" w:h="16838" w:orient="portrait"/>
          <w:cols w:equalWidth="0" w:num="1">
            <w:col w:w="11480"/>
          </w:cols>
          <w:pgMar w:left="220" w:top="692" w:right="199" w:bottom="1440" w:gutter="0" w:footer="0" w:header="0"/>
        </w:sectPr>
      </w:pPr>
    </w:p>
    <w:bookmarkStart w:id="43" w:name="page44"/>
    <w:bookmarkEnd w:id="43"/>
    <w:p>
      <w:pPr>
        <w:spacing w:after="0"/>
        <w:rPr>
          <w:sz w:val="20"/>
          <w:szCs w:val="20"/>
          <w:color w:val="auto"/>
        </w:rPr>
      </w:pPr>
      <w:r>
        <w:rPr>
          <w:rFonts w:ascii="Arial" w:cs="Arial" w:eastAsia="Arial" w:hAnsi="Arial"/>
          <w:sz w:val="12"/>
          <w:szCs w:val="12"/>
          <w:b w:val="1"/>
          <w:bCs w:val="1"/>
          <w:i w:val="1"/>
          <w:iCs w:val="1"/>
          <w:color w:val="auto"/>
        </w:rPr>
        <w:t>Gain (Loss) on Sale of Mortgage-Backed Securities, Net</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following table is a summary of our net gain (loss) on sale of MBS for the three and nine months ended September 30, 2016 and 2015 (in millions):</w:t>
      </w:r>
    </w:p>
    <w:p>
      <w:pPr>
        <w:spacing w:after="0" w:line="262" w:lineRule="exact"/>
        <w:rPr>
          <w:sz w:val="20"/>
          <w:szCs w:val="20"/>
          <w:color w:val="auto"/>
        </w:rPr>
      </w:pPr>
    </w:p>
    <w:tbl>
      <w:tblPr>
        <w:tblLayout w:type="fixed"/>
        <w:tblInd w:w="1760" w:type="dxa"/>
        <w:tblCellMar>
          <w:top w:w="0" w:type="dxa"/>
          <w:left w:w="0" w:type="dxa"/>
          <w:bottom w:w="0" w:type="dxa"/>
          <w:right w:w="0" w:type="dxa"/>
        </w:tblCellMar>
      </w:tblPr>
      <w:tr>
        <w:trPr>
          <w:trHeight w:val="128"/>
        </w:trPr>
        <w:tc>
          <w:tcPr>
            <w:tcW w:w="4220" w:type="dxa"/>
            <w:vAlign w:val="bottom"/>
          </w:tcPr>
          <w:p>
            <w:pPr>
              <w:spacing w:after="0"/>
              <w:rPr>
                <w:sz w:val="11"/>
                <w:szCs w:val="11"/>
                <w:color w:val="auto"/>
              </w:rPr>
            </w:pPr>
          </w:p>
        </w:tc>
        <w:tc>
          <w:tcPr>
            <w:tcW w:w="1920" w:type="dxa"/>
            <w:vAlign w:val="bottom"/>
            <w:gridSpan w:val="6"/>
          </w:tcPr>
          <w:p>
            <w:pPr>
              <w:ind w:left="180"/>
              <w:spacing w:after="0"/>
              <w:rPr>
                <w:sz w:val="20"/>
                <w:szCs w:val="20"/>
                <w:color w:val="auto"/>
              </w:rPr>
            </w:pPr>
            <w:r>
              <w:rPr>
                <w:rFonts w:ascii="Arial" w:cs="Arial" w:eastAsia="Arial" w:hAnsi="Arial"/>
                <w:sz w:val="10"/>
                <w:szCs w:val="10"/>
                <w:b w:val="1"/>
                <w:bCs w:val="1"/>
                <w:color w:val="auto"/>
              </w:rPr>
              <w:t>Three Months Ended September 30,</w:t>
            </w:r>
          </w:p>
        </w:tc>
        <w:tc>
          <w:tcPr>
            <w:tcW w:w="140" w:type="dxa"/>
            <w:vAlign w:val="bottom"/>
          </w:tcPr>
          <w:p>
            <w:pPr>
              <w:spacing w:after="0"/>
              <w:rPr>
                <w:sz w:val="11"/>
                <w:szCs w:val="11"/>
                <w:color w:val="auto"/>
              </w:rPr>
            </w:pPr>
          </w:p>
        </w:tc>
        <w:tc>
          <w:tcPr>
            <w:tcW w:w="1680" w:type="dxa"/>
            <w:vAlign w:val="bottom"/>
            <w:gridSpan w:val="4"/>
          </w:tcPr>
          <w:p>
            <w:pPr>
              <w:jc w:val="right"/>
              <w:ind w:right="132"/>
              <w:spacing w:after="0"/>
              <w:rPr>
                <w:sz w:val="20"/>
                <w:szCs w:val="20"/>
                <w:color w:val="auto"/>
              </w:rPr>
            </w:pPr>
            <w:r>
              <w:rPr>
                <w:rFonts w:ascii="Arial" w:cs="Arial" w:eastAsia="Arial" w:hAnsi="Arial"/>
                <w:sz w:val="10"/>
                <w:szCs w:val="10"/>
                <w:b w:val="1"/>
                <w:bCs w:val="1"/>
                <w:color w:val="auto"/>
                <w:w w:val="89"/>
              </w:rPr>
              <w:t>Nine Months Ended September 30,</w:t>
            </w:r>
          </w:p>
        </w:tc>
      </w:tr>
      <w:tr>
        <w:trPr>
          <w:trHeight w:val="169"/>
        </w:trPr>
        <w:tc>
          <w:tcPr>
            <w:tcW w:w="4220" w:type="dxa"/>
            <w:vAlign w:val="bottom"/>
            <w:tcBorders>
              <w:bottom w:val="single" w:sz="8" w:color="CCEEFF"/>
            </w:tcBorders>
          </w:tcPr>
          <w:p>
            <w:pPr>
              <w:spacing w:after="0"/>
              <w:rPr>
                <w:sz w:val="14"/>
                <w:szCs w:val="14"/>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2016</w:t>
            </w:r>
          </w:p>
        </w:tc>
        <w:tc>
          <w:tcPr>
            <w:tcW w:w="340" w:type="dxa"/>
            <w:vAlign w:val="bottom"/>
            <w:tcBorders>
              <w:top w:val="single" w:sz="8" w:color="auto"/>
              <w:bottom w:val="single" w:sz="8" w:color="auto"/>
            </w:tcBorders>
          </w:tcPr>
          <w:p>
            <w:pPr>
              <w:spacing w:after="0"/>
              <w:rPr>
                <w:sz w:val="14"/>
                <w:szCs w:val="14"/>
                <w:color w:val="auto"/>
              </w:rPr>
            </w:pPr>
          </w:p>
        </w:tc>
        <w:tc>
          <w:tcPr>
            <w:tcW w:w="8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680" w:type="dxa"/>
            <w:vAlign w:val="bottom"/>
            <w:tcBorders>
              <w:top w:val="single" w:sz="8" w:color="auto"/>
              <w:bottom w:val="single" w:sz="8" w:color="auto"/>
            </w:tcBorders>
          </w:tcPr>
          <w:p>
            <w:pPr>
              <w:jc w:val="right"/>
              <w:ind w:right="292"/>
              <w:spacing w:after="0"/>
              <w:rPr>
                <w:sz w:val="20"/>
                <w:szCs w:val="20"/>
                <w:color w:val="auto"/>
              </w:rPr>
            </w:pPr>
            <w:r>
              <w:rPr>
                <w:rFonts w:ascii="Arial" w:cs="Arial" w:eastAsia="Arial" w:hAnsi="Arial"/>
                <w:sz w:val="10"/>
                <w:szCs w:val="10"/>
                <w:b w:val="1"/>
                <w:bCs w:val="1"/>
                <w:color w:val="auto"/>
              </w:rPr>
              <w:t>2015</w:t>
            </w:r>
          </w:p>
        </w:tc>
        <w:tc>
          <w:tcPr>
            <w:tcW w:w="80" w:type="dxa"/>
            <w:vAlign w:val="bottom"/>
            <w:tcBorders>
              <w:bottom w:val="single" w:sz="8" w:color="CCEEFF"/>
            </w:tcBorders>
          </w:tcPr>
          <w:p>
            <w:pPr>
              <w:spacing w:after="0"/>
              <w:rPr>
                <w:sz w:val="14"/>
                <w:szCs w:val="14"/>
                <w:color w:val="auto"/>
              </w:rPr>
            </w:pPr>
          </w:p>
        </w:tc>
        <w:tc>
          <w:tcPr>
            <w:tcW w:w="140" w:type="dxa"/>
            <w:vAlign w:val="bottom"/>
            <w:tcBorders>
              <w:top w:val="single" w:sz="8" w:color="auto"/>
              <w:bottom w:val="single" w:sz="8" w:color="auto"/>
            </w:tcBorders>
          </w:tcPr>
          <w:p>
            <w:pPr>
              <w:spacing w:after="0"/>
              <w:rPr>
                <w:sz w:val="14"/>
                <w:szCs w:val="14"/>
                <w:color w:val="auto"/>
              </w:rPr>
            </w:pPr>
          </w:p>
        </w:tc>
        <w:tc>
          <w:tcPr>
            <w:tcW w:w="76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2016</w:t>
            </w:r>
          </w:p>
        </w:tc>
        <w:tc>
          <w:tcPr>
            <w:tcW w:w="6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660" w:type="dxa"/>
            <w:vAlign w:val="bottom"/>
            <w:tcBorders>
              <w:top w:val="single" w:sz="8" w:color="auto"/>
              <w:bottom w:val="single" w:sz="8" w:color="auto"/>
            </w:tcBorders>
          </w:tcPr>
          <w:p>
            <w:pPr>
              <w:jc w:val="right"/>
              <w:ind w:right="292"/>
              <w:spacing w:after="0"/>
              <w:rPr>
                <w:sz w:val="20"/>
                <w:szCs w:val="20"/>
                <w:color w:val="auto"/>
              </w:rPr>
            </w:pPr>
            <w:r>
              <w:rPr>
                <w:rFonts w:ascii="Arial" w:cs="Arial" w:eastAsia="Arial" w:hAnsi="Arial"/>
                <w:sz w:val="10"/>
                <w:szCs w:val="10"/>
                <w:b w:val="1"/>
                <w:bCs w:val="1"/>
                <w:color w:val="auto"/>
              </w:rPr>
              <w:t>2015</w:t>
            </w:r>
          </w:p>
        </w:tc>
      </w:tr>
      <w:tr>
        <w:trPr>
          <w:trHeight w:val="164"/>
        </w:trPr>
        <w:tc>
          <w:tcPr>
            <w:tcW w:w="4220" w:type="dxa"/>
            <w:vAlign w:val="bottom"/>
            <w:shd w:val="clear" w:color="auto" w:fill="CCEEFF"/>
          </w:tcPr>
          <w:p>
            <w:pPr>
              <w:ind w:left="20"/>
              <w:spacing w:after="0"/>
              <w:rPr>
                <w:sz w:val="20"/>
                <w:szCs w:val="20"/>
                <w:color w:val="auto"/>
              </w:rPr>
            </w:pPr>
            <w:r>
              <w:rPr>
                <w:rFonts w:ascii="Arial" w:cs="Arial" w:eastAsia="Arial" w:hAnsi="Arial"/>
                <w:sz w:val="10"/>
                <w:szCs w:val="10"/>
                <w:color w:val="auto"/>
              </w:rPr>
              <w:t>MBS sold, at cost</w:t>
            </w:r>
          </w:p>
        </w:tc>
        <w:tc>
          <w:tcPr>
            <w:tcW w:w="540" w:type="dxa"/>
            <w:vAlign w:val="bottom"/>
            <w:shd w:val="clear" w:color="auto" w:fill="CCEEFF"/>
          </w:tcPr>
          <w:p>
            <w:pPr>
              <w:jc w:val="right"/>
              <w:ind w:right="432"/>
              <w:spacing w:after="0"/>
              <w:rPr>
                <w:sz w:val="20"/>
                <w:szCs w:val="20"/>
                <w:color w:val="auto"/>
              </w:rPr>
            </w:pPr>
            <w:r>
              <w:rPr>
                <w:rFonts w:ascii="Arial" w:cs="Arial" w:eastAsia="Arial" w:hAnsi="Arial"/>
                <w:sz w:val="10"/>
                <w:szCs w:val="10"/>
                <w:color w:val="auto"/>
                <w:w w:val="71"/>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0"/>
                <w:szCs w:val="10"/>
                <w:color w:val="auto"/>
                <w:w w:val="88"/>
              </w:rPr>
              <w:t>(6,123)</w:t>
            </w:r>
          </w:p>
        </w:tc>
        <w:tc>
          <w:tcPr>
            <w:tcW w:w="8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(4,575)</w:t>
            </w:r>
          </w:p>
        </w:tc>
        <w:tc>
          <w:tcPr>
            <w:tcW w:w="8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7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(17,146)</w:t>
            </w:r>
          </w:p>
        </w:tc>
        <w:tc>
          <w:tcPr>
            <w:tcW w:w="6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(22,548)</w:t>
            </w:r>
          </w:p>
        </w:tc>
      </w:tr>
      <w:tr>
        <w:trPr>
          <w:trHeight w:val="176"/>
        </w:trPr>
        <w:tc>
          <w:tcPr>
            <w:tcW w:w="4220" w:type="dxa"/>
            <w:vAlign w:val="bottom"/>
            <w:tcBorders>
              <w:bottom w:val="single" w:sz="8" w:color="CCEEFF"/>
            </w:tcBorders>
          </w:tcPr>
          <w:p>
            <w:pPr>
              <w:ind w:left="20"/>
              <w:spacing w:after="0"/>
              <w:rPr>
                <w:sz w:val="20"/>
                <w:szCs w:val="20"/>
                <w:color w:val="auto"/>
              </w:rPr>
            </w:pPr>
            <w:r>
              <w:rPr>
                <w:rFonts w:ascii="Arial" w:cs="Arial" w:eastAsia="Arial" w:hAnsi="Arial"/>
                <w:sz w:val="10"/>
                <w:szCs w:val="10"/>
                <w:color w:val="auto"/>
              </w:rPr>
              <w:t xml:space="preserve">Proceeds from MBS sold </w:t>
            </w:r>
            <w:r>
              <w:rPr>
                <w:rFonts w:ascii="Arial" w:cs="Arial" w:eastAsia="Arial" w:hAnsi="Arial"/>
                <w:sz w:val="5"/>
                <w:szCs w:val="5"/>
                <w:color w:val="auto"/>
              </w:rPr>
              <w:t>1</w:t>
            </w:r>
          </w:p>
        </w:tc>
        <w:tc>
          <w:tcPr>
            <w:tcW w:w="540" w:type="dxa"/>
            <w:vAlign w:val="bottom"/>
            <w:tcBorders>
              <w:bottom w:val="single" w:sz="8" w:color="auto"/>
            </w:tcBorders>
          </w:tcPr>
          <w:p>
            <w:pPr>
              <w:spacing w:after="0"/>
              <w:rPr>
                <w:sz w:val="15"/>
                <w:szCs w:val="15"/>
                <w:color w:val="auto"/>
              </w:rPr>
            </w:pPr>
          </w:p>
        </w:tc>
        <w:tc>
          <w:tcPr>
            <w:tcW w:w="3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w w:val="95"/>
              </w:rPr>
              <w:t>6,184</w:t>
            </w:r>
          </w:p>
        </w:tc>
        <w:tc>
          <w:tcPr>
            <w:tcW w:w="8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4,536</w:t>
            </w:r>
          </w:p>
        </w:tc>
        <w:tc>
          <w:tcPr>
            <w:tcW w:w="8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17,260</w:t>
            </w:r>
          </w:p>
        </w:tc>
        <w:tc>
          <w:tcPr>
            <w:tcW w:w="6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66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22,523</w:t>
            </w:r>
          </w:p>
        </w:tc>
      </w:tr>
      <w:tr>
        <w:trPr>
          <w:trHeight w:val="162"/>
        </w:trPr>
        <w:tc>
          <w:tcPr>
            <w:tcW w:w="42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Net gain (loss) on sale of MBS</w:t>
            </w:r>
          </w:p>
        </w:tc>
        <w:tc>
          <w:tcPr>
            <w:tcW w:w="540" w:type="dxa"/>
            <w:vAlign w:val="bottom"/>
            <w:tcBorders>
              <w:bottom w:val="single" w:sz="8" w:color="auto"/>
            </w:tcBorders>
            <w:shd w:val="clear" w:color="auto" w:fill="CCEEFF"/>
          </w:tcPr>
          <w:p>
            <w:pPr>
              <w:jc w:val="right"/>
              <w:ind w:right="43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61</w:t>
            </w:r>
          </w:p>
        </w:tc>
        <w:tc>
          <w:tcPr>
            <w:tcW w:w="8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(39)</w:t>
            </w:r>
          </w:p>
        </w:tc>
        <w:tc>
          <w:tcPr>
            <w:tcW w:w="8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7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114</w:t>
            </w:r>
          </w:p>
        </w:tc>
        <w:tc>
          <w:tcPr>
            <w:tcW w:w="6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w:t>
            </w:r>
          </w:p>
        </w:tc>
      </w:tr>
      <w:tr>
        <w:trPr>
          <w:trHeight w:val="189"/>
        </w:trPr>
        <w:tc>
          <w:tcPr>
            <w:tcW w:w="42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60" w:type="dxa"/>
            <w:vAlign w:val="bottom"/>
          </w:tcPr>
          <w:p>
            <w:pPr>
              <w:spacing w:after="0"/>
              <w:rPr>
                <w:sz w:val="16"/>
                <w:szCs w:val="16"/>
                <w:color w:val="auto"/>
              </w:rPr>
            </w:pPr>
          </w:p>
        </w:tc>
      </w:tr>
      <w:tr>
        <w:trPr>
          <w:trHeight w:val="180"/>
        </w:trPr>
        <w:tc>
          <w:tcPr>
            <w:tcW w:w="4220" w:type="dxa"/>
            <w:vAlign w:val="bottom"/>
            <w:shd w:val="clear" w:color="auto" w:fill="CCEEFF"/>
          </w:tcPr>
          <w:p>
            <w:pPr>
              <w:ind w:left="20"/>
              <w:spacing w:after="0"/>
              <w:rPr>
                <w:sz w:val="20"/>
                <w:szCs w:val="20"/>
                <w:color w:val="auto"/>
              </w:rPr>
            </w:pPr>
            <w:r>
              <w:rPr>
                <w:rFonts w:ascii="Arial" w:cs="Arial" w:eastAsia="Arial" w:hAnsi="Arial"/>
                <w:sz w:val="10"/>
                <w:szCs w:val="10"/>
                <w:color w:val="auto"/>
              </w:rPr>
              <w:t>Gross gain on sale of MBS</w:t>
            </w:r>
          </w:p>
        </w:tc>
        <w:tc>
          <w:tcPr>
            <w:tcW w:w="540" w:type="dxa"/>
            <w:vAlign w:val="bottom"/>
            <w:shd w:val="clear" w:color="auto" w:fill="CCEEFF"/>
          </w:tcPr>
          <w:p>
            <w:pPr>
              <w:jc w:val="right"/>
              <w:ind w:right="432"/>
              <w:spacing w:after="0"/>
              <w:rPr>
                <w:sz w:val="20"/>
                <w:szCs w:val="20"/>
                <w:color w:val="auto"/>
              </w:rPr>
            </w:pPr>
            <w:r>
              <w:rPr>
                <w:rFonts w:ascii="Arial" w:cs="Arial" w:eastAsia="Arial" w:hAnsi="Arial"/>
                <w:sz w:val="10"/>
                <w:szCs w:val="10"/>
                <w:color w:val="auto"/>
                <w:w w:val="71"/>
              </w:rPr>
              <w:t>$</w:t>
            </w:r>
          </w:p>
        </w:tc>
        <w:tc>
          <w:tcPr>
            <w:tcW w:w="3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62</w:t>
            </w: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2</w:t>
            </w:r>
          </w:p>
        </w:tc>
        <w:tc>
          <w:tcPr>
            <w:tcW w:w="80" w:type="dxa"/>
            <w:vAlign w:val="bottom"/>
            <w:shd w:val="clear" w:color="auto" w:fill="CCEEFF"/>
          </w:tcPr>
          <w:p>
            <w:pPr>
              <w:spacing w:after="0"/>
              <w:rPr>
                <w:sz w:val="15"/>
                <w:szCs w:val="15"/>
                <w:color w:val="auto"/>
              </w:rPr>
            </w:pPr>
          </w:p>
        </w:tc>
        <w:tc>
          <w:tcPr>
            <w:tcW w:w="1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7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122</w:t>
            </w:r>
          </w:p>
        </w:tc>
        <w:tc>
          <w:tcPr>
            <w:tcW w:w="60" w:type="dxa"/>
            <w:vAlign w:val="bottom"/>
            <w:shd w:val="clear" w:color="auto" w:fill="CCEEFF"/>
          </w:tcPr>
          <w:p>
            <w:pPr>
              <w:spacing w:after="0"/>
              <w:rPr>
                <w:sz w:val="15"/>
                <w:szCs w:val="15"/>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81</w:t>
            </w:r>
          </w:p>
        </w:tc>
      </w:tr>
      <w:tr>
        <w:trPr>
          <w:trHeight w:val="176"/>
        </w:trPr>
        <w:tc>
          <w:tcPr>
            <w:tcW w:w="4220" w:type="dxa"/>
            <w:vAlign w:val="bottom"/>
            <w:tcBorders>
              <w:bottom w:val="single" w:sz="8" w:color="CCEEFF"/>
            </w:tcBorders>
          </w:tcPr>
          <w:p>
            <w:pPr>
              <w:ind w:left="20"/>
              <w:spacing w:after="0"/>
              <w:rPr>
                <w:sz w:val="20"/>
                <w:szCs w:val="20"/>
                <w:color w:val="auto"/>
              </w:rPr>
            </w:pPr>
            <w:r>
              <w:rPr>
                <w:rFonts w:ascii="Arial" w:cs="Arial" w:eastAsia="Arial" w:hAnsi="Arial"/>
                <w:sz w:val="10"/>
                <w:szCs w:val="10"/>
                <w:color w:val="auto"/>
              </w:rPr>
              <w:t>Gross loss on sale of MBS</w:t>
            </w:r>
          </w:p>
        </w:tc>
        <w:tc>
          <w:tcPr>
            <w:tcW w:w="540" w:type="dxa"/>
            <w:vAlign w:val="bottom"/>
            <w:tcBorders>
              <w:bottom w:val="single" w:sz="8" w:color="auto"/>
            </w:tcBorders>
          </w:tcPr>
          <w:p>
            <w:pPr>
              <w:spacing w:after="0"/>
              <w:rPr>
                <w:sz w:val="15"/>
                <w:szCs w:val="15"/>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w:t>
            </w:r>
          </w:p>
        </w:tc>
        <w:tc>
          <w:tcPr>
            <w:tcW w:w="8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(41)</w:t>
            </w:r>
          </w:p>
        </w:tc>
        <w:tc>
          <w:tcPr>
            <w:tcW w:w="8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(8)</w:t>
            </w:r>
          </w:p>
        </w:tc>
        <w:tc>
          <w:tcPr>
            <w:tcW w:w="6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(106)</w:t>
            </w:r>
          </w:p>
        </w:tc>
      </w:tr>
      <w:tr>
        <w:trPr>
          <w:trHeight w:val="155"/>
        </w:trPr>
        <w:tc>
          <w:tcPr>
            <w:tcW w:w="422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Net gain (loss) on sale of MBS</w:t>
            </w:r>
          </w:p>
        </w:tc>
        <w:tc>
          <w:tcPr>
            <w:tcW w:w="540" w:type="dxa"/>
            <w:vAlign w:val="bottom"/>
            <w:tcBorders>
              <w:bottom w:val="single" w:sz="8" w:color="auto"/>
            </w:tcBorders>
            <w:shd w:val="clear" w:color="auto" w:fill="CCEEFF"/>
          </w:tcPr>
          <w:p>
            <w:pPr>
              <w:jc w:val="right"/>
              <w:ind w:right="43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61</w:t>
            </w:r>
          </w:p>
        </w:tc>
        <w:tc>
          <w:tcPr>
            <w:tcW w:w="8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(39)</w:t>
            </w:r>
          </w:p>
        </w:tc>
        <w:tc>
          <w:tcPr>
            <w:tcW w:w="8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7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114</w:t>
            </w:r>
          </w:p>
        </w:tc>
        <w:tc>
          <w:tcPr>
            <w:tcW w:w="6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w:t>
            </w:r>
          </w:p>
        </w:tc>
      </w:tr>
    </w:tbl>
    <w:p>
      <w:pPr>
        <w:spacing w:after="0" w:line="6" w:lineRule="exact"/>
        <w:rPr>
          <w:sz w:val="20"/>
          <w:szCs w:val="20"/>
          <w:color w:val="auto"/>
        </w:rPr>
      </w:pPr>
    </w:p>
    <w:p>
      <w:pPr>
        <w:ind w:left="20"/>
        <w:spacing w:after="0"/>
        <w:rPr>
          <w:sz w:val="20"/>
          <w:szCs w:val="20"/>
          <w:color w:val="auto"/>
        </w:rPr>
      </w:pPr>
      <w:r>
        <w:rPr>
          <w:rFonts w:ascii="Arial" w:cs="Arial" w:eastAsia="Arial" w:hAnsi="Arial"/>
          <w:sz w:val="10"/>
          <w:szCs w:val="10"/>
          <w:color w:val="auto"/>
        </w:rPr>
        <w:t>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3798570</wp:posOffset>
            </wp:positionH>
            <wp:positionV relativeFrom="paragraph">
              <wp:posOffset>-70485</wp:posOffset>
            </wp:positionV>
            <wp:extent cx="2373630" cy="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2373630" cy="5715"/>
                    </a:xfrm>
                    <a:prstGeom prst="rect">
                      <a:avLst/>
                    </a:prstGeom>
                    <a:noFill/>
                  </pic:spPr>
                </pic:pic>
              </a:graphicData>
            </a:graphic>
          </wp:anchor>
        </w:drawing>
      </w:r>
    </w:p>
    <w:p>
      <w:pPr>
        <w:ind w:left="200"/>
        <w:spacing w:after="0"/>
        <w:tabs>
          <w:tab w:leader="none" w:pos="400" w:val="left"/>
        </w:tabs>
        <w:rPr>
          <w:sz w:val="20"/>
          <w:szCs w:val="20"/>
          <w:color w:val="auto"/>
        </w:rPr>
      </w:pPr>
      <w:r>
        <w:rPr>
          <w:rFonts w:ascii="Arial" w:cs="Arial" w:eastAsia="Arial" w:hAnsi="Arial"/>
          <w:sz w:val="10"/>
          <w:szCs w:val="10"/>
          <w:color w:val="auto"/>
        </w:rPr>
        <w:t>1.</w:t>
        <w:tab/>
        <w:t>Proceeds include cash received during the period, plus receivable for MBS sold during the period as of period end.</w:t>
      </w:r>
    </w:p>
    <w:p>
      <w:pPr>
        <w:spacing w:after="0" w:line="134" w:lineRule="exact"/>
        <w:rPr>
          <w:sz w:val="20"/>
          <w:szCs w:val="20"/>
          <w:color w:val="auto"/>
        </w:rPr>
      </w:pPr>
    </w:p>
    <w:p>
      <w:pPr>
        <w:ind w:left="280"/>
        <w:spacing w:after="0"/>
        <w:rPr>
          <w:sz w:val="20"/>
          <w:szCs w:val="20"/>
          <w:color w:val="auto"/>
        </w:rPr>
      </w:pPr>
      <w:r>
        <w:rPr>
          <w:rFonts w:ascii="Arial" w:cs="Arial" w:eastAsia="Arial" w:hAnsi="Arial"/>
          <w:sz w:val="12"/>
          <w:szCs w:val="12"/>
          <w:color w:val="auto"/>
        </w:rPr>
        <w:t>Asset sales primarily resulted from leverage adjustments and portfolio repositioning.</w:t>
      </w:r>
    </w:p>
    <w:p>
      <w:pPr>
        <w:spacing w:after="0" w:line="312"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43</w:t>
      </w:r>
    </w:p>
    <w:p>
      <w:pPr>
        <w:sectPr>
          <w:pgSz w:w="11900" w:h="16838" w:orient="portrait"/>
          <w:cols w:equalWidth="0" w:num="1">
            <w:col w:w="10239"/>
          </w:cols>
          <w:pgMar w:left="220" w:top="437" w:right="1440" w:bottom="1440" w:gutter="0" w:footer="0" w:header="0"/>
        </w:sectPr>
      </w:pPr>
    </w:p>
    <w:bookmarkStart w:id="44" w:name="page45"/>
    <w:bookmarkEnd w:id="44"/>
    <w:p>
      <w:pPr>
        <w:spacing w:after="0"/>
        <w:rPr>
          <w:sz w:val="20"/>
          <w:szCs w:val="20"/>
          <w:color w:val="auto"/>
        </w:rPr>
      </w:pPr>
      <w:r>
        <w:rPr>
          <w:rFonts w:ascii="Arial" w:cs="Arial" w:eastAsia="Arial" w:hAnsi="Arial"/>
          <w:sz w:val="12"/>
          <w:szCs w:val="12"/>
          <w:b w:val="1"/>
          <w:bCs w:val="1"/>
          <w:i w:val="1"/>
          <w:iCs w:val="1"/>
          <w:color w:val="auto"/>
        </w:rPr>
        <w:t>Gain (Loss) on Derivative Instruments and Other Securities, Net</w:t>
      </w:r>
    </w:p>
    <w:p>
      <w:pPr>
        <w:spacing w:after="0" w:line="123"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is a summary of our gain (loss) on derivative instruments and other securities, net for the three and nine months ended September 30, 2016 and 2015 (in millions):</w:t>
      </w:r>
    </w:p>
    <w:p>
      <w:pPr>
        <w:spacing w:after="0" w:line="262" w:lineRule="exact"/>
        <w:rPr>
          <w:sz w:val="20"/>
          <w:szCs w:val="20"/>
          <w:color w:val="auto"/>
        </w:rPr>
      </w:pPr>
    </w:p>
    <w:tbl>
      <w:tblPr>
        <w:tblLayout w:type="fixed"/>
        <w:tblInd w:w="700" w:type="dxa"/>
        <w:tblCellMar>
          <w:top w:w="0" w:type="dxa"/>
          <w:left w:w="0" w:type="dxa"/>
          <w:bottom w:w="0" w:type="dxa"/>
          <w:right w:w="0" w:type="dxa"/>
        </w:tblCellMar>
      </w:tblPr>
      <w:tr>
        <w:trPr>
          <w:trHeight w:val="128"/>
        </w:trPr>
        <w:tc>
          <w:tcPr>
            <w:tcW w:w="6140" w:type="dxa"/>
            <w:vAlign w:val="bottom"/>
          </w:tcPr>
          <w:p>
            <w:pPr>
              <w:spacing w:after="0"/>
              <w:rPr>
                <w:sz w:val="11"/>
                <w:szCs w:val="11"/>
                <w:color w:val="auto"/>
              </w:rPr>
            </w:pPr>
          </w:p>
        </w:tc>
        <w:tc>
          <w:tcPr>
            <w:tcW w:w="2040" w:type="dxa"/>
            <w:vAlign w:val="bottom"/>
            <w:gridSpan w:val="6"/>
          </w:tcPr>
          <w:p>
            <w:pPr>
              <w:ind w:left="240"/>
              <w:spacing w:after="0"/>
              <w:rPr>
                <w:sz w:val="20"/>
                <w:szCs w:val="20"/>
                <w:color w:val="auto"/>
              </w:rPr>
            </w:pPr>
            <w:r>
              <w:rPr>
                <w:rFonts w:ascii="Arial" w:cs="Arial" w:eastAsia="Arial" w:hAnsi="Arial"/>
                <w:sz w:val="10"/>
                <w:szCs w:val="10"/>
                <w:b w:val="1"/>
                <w:bCs w:val="1"/>
                <w:color w:val="auto"/>
              </w:rPr>
              <w:t>Three Months Ended September 30,</w:t>
            </w:r>
          </w:p>
        </w:tc>
        <w:tc>
          <w:tcPr>
            <w:tcW w:w="140" w:type="dxa"/>
            <w:vAlign w:val="bottom"/>
          </w:tcPr>
          <w:p>
            <w:pPr>
              <w:spacing w:after="0"/>
              <w:rPr>
                <w:sz w:val="11"/>
                <w:szCs w:val="11"/>
                <w:color w:val="auto"/>
              </w:rPr>
            </w:pPr>
          </w:p>
        </w:tc>
        <w:tc>
          <w:tcPr>
            <w:tcW w:w="1760" w:type="dxa"/>
            <w:vAlign w:val="bottom"/>
            <w:gridSpan w:val="4"/>
          </w:tcPr>
          <w:p>
            <w:pPr>
              <w:jc w:val="right"/>
              <w:ind w:right="192"/>
              <w:spacing w:after="0"/>
              <w:rPr>
                <w:sz w:val="20"/>
                <w:szCs w:val="20"/>
                <w:color w:val="auto"/>
              </w:rPr>
            </w:pPr>
            <w:r>
              <w:rPr>
                <w:rFonts w:ascii="Arial" w:cs="Arial" w:eastAsia="Arial" w:hAnsi="Arial"/>
                <w:sz w:val="10"/>
                <w:szCs w:val="10"/>
                <w:b w:val="1"/>
                <w:bCs w:val="1"/>
                <w:color w:val="auto"/>
                <w:w w:val="91"/>
              </w:rPr>
              <w:t>Nine Months Ended September 30,</w:t>
            </w:r>
          </w:p>
        </w:tc>
      </w:tr>
      <w:tr>
        <w:trPr>
          <w:trHeight w:val="169"/>
        </w:trPr>
        <w:tc>
          <w:tcPr>
            <w:tcW w:w="6140" w:type="dxa"/>
            <w:vAlign w:val="bottom"/>
            <w:tcBorders>
              <w:bottom w:val="single" w:sz="8" w:color="CCEEFF"/>
            </w:tcBorders>
          </w:tcPr>
          <w:p>
            <w:pPr>
              <w:spacing w:after="0"/>
              <w:rPr>
                <w:sz w:val="14"/>
                <w:szCs w:val="14"/>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2016</w:t>
            </w:r>
          </w:p>
        </w:tc>
        <w:tc>
          <w:tcPr>
            <w:tcW w:w="340" w:type="dxa"/>
            <w:vAlign w:val="bottom"/>
            <w:tcBorders>
              <w:top w:val="single" w:sz="8" w:color="auto"/>
              <w:bottom w:val="single" w:sz="8" w:color="auto"/>
            </w:tcBorders>
          </w:tcPr>
          <w:p>
            <w:pPr>
              <w:spacing w:after="0"/>
              <w:rPr>
                <w:sz w:val="14"/>
                <w:szCs w:val="14"/>
                <w:color w:val="auto"/>
              </w:rPr>
            </w:pPr>
          </w:p>
        </w:tc>
        <w:tc>
          <w:tcPr>
            <w:tcW w:w="10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2015</w:t>
            </w:r>
          </w:p>
        </w:tc>
        <w:tc>
          <w:tcPr>
            <w:tcW w:w="100" w:type="dxa"/>
            <w:vAlign w:val="bottom"/>
            <w:tcBorders>
              <w:bottom w:val="single" w:sz="8" w:color="CCEEFF"/>
            </w:tcBorders>
          </w:tcPr>
          <w:p>
            <w:pPr>
              <w:spacing w:after="0"/>
              <w:rPr>
                <w:sz w:val="14"/>
                <w:szCs w:val="14"/>
                <w:color w:val="auto"/>
              </w:rPr>
            </w:pPr>
          </w:p>
        </w:tc>
        <w:tc>
          <w:tcPr>
            <w:tcW w:w="140" w:type="dxa"/>
            <w:vAlign w:val="bottom"/>
            <w:tcBorders>
              <w:top w:val="single" w:sz="8" w:color="auto"/>
              <w:bottom w:val="single" w:sz="8" w:color="auto"/>
            </w:tcBorders>
          </w:tcPr>
          <w:p>
            <w:pPr>
              <w:spacing w:after="0"/>
              <w:rPr>
                <w:sz w:val="14"/>
                <w:szCs w:val="14"/>
                <w:color w:val="auto"/>
              </w:rPr>
            </w:pPr>
          </w:p>
        </w:tc>
        <w:tc>
          <w:tcPr>
            <w:tcW w:w="76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2016</w:t>
            </w:r>
          </w:p>
        </w:tc>
        <w:tc>
          <w:tcPr>
            <w:tcW w:w="10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2015</w:t>
            </w:r>
          </w:p>
        </w:tc>
      </w:tr>
      <w:tr>
        <w:trPr>
          <w:trHeight w:val="164"/>
        </w:trPr>
        <w:tc>
          <w:tcPr>
            <w:tcW w:w="6140" w:type="dxa"/>
            <w:vAlign w:val="bottom"/>
            <w:shd w:val="clear" w:color="auto" w:fill="CCEEFF"/>
          </w:tcPr>
          <w:p>
            <w:pPr>
              <w:ind w:left="20"/>
              <w:spacing w:after="0"/>
              <w:rPr>
                <w:sz w:val="20"/>
                <w:szCs w:val="20"/>
                <w:color w:val="auto"/>
              </w:rPr>
            </w:pPr>
            <w:r>
              <w:rPr>
                <w:rFonts w:ascii="Arial" w:cs="Arial" w:eastAsia="Arial" w:hAnsi="Arial"/>
                <w:sz w:val="10"/>
                <w:szCs w:val="10"/>
                <w:color w:val="auto"/>
              </w:rPr>
              <w:t>Periodic interest costs of interest rate swaps, net</w:t>
            </w:r>
          </w:p>
        </w:tc>
        <w:tc>
          <w:tcPr>
            <w:tcW w:w="600" w:type="dxa"/>
            <w:vAlign w:val="bottom"/>
            <w:tcBorders>
              <w:bottom w:val="single" w:sz="8" w:color="auto"/>
            </w:tcBorders>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(51)</w:t>
            </w:r>
          </w:p>
        </w:tc>
        <w:tc>
          <w:tcPr>
            <w:tcW w:w="100" w:type="dxa"/>
            <w:vAlign w:val="bottom"/>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(107)</w:t>
            </w:r>
          </w:p>
        </w:tc>
        <w:tc>
          <w:tcPr>
            <w:tcW w:w="100" w:type="dxa"/>
            <w:vAlign w:val="bottom"/>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(209)</w:t>
            </w:r>
          </w:p>
        </w:tc>
        <w:tc>
          <w:tcPr>
            <w:tcW w:w="100" w:type="dxa"/>
            <w:vAlign w:val="bottom"/>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(290)</w:t>
            </w:r>
          </w:p>
        </w:tc>
      </w:tr>
      <w:tr>
        <w:trPr>
          <w:trHeight w:val="165"/>
        </w:trPr>
        <w:tc>
          <w:tcPr>
            <w:tcW w:w="6140" w:type="dxa"/>
            <w:vAlign w:val="bottom"/>
          </w:tcPr>
          <w:p>
            <w:pPr>
              <w:ind w:left="20"/>
              <w:spacing w:after="0"/>
              <w:rPr>
                <w:sz w:val="20"/>
                <w:szCs w:val="20"/>
                <w:color w:val="auto"/>
              </w:rPr>
            </w:pPr>
            <w:r>
              <w:rPr>
                <w:rFonts w:ascii="Arial" w:cs="Arial" w:eastAsia="Arial" w:hAnsi="Arial"/>
                <w:sz w:val="10"/>
                <w:szCs w:val="10"/>
                <w:color w:val="auto"/>
              </w:rPr>
              <w:t>Realized gain (loss) on derivative instruments and other securities, net:</w:t>
            </w:r>
          </w:p>
        </w:tc>
        <w:tc>
          <w:tcPr>
            <w:tcW w:w="6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00" w:type="dxa"/>
            <w:vAlign w:val="bottom"/>
          </w:tcPr>
          <w:p>
            <w:pPr>
              <w:spacing w:after="0"/>
              <w:rPr>
                <w:sz w:val="14"/>
                <w:szCs w:val="14"/>
                <w:color w:val="auto"/>
              </w:rPr>
            </w:pP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TBA securities - dollar roll income, net</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54</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73</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148</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184</w:t>
            </w:r>
          </w:p>
        </w:tc>
      </w:tr>
      <w:tr>
        <w:trPr>
          <w:trHeight w:val="176"/>
        </w:trPr>
        <w:tc>
          <w:tcPr>
            <w:tcW w:w="6140" w:type="dxa"/>
            <w:vAlign w:val="bottom"/>
          </w:tcPr>
          <w:p>
            <w:pPr>
              <w:ind w:left="200"/>
              <w:spacing w:after="0"/>
              <w:rPr>
                <w:sz w:val="20"/>
                <w:szCs w:val="20"/>
                <w:color w:val="auto"/>
              </w:rPr>
            </w:pPr>
            <w:r>
              <w:rPr>
                <w:rFonts w:ascii="Arial" w:cs="Arial" w:eastAsia="Arial" w:hAnsi="Arial"/>
                <w:sz w:val="10"/>
                <w:szCs w:val="10"/>
                <w:color w:val="auto"/>
              </w:rPr>
              <w:t>TBA securities - mark-to-market net gain (loss)</w:t>
            </w:r>
          </w:p>
        </w:tc>
        <w:tc>
          <w:tcPr>
            <w:tcW w:w="600" w:type="dxa"/>
            <w:vAlign w:val="bottom"/>
          </w:tcPr>
          <w:p>
            <w:pPr>
              <w:spacing w:after="0"/>
              <w:rPr>
                <w:sz w:val="15"/>
                <w:szCs w:val="15"/>
                <w:color w:val="auto"/>
              </w:rPr>
            </w:pPr>
          </w:p>
        </w:tc>
        <w:tc>
          <w:tcPr>
            <w:tcW w:w="340" w:type="dxa"/>
            <w:vAlign w:val="bottom"/>
          </w:tcPr>
          <w:p>
            <w:pPr>
              <w:jc w:val="right"/>
              <w:ind w:right="72"/>
              <w:spacing w:after="0"/>
              <w:rPr>
                <w:sz w:val="20"/>
                <w:szCs w:val="20"/>
                <w:color w:val="auto"/>
              </w:rPr>
            </w:pPr>
            <w:r>
              <w:rPr>
                <w:rFonts w:ascii="Arial" w:cs="Arial" w:eastAsia="Arial" w:hAnsi="Arial"/>
                <w:sz w:val="10"/>
                <w:szCs w:val="10"/>
                <w:color w:val="auto"/>
              </w:rPr>
              <w:t>63</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(26)</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jc w:val="right"/>
              <w:ind w:right="52"/>
              <w:spacing w:after="0"/>
              <w:rPr>
                <w:sz w:val="20"/>
                <w:szCs w:val="20"/>
                <w:color w:val="auto"/>
              </w:rPr>
            </w:pPr>
            <w:r>
              <w:rPr>
                <w:rFonts w:ascii="Arial" w:cs="Arial" w:eastAsia="Arial" w:hAnsi="Arial"/>
                <w:sz w:val="10"/>
                <w:szCs w:val="10"/>
                <w:color w:val="auto"/>
              </w:rPr>
              <w:t>210</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72"/>
              <w:spacing w:after="0"/>
              <w:rPr>
                <w:sz w:val="20"/>
                <w:szCs w:val="20"/>
                <w:color w:val="auto"/>
              </w:rPr>
            </w:pPr>
            <w:r>
              <w:rPr>
                <w:rFonts w:ascii="Arial" w:cs="Arial" w:eastAsia="Arial" w:hAnsi="Arial"/>
                <w:sz w:val="10"/>
                <w:szCs w:val="10"/>
                <w:color w:val="auto"/>
              </w:rPr>
              <w:t>224</w:t>
            </w: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Payer swaptions</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(10)</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(40)</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(30)</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(52)</w:t>
            </w:r>
          </w:p>
        </w:tc>
      </w:tr>
      <w:tr>
        <w:trPr>
          <w:trHeight w:val="176"/>
        </w:trPr>
        <w:tc>
          <w:tcPr>
            <w:tcW w:w="6140" w:type="dxa"/>
            <w:vAlign w:val="bottom"/>
          </w:tcPr>
          <w:p>
            <w:pPr>
              <w:ind w:left="740"/>
              <w:spacing w:after="0"/>
              <w:rPr>
                <w:sz w:val="20"/>
                <w:szCs w:val="20"/>
                <w:color w:val="auto"/>
              </w:rPr>
            </w:pPr>
            <w:r>
              <w:rPr>
                <w:rFonts w:ascii="Arial" w:cs="Arial" w:eastAsia="Arial" w:hAnsi="Arial"/>
                <w:sz w:val="10"/>
                <w:szCs w:val="10"/>
                <w:color w:val="auto"/>
              </w:rPr>
              <w:t>Receiver swaptions</w:t>
            </w:r>
          </w:p>
        </w:tc>
        <w:tc>
          <w:tcPr>
            <w:tcW w:w="60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5"/>
                <w:szCs w:val="15"/>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5"/>
                <w:szCs w:val="15"/>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5"/>
                <w:szCs w:val="15"/>
                <w:color w:val="auto"/>
              </w:rPr>
            </w:pPr>
          </w:p>
        </w:tc>
        <w:tc>
          <w:tcPr>
            <w:tcW w:w="700" w:type="dxa"/>
            <w:vAlign w:val="bottom"/>
          </w:tcPr>
          <w:p>
            <w:pPr>
              <w:jc w:val="right"/>
              <w:ind w:right="72"/>
              <w:spacing w:after="0"/>
              <w:rPr>
                <w:sz w:val="20"/>
                <w:szCs w:val="20"/>
                <w:color w:val="auto"/>
              </w:rPr>
            </w:pPr>
            <w:r>
              <w:rPr>
                <w:rFonts w:ascii="Arial" w:cs="Arial" w:eastAsia="Arial" w:hAnsi="Arial"/>
                <w:sz w:val="10"/>
                <w:szCs w:val="10"/>
                <w:color w:val="auto"/>
              </w:rPr>
              <w:t>15</w:t>
            </w: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U.S. Treasury securities - long position</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12</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7</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(35)</w:t>
            </w:r>
          </w:p>
        </w:tc>
      </w:tr>
      <w:tr>
        <w:trPr>
          <w:trHeight w:val="176"/>
        </w:trPr>
        <w:tc>
          <w:tcPr>
            <w:tcW w:w="6140" w:type="dxa"/>
            <w:vAlign w:val="bottom"/>
          </w:tcPr>
          <w:p>
            <w:pPr>
              <w:ind w:left="740"/>
              <w:spacing w:after="0"/>
              <w:rPr>
                <w:sz w:val="20"/>
                <w:szCs w:val="20"/>
                <w:color w:val="auto"/>
              </w:rPr>
            </w:pPr>
            <w:r>
              <w:rPr>
                <w:rFonts w:ascii="Arial" w:cs="Arial" w:eastAsia="Arial" w:hAnsi="Arial"/>
                <w:sz w:val="10"/>
                <w:szCs w:val="10"/>
                <w:color w:val="auto"/>
              </w:rPr>
              <w:t>U.S. Treasury securities - short position</w:t>
            </w:r>
          </w:p>
        </w:tc>
        <w:tc>
          <w:tcPr>
            <w:tcW w:w="600" w:type="dxa"/>
            <w:vAlign w:val="bottom"/>
          </w:tcPr>
          <w:p>
            <w:pPr>
              <w:spacing w:after="0"/>
              <w:rPr>
                <w:sz w:val="15"/>
                <w:szCs w:val="15"/>
                <w:color w:val="auto"/>
              </w:rPr>
            </w:pPr>
          </w:p>
        </w:tc>
        <w:tc>
          <w:tcPr>
            <w:tcW w:w="340" w:type="dxa"/>
            <w:vAlign w:val="bottom"/>
          </w:tcPr>
          <w:p>
            <w:pPr>
              <w:jc w:val="right"/>
              <w:ind w:right="32"/>
              <w:spacing w:after="0"/>
              <w:rPr>
                <w:sz w:val="20"/>
                <w:szCs w:val="20"/>
                <w:color w:val="auto"/>
              </w:rPr>
            </w:pPr>
            <w:r>
              <w:rPr>
                <w:rFonts w:ascii="Arial" w:cs="Arial" w:eastAsia="Arial" w:hAnsi="Arial"/>
                <w:sz w:val="10"/>
                <w:szCs w:val="10"/>
                <w:color w:val="auto"/>
              </w:rPr>
              <w:t>(11)</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(5)</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jc w:val="right"/>
              <w:ind w:right="32"/>
              <w:spacing w:after="0"/>
              <w:rPr>
                <w:sz w:val="20"/>
                <w:szCs w:val="20"/>
                <w:color w:val="auto"/>
              </w:rPr>
            </w:pPr>
            <w:r>
              <w:rPr>
                <w:rFonts w:ascii="Arial" w:cs="Arial" w:eastAsia="Arial" w:hAnsi="Arial"/>
                <w:sz w:val="10"/>
                <w:szCs w:val="10"/>
                <w:color w:val="auto"/>
              </w:rPr>
              <w:t>(64)</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(70)</w:t>
            </w: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U.S. Treasury futures - short position</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(43)</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(10)</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(102)</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(24)</w:t>
            </w:r>
          </w:p>
        </w:tc>
      </w:tr>
      <w:tr>
        <w:trPr>
          <w:trHeight w:val="176"/>
        </w:trPr>
        <w:tc>
          <w:tcPr>
            <w:tcW w:w="6140" w:type="dxa"/>
            <w:vAlign w:val="bottom"/>
          </w:tcPr>
          <w:p>
            <w:pPr>
              <w:ind w:left="740"/>
              <w:spacing w:after="0"/>
              <w:rPr>
                <w:sz w:val="20"/>
                <w:szCs w:val="20"/>
                <w:color w:val="auto"/>
              </w:rPr>
            </w:pPr>
            <w:r>
              <w:rPr>
                <w:rFonts w:ascii="Arial" w:cs="Arial" w:eastAsia="Arial" w:hAnsi="Arial"/>
                <w:sz w:val="10"/>
                <w:szCs w:val="10"/>
                <w:color w:val="auto"/>
              </w:rPr>
              <w:t>Interest rate swap termination fees</w:t>
            </w:r>
          </w:p>
        </w:tc>
        <w:tc>
          <w:tcPr>
            <w:tcW w:w="600" w:type="dxa"/>
            <w:vAlign w:val="bottom"/>
          </w:tcPr>
          <w:p>
            <w:pPr>
              <w:spacing w:after="0"/>
              <w:rPr>
                <w:sz w:val="15"/>
                <w:szCs w:val="15"/>
                <w:color w:val="auto"/>
              </w:rPr>
            </w:pPr>
          </w:p>
        </w:tc>
        <w:tc>
          <w:tcPr>
            <w:tcW w:w="340" w:type="dxa"/>
            <w:vAlign w:val="bottom"/>
          </w:tcPr>
          <w:p>
            <w:pPr>
              <w:jc w:val="right"/>
              <w:ind w:right="32"/>
              <w:spacing w:after="0"/>
              <w:rPr>
                <w:sz w:val="20"/>
                <w:szCs w:val="20"/>
                <w:color w:val="auto"/>
              </w:rPr>
            </w:pPr>
            <w:r>
              <w:rPr>
                <w:rFonts w:ascii="Arial" w:cs="Arial" w:eastAsia="Arial" w:hAnsi="Arial"/>
                <w:sz w:val="10"/>
                <w:szCs w:val="10"/>
                <w:color w:val="auto"/>
              </w:rPr>
              <w:t>(299)</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(2)</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jc w:val="right"/>
              <w:ind w:right="32"/>
              <w:spacing w:after="0"/>
              <w:rPr>
                <w:sz w:val="20"/>
                <w:szCs w:val="20"/>
                <w:color w:val="auto"/>
              </w:rPr>
            </w:pPr>
            <w:r>
              <w:rPr>
                <w:rFonts w:ascii="Arial" w:cs="Arial" w:eastAsia="Arial" w:hAnsi="Arial"/>
                <w:sz w:val="10"/>
                <w:szCs w:val="10"/>
                <w:color w:val="auto"/>
              </w:rPr>
              <w:t>(865)</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(164)</w:t>
            </w:r>
          </w:p>
        </w:tc>
      </w:tr>
      <w:tr>
        <w:trPr>
          <w:trHeight w:val="184"/>
        </w:trPr>
        <w:tc>
          <w:tcPr>
            <w:tcW w:w="6140" w:type="dxa"/>
            <w:vAlign w:val="bottom"/>
            <w:shd w:val="clear" w:color="auto" w:fill="CCEEFF"/>
          </w:tcPr>
          <w:p>
            <w:pPr>
              <w:ind w:left="180"/>
              <w:spacing w:after="0"/>
              <w:rPr>
                <w:sz w:val="20"/>
                <w:szCs w:val="20"/>
                <w:color w:val="auto"/>
              </w:rPr>
            </w:pPr>
            <w:r>
              <w:rPr>
                <w:rFonts w:ascii="Arial" w:cs="Arial" w:eastAsia="Arial" w:hAnsi="Arial"/>
                <w:sz w:val="10"/>
                <w:szCs w:val="10"/>
                <w:color w:val="auto"/>
              </w:rPr>
              <w:t>REIT equity securities</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4</w:t>
            </w:r>
          </w:p>
        </w:tc>
      </w:tr>
      <w:tr>
        <w:trPr>
          <w:trHeight w:val="176"/>
        </w:trPr>
        <w:tc>
          <w:tcPr>
            <w:tcW w:w="6140" w:type="dxa"/>
            <w:vAlign w:val="bottom"/>
            <w:tcBorders>
              <w:bottom w:val="single" w:sz="8" w:color="CCEEFF"/>
            </w:tcBorders>
          </w:tcPr>
          <w:p>
            <w:pPr>
              <w:ind w:left="180"/>
              <w:spacing w:after="0"/>
              <w:rPr>
                <w:sz w:val="20"/>
                <w:szCs w:val="20"/>
                <w:color w:val="auto"/>
              </w:rPr>
            </w:pPr>
            <w:r>
              <w:rPr>
                <w:rFonts w:ascii="Arial" w:cs="Arial" w:eastAsia="Arial" w:hAnsi="Arial"/>
                <w:sz w:val="10"/>
                <w:szCs w:val="10"/>
                <w:color w:val="auto"/>
              </w:rPr>
              <w:t>Other</w:t>
            </w:r>
          </w:p>
        </w:tc>
        <w:tc>
          <w:tcPr>
            <w:tcW w:w="600" w:type="dxa"/>
            <w:vAlign w:val="bottom"/>
            <w:tcBorders>
              <w:bottom w:val="single" w:sz="8" w:color="auto"/>
            </w:tcBorders>
          </w:tcPr>
          <w:p>
            <w:pPr>
              <w:spacing w:after="0"/>
              <w:rPr>
                <w:sz w:val="15"/>
                <w:szCs w:val="15"/>
                <w:color w:val="auto"/>
              </w:rPr>
            </w:pPr>
          </w:p>
        </w:tc>
        <w:tc>
          <w:tcPr>
            <w:tcW w:w="3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(1)</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0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(1)</w:t>
            </w:r>
          </w:p>
        </w:tc>
        <w:tc>
          <w:tcPr>
            <w:tcW w:w="10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7</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0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w:t>
            </w:r>
          </w:p>
        </w:tc>
      </w:tr>
      <w:tr>
        <w:trPr>
          <w:trHeight w:val="164"/>
        </w:trPr>
        <w:tc>
          <w:tcPr>
            <w:tcW w:w="6140" w:type="dxa"/>
            <w:vAlign w:val="bottom"/>
            <w:shd w:val="clear" w:color="auto" w:fill="CCEEFF"/>
          </w:tcPr>
          <w:p>
            <w:pPr>
              <w:ind w:left="20"/>
              <w:spacing w:after="0"/>
              <w:rPr>
                <w:sz w:val="20"/>
                <w:szCs w:val="20"/>
                <w:color w:val="auto"/>
              </w:rPr>
            </w:pPr>
            <w:r>
              <w:rPr>
                <w:rFonts w:ascii="Arial" w:cs="Arial" w:eastAsia="Arial" w:hAnsi="Arial"/>
                <w:sz w:val="10"/>
                <w:szCs w:val="10"/>
                <w:color w:val="auto"/>
              </w:rPr>
              <w:t>Total realized gain (loss) on derivative instruments and other securities, net</w:t>
            </w:r>
          </w:p>
        </w:tc>
        <w:tc>
          <w:tcPr>
            <w:tcW w:w="600" w:type="dxa"/>
            <w:vAlign w:val="bottom"/>
            <w:tcBorders>
              <w:bottom w:val="single" w:sz="8" w:color="auto"/>
            </w:tcBorders>
            <w:shd w:val="clear" w:color="auto" w:fill="CCEEFF"/>
          </w:tcPr>
          <w:p>
            <w:pPr>
              <w:spacing w:after="0"/>
              <w:rPr>
                <w:sz w:val="14"/>
                <w:szCs w:val="14"/>
                <w:color w:val="auto"/>
              </w:rPr>
            </w:pPr>
          </w:p>
        </w:tc>
        <w:tc>
          <w:tcPr>
            <w:tcW w:w="3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(247)</w:t>
            </w:r>
          </w:p>
        </w:tc>
        <w:tc>
          <w:tcPr>
            <w:tcW w:w="100" w:type="dxa"/>
            <w:vAlign w:val="bottom"/>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spacing w:after="0"/>
              <w:rPr>
                <w:sz w:val="14"/>
                <w:szCs w:val="14"/>
                <w:color w:val="auto"/>
              </w:rPr>
            </w:pPr>
          </w:p>
        </w:tc>
        <w:tc>
          <w:tcPr>
            <w:tcW w:w="7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spacing w:after="0"/>
              <w:rPr>
                <w:sz w:val="14"/>
                <w:szCs w:val="14"/>
                <w:color w:val="auto"/>
              </w:rPr>
            </w:pPr>
          </w:p>
        </w:tc>
        <w:tc>
          <w:tcPr>
            <w:tcW w:w="7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(690)</w:t>
            </w:r>
          </w:p>
        </w:tc>
        <w:tc>
          <w:tcPr>
            <w:tcW w:w="100" w:type="dxa"/>
            <w:vAlign w:val="bottom"/>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spacing w:after="0"/>
              <w:rPr>
                <w:sz w:val="14"/>
                <w:szCs w:val="14"/>
                <w:color w:val="auto"/>
              </w:rPr>
            </w:pPr>
          </w:p>
        </w:tc>
        <w:tc>
          <w:tcPr>
            <w:tcW w:w="70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82</w:t>
            </w:r>
          </w:p>
        </w:tc>
      </w:tr>
      <w:tr>
        <w:trPr>
          <w:trHeight w:val="165"/>
        </w:trPr>
        <w:tc>
          <w:tcPr>
            <w:tcW w:w="6140" w:type="dxa"/>
            <w:vAlign w:val="bottom"/>
          </w:tcPr>
          <w:p>
            <w:pPr>
              <w:ind w:left="20"/>
              <w:spacing w:after="0"/>
              <w:rPr>
                <w:sz w:val="20"/>
                <w:szCs w:val="20"/>
                <w:color w:val="auto"/>
              </w:rPr>
            </w:pPr>
            <w:r>
              <w:rPr>
                <w:rFonts w:ascii="Arial" w:cs="Arial" w:eastAsia="Arial" w:hAnsi="Arial"/>
                <w:sz w:val="10"/>
                <w:szCs w:val="10"/>
                <w:color w:val="auto"/>
              </w:rPr>
              <w:t>Unrealized gain (loss) on derivative instruments and other securities, net:</w:t>
            </w:r>
          </w:p>
        </w:tc>
        <w:tc>
          <w:tcPr>
            <w:tcW w:w="6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00" w:type="dxa"/>
            <w:vAlign w:val="bottom"/>
          </w:tcPr>
          <w:p>
            <w:pPr>
              <w:spacing w:after="0"/>
              <w:rPr>
                <w:sz w:val="14"/>
                <w:szCs w:val="14"/>
                <w:color w:val="auto"/>
              </w:rPr>
            </w:pP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TBA securities - mark-to-market net gain (loss)</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(50)</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166</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33</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(71)</w:t>
            </w:r>
          </w:p>
        </w:tc>
      </w:tr>
      <w:tr>
        <w:trPr>
          <w:trHeight w:val="176"/>
        </w:trPr>
        <w:tc>
          <w:tcPr>
            <w:tcW w:w="6140" w:type="dxa"/>
            <w:vAlign w:val="bottom"/>
          </w:tcPr>
          <w:p>
            <w:pPr>
              <w:ind w:left="740"/>
              <w:spacing w:after="0"/>
              <w:rPr>
                <w:sz w:val="20"/>
                <w:szCs w:val="20"/>
                <w:color w:val="auto"/>
              </w:rPr>
            </w:pPr>
            <w:r>
              <w:rPr>
                <w:rFonts w:ascii="Arial" w:cs="Arial" w:eastAsia="Arial" w:hAnsi="Arial"/>
                <w:sz w:val="10"/>
                <w:szCs w:val="10"/>
                <w:color w:val="auto"/>
              </w:rPr>
              <w:t>Interest rate swaps</w:t>
            </w:r>
          </w:p>
        </w:tc>
        <w:tc>
          <w:tcPr>
            <w:tcW w:w="600" w:type="dxa"/>
            <w:vAlign w:val="bottom"/>
          </w:tcPr>
          <w:p>
            <w:pPr>
              <w:spacing w:after="0"/>
              <w:rPr>
                <w:sz w:val="15"/>
                <w:szCs w:val="15"/>
                <w:color w:val="auto"/>
              </w:rPr>
            </w:pPr>
          </w:p>
        </w:tc>
        <w:tc>
          <w:tcPr>
            <w:tcW w:w="340" w:type="dxa"/>
            <w:vAlign w:val="bottom"/>
          </w:tcPr>
          <w:p>
            <w:pPr>
              <w:jc w:val="right"/>
              <w:ind w:right="72"/>
              <w:spacing w:after="0"/>
              <w:rPr>
                <w:sz w:val="20"/>
                <w:szCs w:val="20"/>
                <w:color w:val="auto"/>
              </w:rPr>
            </w:pPr>
            <w:r>
              <w:rPr>
                <w:rFonts w:ascii="Arial" w:cs="Arial" w:eastAsia="Arial" w:hAnsi="Arial"/>
                <w:sz w:val="10"/>
                <w:szCs w:val="10"/>
                <w:color w:val="auto"/>
              </w:rPr>
              <w:t>503</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(857)</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jc w:val="right"/>
              <w:ind w:right="32"/>
              <w:spacing w:after="0"/>
              <w:rPr>
                <w:sz w:val="20"/>
                <w:szCs w:val="20"/>
                <w:color w:val="auto"/>
              </w:rPr>
            </w:pPr>
            <w:r>
              <w:rPr>
                <w:rFonts w:ascii="Arial" w:cs="Arial" w:eastAsia="Arial" w:hAnsi="Arial"/>
                <w:sz w:val="10"/>
                <w:szCs w:val="10"/>
                <w:color w:val="auto"/>
              </w:rPr>
              <w:t>(134)</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(824)</w:t>
            </w: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Payer swaptions</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9</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17</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18</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25</w:t>
            </w:r>
          </w:p>
        </w:tc>
      </w:tr>
      <w:tr>
        <w:trPr>
          <w:trHeight w:val="176"/>
        </w:trPr>
        <w:tc>
          <w:tcPr>
            <w:tcW w:w="6140" w:type="dxa"/>
            <w:vAlign w:val="bottom"/>
          </w:tcPr>
          <w:p>
            <w:pPr>
              <w:ind w:left="740"/>
              <w:spacing w:after="0"/>
              <w:rPr>
                <w:sz w:val="20"/>
                <w:szCs w:val="20"/>
                <w:color w:val="auto"/>
              </w:rPr>
            </w:pPr>
            <w:r>
              <w:rPr>
                <w:rFonts w:ascii="Arial" w:cs="Arial" w:eastAsia="Arial" w:hAnsi="Arial"/>
                <w:sz w:val="10"/>
                <w:szCs w:val="10"/>
                <w:color w:val="auto"/>
              </w:rPr>
              <w:t>Receiver swaptions</w:t>
            </w:r>
          </w:p>
        </w:tc>
        <w:tc>
          <w:tcPr>
            <w:tcW w:w="60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5"/>
                <w:szCs w:val="15"/>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5"/>
                <w:szCs w:val="15"/>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(11)</w:t>
            </w: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Interest and principal-only strips</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(6)</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10</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14</w:t>
            </w:r>
          </w:p>
        </w:tc>
      </w:tr>
      <w:tr>
        <w:trPr>
          <w:trHeight w:val="176"/>
        </w:trPr>
        <w:tc>
          <w:tcPr>
            <w:tcW w:w="6140" w:type="dxa"/>
            <w:vAlign w:val="bottom"/>
          </w:tcPr>
          <w:p>
            <w:pPr>
              <w:ind w:left="740"/>
              <w:spacing w:after="0"/>
              <w:rPr>
                <w:sz w:val="20"/>
                <w:szCs w:val="20"/>
                <w:color w:val="auto"/>
              </w:rPr>
            </w:pPr>
            <w:r>
              <w:rPr>
                <w:rFonts w:ascii="Arial" w:cs="Arial" w:eastAsia="Arial" w:hAnsi="Arial"/>
                <w:sz w:val="10"/>
                <w:szCs w:val="10"/>
                <w:color w:val="auto"/>
              </w:rPr>
              <w:t>U.S. Treasury securities - long position</w:t>
            </w:r>
          </w:p>
        </w:tc>
        <w:tc>
          <w:tcPr>
            <w:tcW w:w="60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5"/>
                <w:szCs w:val="15"/>
                <w:color w:val="auto"/>
              </w:rPr>
            </w:pPr>
          </w:p>
        </w:tc>
        <w:tc>
          <w:tcPr>
            <w:tcW w:w="700" w:type="dxa"/>
            <w:vAlign w:val="bottom"/>
          </w:tcPr>
          <w:p>
            <w:pPr>
              <w:jc w:val="right"/>
              <w:ind w:right="52"/>
              <w:spacing w:after="0"/>
              <w:rPr>
                <w:sz w:val="20"/>
                <w:szCs w:val="20"/>
                <w:color w:val="auto"/>
              </w:rPr>
            </w:pPr>
            <w:r>
              <w:rPr>
                <w:rFonts w:ascii="Arial" w:cs="Arial" w:eastAsia="Arial" w:hAnsi="Arial"/>
                <w:sz w:val="10"/>
                <w:szCs w:val="10"/>
                <w:color w:val="auto"/>
              </w:rPr>
              <w:t>17</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5"/>
                <w:szCs w:val="15"/>
                <w:color w:val="auto"/>
              </w:rPr>
            </w:pPr>
          </w:p>
        </w:tc>
        <w:tc>
          <w:tcPr>
            <w:tcW w:w="700" w:type="dxa"/>
            <w:vAlign w:val="bottom"/>
          </w:tcPr>
          <w:p>
            <w:pPr>
              <w:jc w:val="right"/>
              <w:ind w:right="72"/>
              <w:spacing w:after="0"/>
              <w:rPr>
                <w:sz w:val="20"/>
                <w:szCs w:val="20"/>
                <w:color w:val="auto"/>
              </w:rPr>
            </w:pPr>
            <w:r>
              <w:rPr>
                <w:rFonts w:ascii="Arial" w:cs="Arial" w:eastAsia="Arial" w:hAnsi="Arial"/>
                <w:sz w:val="10"/>
                <w:szCs w:val="10"/>
                <w:color w:val="auto"/>
              </w:rPr>
              <w:t>—</w:t>
            </w: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U.S. Treasury securities - short position</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25</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(20)</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(78)</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(19)</w:t>
            </w:r>
          </w:p>
        </w:tc>
      </w:tr>
      <w:tr>
        <w:trPr>
          <w:trHeight w:val="176"/>
        </w:trPr>
        <w:tc>
          <w:tcPr>
            <w:tcW w:w="6140" w:type="dxa"/>
            <w:vAlign w:val="bottom"/>
          </w:tcPr>
          <w:p>
            <w:pPr>
              <w:ind w:left="740"/>
              <w:spacing w:after="0"/>
              <w:rPr>
                <w:sz w:val="20"/>
                <w:szCs w:val="20"/>
                <w:color w:val="auto"/>
              </w:rPr>
            </w:pPr>
            <w:r>
              <w:rPr>
                <w:rFonts w:ascii="Arial" w:cs="Arial" w:eastAsia="Arial" w:hAnsi="Arial"/>
                <w:sz w:val="10"/>
                <w:szCs w:val="10"/>
                <w:color w:val="auto"/>
              </w:rPr>
              <w:t>U.S. Treasury futures - short position</w:t>
            </w:r>
          </w:p>
        </w:tc>
        <w:tc>
          <w:tcPr>
            <w:tcW w:w="600" w:type="dxa"/>
            <w:vAlign w:val="bottom"/>
          </w:tcPr>
          <w:p>
            <w:pPr>
              <w:spacing w:after="0"/>
              <w:rPr>
                <w:sz w:val="15"/>
                <w:szCs w:val="15"/>
                <w:color w:val="auto"/>
              </w:rPr>
            </w:pPr>
          </w:p>
        </w:tc>
        <w:tc>
          <w:tcPr>
            <w:tcW w:w="340" w:type="dxa"/>
            <w:vAlign w:val="bottom"/>
          </w:tcPr>
          <w:p>
            <w:pPr>
              <w:jc w:val="right"/>
              <w:ind w:right="72"/>
              <w:spacing w:after="0"/>
              <w:rPr>
                <w:sz w:val="20"/>
                <w:szCs w:val="20"/>
                <w:color w:val="auto"/>
              </w:rPr>
            </w:pPr>
            <w:r>
              <w:rPr>
                <w:rFonts w:ascii="Arial" w:cs="Arial" w:eastAsia="Arial" w:hAnsi="Arial"/>
                <w:sz w:val="10"/>
                <w:szCs w:val="10"/>
                <w:color w:val="auto"/>
              </w:rPr>
              <w:t>58</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(13)</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jc w:val="right"/>
              <w:ind w:right="32"/>
              <w:spacing w:after="0"/>
              <w:rPr>
                <w:sz w:val="20"/>
                <w:szCs w:val="20"/>
                <w:color w:val="auto"/>
              </w:rPr>
            </w:pPr>
            <w:r>
              <w:rPr>
                <w:rFonts w:ascii="Arial" w:cs="Arial" w:eastAsia="Arial" w:hAnsi="Arial"/>
                <w:sz w:val="10"/>
                <w:szCs w:val="10"/>
                <w:color w:val="auto"/>
              </w:rPr>
              <w:t>(4)</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(4)</w:t>
            </w:r>
          </w:p>
        </w:tc>
      </w:tr>
      <w:tr>
        <w:trPr>
          <w:trHeight w:val="184"/>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Debt of consolidated VIEs</w:t>
            </w:r>
          </w:p>
        </w:tc>
        <w:tc>
          <w:tcPr>
            <w:tcW w:w="600" w:type="dxa"/>
            <w:vAlign w:val="bottom"/>
            <w:shd w:val="clear" w:color="auto" w:fill="CCEEFF"/>
          </w:tcPr>
          <w:p>
            <w:pPr>
              <w:spacing w:after="0"/>
              <w:rPr>
                <w:sz w:val="16"/>
                <w:szCs w:val="16"/>
                <w:color w:val="auto"/>
              </w:rPr>
            </w:pPr>
          </w:p>
        </w:tc>
        <w:tc>
          <w:tcPr>
            <w:tcW w:w="3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(2)</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7</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(8)</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16</w:t>
            </w:r>
          </w:p>
        </w:tc>
      </w:tr>
      <w:tr>
        <w:trPr>
          <w:trHeight w:val="176"/>
        </w:trPr>
        <w:tc>
          <w:tcPr>
            <w:tcW w:w="6140" w:type="dxa"/>
            <w:vAlign w:val="bottom"/>
          </w:tcPr>
          <w:p>
            <w:pPr>
              <w:ind w:left="740"/>
              <w:spacing w:after="0"/>
              <w:rPr>
                <w:sz w:val="20"/>
                <w:szCs w:val="20"/>
                <w:color w:val="auto"/>
              </w:rPr>
            </w:pPr>
            <w:r>
              <w:rPr>
                <w:rFonts w:ascii="Arial" w:cs="Arial" w:eastAsia="Arial" w:hAnsi="Arial"/>
                <w:sz w:val="10"/>
                <w:szCs w:val="10"/>
                <w:color w:val="auto"/>
              </w:rPr>
              <w:t>REIT equity securities</w:t>
            </w:r>
          </w:p>
        </w:tc>
        <w:tc>
          <w:tcPr>
            <w:tcW w:w="600" w:type="dxa"/>
            <w:vAlign w:val="bottom"/>
          </w:tcPr>
          <w:p>
            <w:pPr>
              <w:spacing w:after="0"/>
              <w:rPr>
                <w:sz w:val="15"/>
                <w:szCs w:val="15"/>
                <w:color w:val="auto"/>
              </w:rPr>
            </w:pPr>
          </w:p>
        </w:tc>
        <w:tc>
          <w:tcPr>
            <w:tcW w:w="340" w:type="dxa"/>
            <w:vAlign w:val="bottom"/>
          </w:tcPr>
          <w:p>
            <w:pPr>
              <w:jc w:val="right"/>
              <w:ind w:right="72"/>
              <w:spacing w:after="0"/>
              <w:rPr>
                <w:sz w:val="20"/>
                <w:szCs w:val="20"/>
                <w:color w:val="auto"/>
              </w:rPr>
            </w:pPr>
            <w:r>
              <w:rPr>
                <w:rFonts w:ascii="Arial" w:cs="Arial" w:eastAsia="Arial" w:hAnsi="Arial"/>
                <w:sz w:val="10"/>
                <w:szCs w:val="10"/>
                <w:color w:val="auto"/>
              </w:rPr>
              <w:t>2</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5"/>
                <w:szCs w:val="15"/>
                <w:color w:val="auto"/>
              </w:rPr>
            </w:pPr>
          </w:p>
        </w:tc>
        <w:tc>
          <w:tcPr>
            <w:tcW w:w="760" w:type="dxa"/>
            <w:vAlign w:val="bottom"/>
          </w:tcPr>
          <w:p>
            <w:pPr>
              <w:jc w:val="right"/>
              <w:ind w:right="52"/>
              <w:spacing w:after="0"/>
              <w:rPr>
                <w:sz w:val="20"/>
                <w:szCs w:val="20"/>
                <w:color w:val="auto"/>
              </w:rPr>
            </w:pPr>
            <w:r>
              <w:rPr>
                <w:rFonts w:ascii="Arial" w:cs="Arial" w:eastAsia="Arial" w:hAnsi="Arial"/>
                <w:sz w:val="10"/>
                <w:szCs w:val="10"/>
                <w:color w:val="auto"/>
              </w:rPr>
              <w:t>9</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(8)</w:t>
            </w:r>
          </w:p>
        </w:tc>
      </w:tr>
      <w:tr>
        <w:trPr>
          <w:trHeight w:val="180"/>
        </w:trPr>
        <w:tc>
          <w:tcPr>
            <w:tcW w:w="6140" w:type="dxa"/>
            <w:vAlign w:val="bottom"/>
            <w:shd w:val="clear" w:color="auto" w:fill="CCEEFF"/>
          </w:tcPr>
          <w:p>
            <w:pPr>
              <w:ind w:left="740"/>
              <w:spacing w:after="0"/>
              <w:rPr>
                <w:sz w:val="20"/>
                <w:szCs w:val="20"/>
                <w:color w:val="auto"/>
              </w:rPr>
            </w:pPr>
            <w:r>
              <w:rPr>
                <w:rFonts w:ascii="Arial" w:cs="Arial" w:eastAsia="Arial" w:hAnsi="Arial"/>
                <w:sz w:val="10"/>
                <w:szCs w:val="10"/>
                <w:color w:val="auto"/>
              </w:rPr>
              <w:t>Other</w:t>
            </w:r>
          </w:p>
        </w:tc>
        <w:tc>
          <w:tcPr>
            <w:tcW w:w="600" w:type="dxa"/>
            <w:vAlign w:val="bottom"/>
            <w:shd w:val="clear" w:color="auto" w:fill="CCEEFF"/>
          </w:tcPr>
          <w:p>
            <w:pPr>
              <w:spacing w:after="0"/>
              <w:rPr>
                <w:sz w:val="15"/>
                <w:szCs w:val="15"/>
                <w:color w:val="auto"/>
              </w:rPr>
            </w:pPr>
          </w:p>
        </w:tc>
        <w:tc>
          <w:tcPr>
            <w:tcW w:w="3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5"/>
                <w:szCs w:val="15"/>
                <w:color w:val="auto"/>
              </w:rPr>
            </w:pPr>
          </w:p>
        </w:tc>
        <w:tc>
          <w:tcPr>
            <w:tcW w:w="70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w:t>
            </w:r>
          </w:p>
        </w:tc>
      </w:tr>
      <w:tr>
        <w:trPr>
          <w:trHeight w:val="160"/>
        </w:trPr>
        <w:tc>
          <w:tcPr>
            <w:tcW w:w="6140" w:type="dxa"/>
            <w:vAlign w:val="bottom"/>
            <w:tcBorders>
              <w:bottom w:val="single" w:sz="8" w:color="CCEEFF"/>
            </w:tcBorders>
          </w:tcPr>
          <w:p>
            <w:pPr>
              <w:ind w:left="20"/>
              <w:spacing w:after="0"/>
              <w:rPr>
                <w:sz w:val="20"/>
                <w:szCs w:val="20"/>
                <w:color w:val="auto"/>
              </w:rPr>
            </w:pPr>
            <w:r>
              <w:rPr>
                <w:rFonts w:ascii="Arial" w:cs="Arial" w:eastAsia="Arial" w:hAnsi="Arial"/>
                <w:sz w:val="10"/>
                <w:szCs w:val="10"/>
                <w:color w:val="auto"/>
              </w:rPr>
              <w:t>Total unrealized gain (loss) on derivative instruments and other securities, net</w:t>
            </w:r>
          </w:p>
        </w:tc>
        <w:tc>
          <w:tcPr>
            <w:tcW w:w="600" w:type="dxa"/>
            <w:vAlign w:val="bottom"/>
            <w:tcBorders>
              <w:top w:val="single" w:sz="8" w:color="auto"/>
              <w:bottom w:val="single" w:sz="8" w:color="auto"/>
            </w:tcBorders>
          </w:tcPr>
          <w:p>
            <w:pPr>
              <w:spacing w:after="0"/>
              <w:rPr>
                <w:sz w:val="13"/>
                <w:szCs w:val="13"/>
                <w:color w:val="auto"/>
              </w:rPr>
            </w:pPr>
          </w:p>
        </w:tc>
        <w:tc>
          <w:tcPr>
            <w:tcW w:w="340" w:type="dxa"/>
            <w:vAlign w:val="bottom"/>
            <w:tcBorders>
              <w:top w:val="single" w:sz="8" w:color="auto"/>
              <w:bottom w:val="single" w:sz="8" w:color="auto"/>
            </w:tcBorders>
          </w:tcPr>
          <w:p>
            <w:pPr>
              <w:jc w:val="right"/>
              <w:ind w:right="72"/>
              <w:spacing w:after="0"/>
              <w:rPr>
                <w:sz w:val="20"/>
                <w:szCs w:val="20"/>
                <w:color w:val="auto"/>
              </w:rPr>
            </w:pPr>
            <w:r>
              <w:rPr>
                <w:rFonts w:ascii="Arial" w:cs="Arial" w:eastAsia="Arial" w:hAnsi="Arial"/>
                <w:sz w:val="10"/>
                <w:szCs w:val="10"/>
                <w:color w:val="auto"/>
              </w:rPr>
              <w:t>540</w:t>
            </w:r>
          </w:p>
        </w:tc>
        <w:tc>
          <w:tcPr>
            <w:tcW w:w="100" w:type="dxa"/>
            <w:vAlign w:val="bottom"/>
            <w:tcBorders>
              <w:bottom w:val="single" w:sz="8" w:color="CCEEFF"/>
            </w:tcBorders>
          </w:tcPr>
          <w:p>
            <w:pPr>
              <w:spacing w:after="0"/>
              <w:rPr>
                <w:sz w:val="13"/>
                <w:szCs w:val="13"/>
                <w:color w:val="auto"/>
              </w:rPr>
            </w:pPr>
          </w:p>
        </w:tc>
        <w:tc>
          <w:tcPr>
            <w:tcW w:w="200" w:type="dxa"/>
            <w:vAlign w:val="bottom"/>
            <w:tcBorders>
              <w:top w:val="single" w:sz="8" w:color="auto"/>
              <w:bottom w:val="single" w:sz="8" w:color="auto"/>
            </w:tcBorders>
          </w:tcPr>
          <w:p>
            <w:pPr>
              <w:spacing w:after="0"/>
              <w:rPr>
                <w:sz w:val="13"/>
                <w:szCs w:val="13"/>
                <w:color w:val="auto"/>
              </w:rPr>
            </w:pPr>
          </w:p>
        </w:tc>
        <w:tc>
          <w:tcPr>
            <w:tcW w:w="70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0"/>
                <w:szCs w:val="10"/>
                <w:color w:val="auto"/>
              </w:rPr>
              <w:t>(672)</w:t>
            </w:r>
          </w:p>
        </w:tc>
        <w:tc>
          <w:tcPr>
            <w:tcW w:w="100" w:type="dxa"/>
            <w:vAlign w:val="bottom"/>
            <w:tcBorders>
              <w:bottom w:val="single" w:sz="8" w:color="CCEEFF"/>
            </w:tcBorders>
          </w:tcPr>
          <w:p>
            <w:pPr>
              <w:spacing w:after="0"/>
              <w:rPr>
                <w:sz w:val="13"/>
                <w:szCs w:val="13"/>
                <w:color w:val="auto"/>
              </w:rPr>
            </w:pPr>
          </w:p>
        </w:tc>
        <w:tc>
          <w:tcPr>
            <w:tcW w:w="140" w:type="dxa"/>
            <w:vAlign w:val="bottom"/>
            <w:tcBorders>
              <w:top w:val="single" w:sz="8" w:color="auto"/>
              <w:bottom w:val="single" w:sz="8" w:color="auto"/>
            </w:tcBorders>
          </w:tcPr>
          <w:p>
            <w:pPr>
              <w:spacing w:after="0"/>
              <w:rPr>
                <w:sz w:val="13"/>
                <w:szCs w:val="13"/>
                <w:color w:val="auto"/>
              </w:rPr>
            </w:pPr>
          </w:p>
        </w:tc>
        <w:tc>
          <w:tcPr>
            <w:tcW w:w="76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0"/>
                <w:szCs w:val="10"/>
                <w:color w:val="auto"/>
              </w:rPr>
              <w:t>(159)</w:t>
            </w:r>
          </w:p>
        </w:tc>
        <w:tc>
          <w:tcPr>
            <w:tcW w:w="100" w:type="dxa"/>
            <w:vAlign w:val="bottom"/>
            <w:tcBorders>
              <w:bottom w:val="single" w:sz="8" w:color="CCEEFF"/>
            </w:tcBorders>
          </w:tcPr>
          <w:p>
            <w:pPr>
              <w:spacing w:after="0"/>
              <w:rPr>
                <w:sz w:val="13"/>
                <w:szCs w:val="13"/>
                <w:color w:val="auto"/>
              </w:rPr>
            </w:pPr>
          </w:p>
        </w:tc>
        <w:tc>
          <w:tcPr>
            <w:tcW w:w="200" w:type="dxa"/>
            <w:vAlign w:val="bottom"/>
            <w:tcBorders>
              <w:top w:val="single" w:sz="8" w:color="auto"/>
              <w:bottom w:val="single" w:sz="8" w:color="auto"/>
            </w:tcBorders>
          </w:tcPr>
          <w:p>
            <w:pPr>
              <w:spacing w:after="0"/>
              <w:rPr>
                <w:sz w:val="13"/>
                <w:szCs w:val="13"/>
                <w:color w:val="auto"/>
              </w:rPr>
            </w:pPr>
          </w:p>
        </w:tc>
        <w:tc>
          <w:tcPr>
            <w:tcW w:w="70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0"/>
                <w:szCs w:val="10"/>
                <w:color w:val="auto"/>
              </w:rPr>
              <w:t>(882)</w:t>
            </w:r>
          </w:p>
        </w:tc>
      </w:tr>
      <w:tr>
        <w:trPr>
          <w:trHeight w:val="162"/>
        </w:trPr>
        <w:tc>
          <w:tcPr>
            <w:tcW w:w="614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Total gain (loss) on derivative instruments and other securities, net</w:t>
            </w:r>
          </w:p>
        </w:tc>
        <w:tc>
          <w:tcPr>
            <w:tcW w:w="600" w:type="dxa"/>
            <w:vAlign w:val="bottom"/>
            <w:tcBorders>
              <w:bottom w:val="single" w:sz="8" w:color="auto"/>
            </w:tcBorders>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242</w:t>
            </w:r>
          </w:p>
        </w:tc>
        <w:tc>
          <w:tcPr>
            <w:tcW w:w="10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(778)</w:t>
            </w:r>
          </w:p>
        </w:tc>
        <w:tc>
          <w:tcPr>
            <w:tcW w:w="10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(1,058)</w:t>
            </w:r>
          </w:p>
        </w:tc>
        <w:tc>
          <w:tcPr>
            <w:tcW w:w="10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(1,090)</w:t>
            </w:r>
          </w:p>
        </w:tc>
      </w:tr>
    </w:tbl>
    <w:p>
      <w:pPr>
        <w:spacing w:after="0" w:line="99" w:lineRule="exact"/>
        <w:rPr>
          <w:sz w:val="20"/>
          <w:szCs w:val="20"/>
          <w:color w:val="auto"/>
        </w:rPr>
      </w:pPr>
    </w:p>
    <w:p>
      <w:pPr>
        <w:ind w:left="280"/>
        <w:spacing w:after="0"/>
        <w:rPr>
          <w:sz w:val="20"/>
          <w:szCs w:val="20"/>
          <w:color w:val="auto"/>
        </w:rPr>
      </w:pPr>
      <w:r>
        <w:rPr>
          <w:rFonts w:ascii="Arial" w:cs="Arial" w:eastAsia="Arial" w:hAnsi="Arial"/>
          <w:sz w:val="12"/>
          <w:szCs w:val="12"/>
          <w:color w:val="auto"/>
        </w:rPr>
        <w:t>For further details regarding our use of derivative instruments and related activity refer to Notes 3 and 6 of our Consolidated Financial Statements in this Form 10-Q.</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Operating Expenses</w:t>
      </w:r>
    </w:p>
    <w:p>
      <w:pPr>
        <w:spacing w:after="0" w:line="114" w:lineRule="exact"/>
        <w:rPr>
          <w:sz w:val="20"/>
          <w:szCs w:val="20"/>
          <w:color w:val="auto"/>
        </w:rPr>
      </w:pPr>
    </w:p>
    <w:p>
      <w:pPr>
        <w:jc w:val="both"/>
        <w:ind w:firstLine="288"/>
        <w:spacing w:after="0" w:line="280" w:lineRule="auto"/>
        <w:rPr>
          <w:sz w:val="20"/>
          <w:szCs w:val="20"/>
          <w:color w:val="auto"/>
        </w:rPr>
      </w:pPr>
      <w:r>
        <w:rPr>
          <w:rFonts w:ascii="Arial" w:cs="Arial" w:eastAsia="Arial" w:hAnsi="Arial"/>
          <w:sz w:val="11"/>
          <w:szCs w:val="11"/>
          <w:color w:val="auto"/>
        </w:rPr>
        <w:t>Prior to our acquisition of AMM and related management internalization on July 1, 2016, we paid our Manager a management fee payable monthly in arrears in an amount equal to one-twelfth of 1.25% of our month-end stockholders' equity, adjusted to exclude the effect of any unrealized gains or losses included in either retained earnings or accumulated OCI, each as computed in accordance with GAAP. There was no incentive compensation payable to our Manager pursuant to the management agreement. We incurred management fees of $52 million for the six months ended June 30, 2016 and $29 million and $88 million for the three and nine months ended September 30, 2015, respectively. Following our management internalization, we no longer incur a management fee, but we incur expenses associated with an internally managed organization, including compensation expense previously borne by our Manager. For the three months ended September 30, 2016, we had compensation and benefits expense of $9 million, consisting of base salary, bonus accruals and benefits expense. As of September 30, 2016, we had not granted stock-based long-term incentive compensation awards to our employees, and, as a result, third quarter compensation and benefits expense does not include long-term compensation expense for our employees. On November 4, 2016, we filed a proxy statement soliciting stockholder approval for our 2016 equity plan, and we intend to make grants thereunder to both attract, motivate and retain high quality employees and directors and align our employees and directors with the interests of our stockholders. We would expect these grants to, in turn, be recognized as compensation and benefits expense in subsequent periods.</w:t>
      </w:r>
    </w:p>
    <w:p>
      <w:pPr>
        <w:spacing w:after="0" w:line="13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44</w:t>
      </w:r>
    </w:p>
    <w:p>
      <w:pPr>
        <w:sectPr>
          <w:pgSz w:w="11900" w:h="16838" w:orient="portrait"/>
          <w:cols w:equalWidth="0" w:num="1">
            <w:col w:w="11480"/>
          </w:cols>
          <w:pgMar w:left="220" w:top="437" w:right="199" w:bottom="1440" w:gutter="0" w:footer="0" w:header="0"/>
        </w:sectPr>
      </w:pPr>
    </w:p>
    <w:bookmarkStart w:id="45" w:name="page46"/>
    <w:bookmarkEnd w:id="45"/>
    <w:p>
      <w:pPr>
        <w:jc w:val="both"/>
        <w:ind w:firstLine="288"/>
        <w:spacing w:after="0" w:line="298" w:lineRule="auto"/>
        <w:rPr>
          <w:sz w:val="20"/>
          <w:szCs w:val="20"/>
          <w:color w:val="auto"/>
        </w:rPr>
      </w:pPr>
      <w:r>
        <w:rPr>
          <w:rFonts w:ascii="Arial" w:cs="Arial" w:eastAsia="Arial" w:hAnsi="Arial"/>
          <w:sz w:val="11"/>
          <w:szCs w:val="11"/>
          <w:color w:val="auto"/>
        </w:rPr>
        <w:t>Other operating expenses were $6 million and $5 million for the three months ended September 30, 2016 and 2015, respectively, and $27 million and $18 million for the nine months ended September 30, 2016 and 2015, respectively. Other operating expenses primarily consist of prime broker fees, amortization of intangible assets associated with our acquisition of AMM, information technology costs, accounting fees, legal fees, Board of Director fees, insurance expense and general overhead expenses. For the nine months ended September 30, 2016, our other operating expenses included $9 million of non-recurring transaction costs associated with our acquisition of AMM.</w:t>
      </w:r>
    </w:p>
    <w:p>
      <w:pPr>
        <w:spacing w:after="0" w:line="6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Our total annualized operating expense as a percentage of our average stockholders' equity was 0.76% and 1.57% for the three months ended September 30, 2016 and 2015, respectively, and 1.51% and 1.57% for the nine months ended September 30, 2016 and 2015, respectively. Excluding non-recurring transaction costs, our total annualized operating expense as a percentage of our average stockholders' equity was 1.35% for the nine months ended September 30, 2016.</w:t>
      </w:r>
    </w:p>
    <w:p>
      <w:pPr>
        <w:spacing w:after="0" w:line="123"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Dividends and Income Taxes</w:t>
      </w:r>
    </w:p>
    <w:p>
      <w:pPr>
        <w:spacing w:after="0" w:line="123" w:lineRule="exact"/>
        <w:rPr>
          <w:sz w:val="20"/>
          <w:szCs w:val="20"/>
          <w:color w:val="auto"/>
        </w:rPr>
      </w:pPr>
    </w:p>
    <w:p>
      <w:pPr>
        <w:jc w:val="both"/>
        <w:ind w:firstLine="288"/>
        <w:spacing w:after="0" w:line="323" w:lineRule="auto"/>
        <w:rPr>
          <w:sz w:val="20"/>
          <w:szCs w:val="20"/>
          <w:color w:val="auto"/>
        </w:rPr>
      </w:pPr>
      <w:r>
        <w:rPr>
          <w:rFonts w:ascii="Arial" w:cs="Arial" w:eastAsia="Arial" w:hAnsi="Arial"/>
          <w:sz w:val="11"/>
          <w:szCs w:val="11"/>
          <w:color w:val="auto"/>
        </w:rPr>
        <w:t>For the three months ended September 30, 2016 and 2015, we had estimated taxable income available to common stockholders of $63 million and $59 million (or $0.19 and $0.17 per common share), respectively, and for the nine months ended September 30, 2016 and 2015, we had estimated taxable income available to common stockholders of $210 million and $340 million (or $0.63 and $0.97 per common share), respectively.</w:t>
      </w:r>
    </w:p>
    <w:p>
      <w:pPr>
        <w:spacing w:after="0" w:line="56" w:lineRule="exact"/>
        <w:rPr>
          <w:sz w:val="20"/>
          <w:szCs w:val="20"/>
          <w:color w:val="auto"/>
        </w:rPr>
      </w:pPr>
    </w:p>
    <w:p>
      <w:pPr>
        <w:jc w:val="both"/>
        <w:ind w:firstLine="288"/>
        <w:spacing w:after="0" w:line="255" w:lineRule="auto"/>
        <w:rPr>
          <w:sz w:val="20"/>
          <w:szCs w:val="20"/>
          <w:color w:val="auto"/>
        </w:rPr>
      </w:pPr>
      <w:r>
        <w:rPr>
          <w:rFonts w:ascii="Arial" w:cs="Arial" w:eastAsia="Arial" w:hAnsi="Arial"/>
          <w:sz w:val="12"/>
          <w:szCs w:val="12"/>
          <w:color w:val="auto"/>
        </w:rPr>
        <w:t>As a REIT, we are required to distribute annually 90% of our ordinary taxable income to maintain our status as a REIT and all of our taxable income to avoid federal and state corporate income taxes. We can treat dividends declared by September 15 and paid by December 31 as having been a distribution of our taxable income for our prior tax year ("spill-back provision"). Income as determined under GAAP differs from income as determined under tax rules because of both temporary and permanent differences in income and expense recognition. The primary differences are (i) unrealized gains and losses associated with interest rate swaps and other derivatives and securities marked-to-market in current income for GAAP purposes, but excluded from taxable income until realized or settled, (ii) timing differences, both temporary and potentially permanent, in the recognition of certain realized gains and losses and (iii) temporary differences related to the amortization of premiums and discounts on investments. Furthermore, our estimated taxable income is subject to potential adjustments up to the time of filing our appropriate tax returns, which occurs after the end of our fiscal year.</w:t>
      </w:r>
    </w:p>
    <w:p>
      <w:pPr>
        <w:spacing w:after="0" w:line="93"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is a reconciliation of our GAAP net income to our estimated taxable income for the three and nine months ended September 30, 2016 and 2015 (dollars in millions, except per share amounts):</w:t>
      </w:r>
    </w:p>
    <w:p>
      <w:pPr>
        <w:spacing w:after="0" w:line="262" w:lineRule="exact"/>
        <w:rPr>
          <w:sz w:val="20"/>
          <w:szCs w:val="20"/>
          <w:color w:val="auto"/>
        </w:rPr>
      </w:pPr>
    </w:p>
    <w:tbl>
      <w:tblPr>
        <w:tblLayout w:type="fixed"/>
        <w:tblInd w:w="740" w:type="dxa"/>
        <w:tblCellMar>
          <w:top w:w="0" w:type="dxa"/>
          <w:left w:w="0" w:type="dxa"/>
          <w:bottom w:w="0" w:type="dxa"/>
          <w:right w:w="0" w:type="dxa"/>
        </w:tblCellMar>
      </w:tblPr>
      <w:tr>
        <w:trPr>
          <w:trHeight w:val="128"/>
        </w:trPr>
        <w:tc>
          <w:tcPr>
            <w:tcW w:w="6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800" w:type="dxa"/>
            <w:vAlign w:val="bottom"/>
            <w:gridSpan w:val="5"/>
          </w:tcPr>
          <w:p>
            <w:pPr>
              <w:ind w:left="60"/>
              <w:spacing w:after="0"/>
              <w:rPr>
                <w:sz w:val="20"/>
                <w:szCs w:val="20"/>
                <w:color w:val="auto"/>
              </w:rPr>
            </w:pPr>
            <w:r>
              <w:rPr>
                <w:rFonts w:ascii="Arial" w:cs="Arial" w:eastAsia="Arial" w:hAnsi="Arial"/>
                <w:sz w:val="10"/>
                <w:szCs w:val="10"/>
                <w:b w:val="1"/>
                <w:bCs w:val="1"/>
                <w:color w:val="auto"/>
              </w:rPr>
              <w:t>Three Months Ended September 30,</w:t>
            </w:r>
          </w:p>
        </w:tc>
        <w:tc>
          <w:tcPr>
            <w:tcW w:w="120" w:type="dxa"/>
            <w:vAlign w:val="bottom"/>
          </w:tcPr>
          <w:p>
            <w:pPr>
              <w:spacing w:after="0"/>
              <w:rPr>
                <w:sz w:val="11"/>
                <w:szCs w:val="11"/>
                <w:color w:val="auto"/>
              </w:rPr>
            </w:pPr>
          </w:p>
        </w:tc>
        <w:tc>
          <w:tcPr>
            <w:tcW w:w="1660" w:type="dxa"/>
            <w:vAlign w:val="bottom"/>
            <w:gridSpan w:val="4"/>
          </w:tcPr>
          <w:p>
            <w:pPr>
              <w:jc w:val="right"/>
              <w:ind w:right="132"/>
              <w:spacing w:after="0"/>
              <w:rPr>
                <w:sz w:val="20"/>
                <w:szCs w:val="20"/>
                <w:color w:val="auto"/>
              </w:rPr>
            </w:pPr>
            <w:r>
              <w:rPr>
                <w:rFonts w:ascii="Arial" w:cs="Arial" w:eastAsia="Arial" w:hAnsi="Arial"/>
                <w:sz w:val="10"/>
                <w:szCs w:val="10"/>
                <w:b w:val="1"/>
                <w:bCs w:val="1"/>
                <w:color w:val="auto"/>
                <w:w w:val="88"/>
              </w:rPr>
              <w:t>Nine Months Ended September 30,</w:t>
            </w:r>
          </w:p>
        </w:tc>
      </w:tr>
      <w:tr>
        <w:trPr>
          <w:trHeight w:val="169"/>
        </w:trPr>
        <w:tc>
          <w:tcPr>
            <w:tcW w:w="6300" w:type="dxa"/>
            <w:vAlign w:val="bottom"/>
            <w:tcBorders>
              <w:bottom w:val="single" w:sz="8" w:color="CCEEFF"/>
            </w:tcBorders>
          </w:tcPr>
          <w:p>
            <w:pPr>
              <w:spacing w:after="0"/>
              <w:rPr>
                <w:sz w:val="14"/>
                <w:szCs w:val="14"/>
                <w:color w:val="auto"/>
              </w:rPr>
            </w:pPr>
          </w:p>
        </w:tc>
        <w:tc>
          <w:tcPr>
            <w:tcW w:w="120" w:type="dxa"/>
            <w:vAlign w:val="bottom"/>
            <w:tcBorders>
              <w:top w:val="single" w:sz="8" w:color="auto"/>
              <w:bottom w:val="single" w:sz="8" w:color="auto"/>
            </w:tcBorders>
          </w:tcPr>
          <w:p>
            <w:pPr>
              <w:spacing w:after="0"/>
              <w:rPr>
                <w:sz w:val="14"/>
                <w:szCs w:val="14"/>
                <w:color w:val="auto"/>
              </w:rPr>
            </w:pPr>
          </w:p>
        </w:tc>
        <w:tc>
          <w:tcPr>
            <w:tcW w:w="700" w:type="dxa"/>
            <w:vAlign w:val="bottom"/>
            <w:tcBorders>
              <w:top w:val="single" w:sz="8" w:color="auto"/>
              <w:bottom w:val="single" w:sz="8" w:color="auto"/>
            </w:tcBorders>
          </w:tcPr>
          <w:p>
            <w:pPr>
              <w:jc w:val="right"/>
              <w:ind w:right="272"/>
              <w:spacing w:after="0"/>
              <w:rPr>
                <w:sz w:val="20"/>
                <w:szCs w:val="20"/>
                <w:color w:val="auto"/>
              </w:rPr>
            </w:pPr>
            <w:r>
              <w:rPr>
                <w:rFonts w:ascii="Arial" w:cs="Arial" w:eastAsia="Arial" w:hAnsi="Arial"/>
                <w:sz w:val="10"/>
                <w:szCs w:val="10"/>
                <w:b w:val="1"/>
                <w:bCs w:val="1"/>
                <w:color w:val="auto"/>
              </w:rPr>
              <w:t>2016</w:t>
            </w:r>
          </w:p>
        </w:tc>
        <w:tc>
          <w:tcPr>
            <w:tcW w:w="10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2015</w:t>
            </w:r>
          </w:p>
        </w:tc>
        <w:tc>
          <w:tcPr>
            <w:tcW w:w="100" w:type="dxa"/>
            <w:vAlign w:val="bottom"/>
            <w:tcBorders>
              <w:bottom w:val="single" w:sz="8" w:color="CCEEFF"/>
            </w:tcBorders>
          </w:tcPr>
          <w:p>
            <w:pPr>
              <w:spacing w:after="0"/>
              <w:rPr>
                <w:sz w:val="14"/>
                <w:szCs w:val="14"/>
                <w:color w:val="auto"/>
              </w:rPr>
            </w:pPr>
          </w:p>
        </w:tc>
        <w:tc>
          <w:tcPr>
            <w:tcW w:w="120" w:type="dxa"/>
            <w:vAlign w:val="bottom"/>
            <w:tcBorders>
              <w:top w:val="single" w:sz="8" w:color="auto"/>
              <w:bottom w:val="single" w:sz="8" w:color="auto"/>
            </w:tcBorders>
          </w:tcPr>
          <w:p>
            <w:pPr>
              <w:spacing w:after="0"/>
              <w:rPr>
                <w:sz w:val="14"/>
                <w:szCs w:val="14"/>
                <w:color w:val="auto"/>
              </w:rPr>
            </w:pPr>
          </w:p>
        </w:tc>
        <w:tc>
          <w:tcPr>
            <w:tcW w:w="660" w:type="dxa"/>
            <w:vAlign w:val="bottom"/>
            <w:tcBorders>
              <w:top w:val="single" w:sz="8" w:color="auto"/>
              <w:bottom w:val="single" w:sz="8" w:color="auto"/>
            </w:tcBorders>
          </w:tcPr>
          <w:p>
            <w:pPr>
              <w:jc w:val="right"/>
              <w:ind w:right="252"/>
              <w:spacing w:after="0"/>
              <w:rPr>
                <w:sz w:val="20"/>
                <w:szCs w:val="20"/>
                <w:color w:val="auto"/>
              </w:rPr>
            </w:pPr>
            <w:r>
              <w:rPr>
                <w:rFonts w:ascii="Arial" w:cs="Arial" w:eastAsia="Arial" w:hAnsi="Arial"/>
                <w:sz w:val="10"/>
                <w:szCs w:val="10"/>
                <w:b w:val="1"/>
                <w:bCs w:val="1"/>
                <w:color w:val="auto"/>
              </w:rPr>
              <w:t>2016</w:t>
            </w:r>
          </w:p>
        </w:tc>
        <w:tc>
          <w:tcPr>
            <w:tcW w:w="100" w:type="dxa"/>
            <w:vAlign w:val="bottom"/>
            <w:tcBorders>
              <w:top w:val="single" w:sz="8" w:color="auto"/>
              <w:bottom w:val="single" w:sz="8" w:color="CCEEFF"/>
            </w:tcBorders>
          </w:tcPr>
          <w:p>
            <w:pPr>
              <w:spacing w:after="0"/>
              <w:rPr>
                <w:sz w:val="14"/>
                <w:szCs w:val="14"/>
                <w:color w:val="auto"/>
              </w:rPr>
            </w:pPr>
          </w:p>
        </w:tc>
        <w:tc>
          <w:tcPr>
            <w:tcW w:w="200" w:type="dxa"/>
            <w:vAlign w:val="bottom"/>
            <w:tcBorders>
              <w:top w:val="single" w:sz="8" w:color="auto"/>
              <w:bottom w:val="single" w:sz="8" w:color="auto"/>
            </w:tcBorders>
          </w:tcPr>
          <w:p>
            <w:pPr>
              <w:spacing w:after="0"/>
              <w:rPr>
                <w:sz w:val="14"/>
                <w:szCs w:val="14"/>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2015</w:t>
            </w:r>
          </w:p>
        </w:tc>
      </w:tr>
      <w:tr>
        <w:trPr>
          <w:trHeight w:val="164"/>
        </w:trPr>
        <w:tc>
          <w:tcPr>
            <w:tcW w:w="6300" w:type="dxa"/>
            <w:vAlign w:val="bottom"/>
            <w:shd w:val="clear" w:color="auto" w:fill="CCEEFF"/>
          </w:tcPr>
          <w:p>
            <w:pPr>
              <w:ind w:left="20"/>
              <w:spacing w:after="0"/>
              <w:rPr>
                <w:sz w:val="20"/>
                <w:szCs w:val="20"/>
                <w:color w:val="auto"/>
              </w:rPr>
            </w:pPr>
            <w:r>
              <w:rPr>
                <w:rFonts w:ascii="Arial" w:cs="Arial" w:eastAsia="Arial" w:hAnsi="Arial"/>
                <w:sz w:val="10"/>
                <w:szCs w:val="10"/>
                <w:color w:val="auto"/>
              </w:rPr>
              <w:t>Net income (loss)</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511</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(633)</w:t>
            </w:r>
          </w:p>
        </w:tc>
        <w:tc>
          <w:tcPr>
            <w:tcW w:w="100" w:type="dxa"/>
            <w:vAlign w:val="bottom"/>
            <w:shd w:val="clear" w:color="auto" w:fill="CCEEFF"/>
          </w:tcPr>
          <w:p>
            <w:pPr>
              <w:spacing w:after="0"/>
              <w:rPr>
                <w:sz w:val="14"/>
                <w:szCs w:val="14"/>
                <w:color w:val="auto"/>
              </w:rPr>
            </w:pP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(396)</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(373)</w:t>
            </w:r>
          </w:p>
        </w:tc>
      </w:tr>
      <w:tr>
        <w:trPr>
          <w:trHeight w:val="176"/>
        </w:trPr>
        <w:tc>
          <w:tcPr>
            <w:tcW w:w="6300" w:type="dxa"/>
            <w:vAlign w:val="bottom"/>
          </w:tcPr>
          <w:p>
            <w:pPr>
              <w:ind w:left="20"/>
              <w:spacing w:after="0"/>
              <w:rPr>
                <w:sz w:val="20"/>
                <w:szCs w:val="20"/>
                <w:color w:val="auto"/>
              </w:rPr>
            </w:pPr>
            <w:r>
              <w:rPr>
                <w:rFonts w:ascii="Arial" w:cs="Arial" w:eastAsia="Arial" w:hAnsi="Arial"/>
                <w:sz w:val="10"/>
                <w:szCs w:val="10"/>
                <w:color w:val="auto"/>
              </w:rPr>
              <w:t>Estimated book to tax differences:</w:t>
            </w:r>
          </w:p>
        </w:tc>
        <w:tc>
          <w:tcPr>
            <w:tcW w:w="12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spacing w:after="0"/>
              <w:rPr>
                <w:sz w:val="15"/>
                <w:szCs w:val="15"/>
                <w:color w:val="auto"/>
              </w:rPr>
            </w:pPr>
          </w:p>
        </w:tc>
      </w:tr>
      <w:tr>
        <w:trPr>
          <w:trHeight w:val="184"/>
        </w:trPr>
        <w:tc>
          <w:tcPr>
            <w:tcW w:w="6300" w:type="dxa"/>
            <w:vAlign w:val="bottom"/>
            <w:shd w:val="clear" w:color="auto" w:fill="CCEEFF"/>
          </w:tcPr>
          <w:p>
            <w:pPr>
              <w:ind w:left="100"/>
              <w:spacing w:after="0"/>
              <w:rPr>
                <w:sz w:val="20"/>
                <w:szCs w:val="20"/>
                <w:color w:val="auto"/>
              </w:rPr>
            </w:pPr>
            <w:r>
              <w:rPr>
                <w:rFonts w:ascii="Arial" w:cs="Arial" w:eastAsia="Arial" w:hAnsi="Arial"/>
                <w:sz w:val="10"/>
                <w:szCs w:val="10"/>
                <w:color w:val="auto"/>
              </w:rPr>
              <w:t>Premium amortization, net</w:t>
            </w:r>
          </w:p>
        </w:tc>
        <w:tc>
          <w:tcPr>
            <w:tcW w:w="12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(15)</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15</w:t>
            </w: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60</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(14)</w:t>
            </w:r>
          </w:p>
        </w:tc>
      </w:tr>
      <w:tr>
        <w:trPr>
          <w:trHeight w:val="176"/>
        </w:trPr>
        <w:tc>
          <w:tcPr>
            <w:tcW w:w="6300" w:type="dxa"/>
            <w:vAlign w:val="bottom"/>
          </w:tcPr>
          <w:p>
            <w:pPr>
              <w:ind w:left="100"/>
              <w:spacing w:after="0"/>
              <w:rPr>
                <w:sz w:val="20"/>
                <w:szCs w:val="20"/>
                <w:color w:val="auto"/>
              </w:rPr>
            </w:pPr>
            <w:r>
              <w:rPr>
                <w:rFonts w:ascii="Arial" w:cs="Arial" w:eastAsia="Arial" w:hAnsi="Arial"/>
                <w:sz w:val="10"/>
                <w:szCs w:val="10"/>
                <w:color w:val="auto"/>
              </w:rPr>
              <w:t>Realized gain/loss, net</w:t>
            </w:r>
          </w:p>
        </w:tc>
        <w:tc>
          <w:tcPr>
            <w:tcW w:w="120" w:type="dxa"/>
            <w:vAlign w:val="bottom"/>
          </w:tcPr>
          <w:p>
            <w:pPr>
              <w:spacing w:after="0"/>
              <w:rPr>
                <w:sz w:val="15"/>
                <w:szCs w:val="15"/>
                <w:color w:val="auto"/>
              </w:rPr>
            </w:pPr>
          </w:p>
        </w:tc>
        <w:tc>
          <w:tcPr>
            <w:tcW w:w="700" w:type="dxa"/>
            <w:vAlign w:val="bottom"/>
          </w:tcPr>
          <w:p>
            <w:pPr>
              <w:jc w:val="right"/>
              <w:ind w:right="52"/>
              <w:spacing w:after="0"/>
              <w:rPr>
                <w:sz w:val="20"/>
                <w:szCs w:val="20"/>
                <w:color w:val="auto"/>
              </w:rPr>
            </w:pPr>
            <w:r>
              <w:rPr>
                <w:rFonts w:ascii="Arial" w:cs="Arial" w:eastAsia="Arial" w:hAnsi="Arial"/>
                <w:sz w:val="10"/>
                <w:szCs w:val="10"/>
                <w:color w:val="auto"/>
              </w:rPr>
              <w:t>249</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52"/>
              <w:spacing w:after="0"/>
              <w:rPr>
                <w:sz w:val="20"/>
                <w:szCs w:val="20"/>
                <w:color w:val="auto"/>
              </w:rPr>
            </w:pPr>
            <w:r>
              <w:rPr>
                <w:rFonts w:ascii="Arial" w:cs="Arial" w:eastAsia="Arial" w:hAnsi="Arial"/>
                <w:sz w:val="10"/>
                <w:szCs w:val="10"/>
                <w:color w:val="auto"/>
              </w:rPr>
              <w:t>12</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60" w:type="dxa"/>
            <w:vAlign w:val="bottom"/>
          </w:tcPr>
          <w:p>
            <w:pPr>
              <w:jc w:val="right"/>
              <w:ind w:right="52"/>
              <w:spacing w:after="0"/>
              <w:rPr>
                <w:sz w:val="20"/>
                <w:szCs w:val="20"/>
                <w:color w:val="auto"/>
              </w:rPr>
            </w:pPr>
            <w:r>
              <w:rPr>
                <w:rFonts w:ascii="Arial" w:cs="Arial" w:eastAsia="Arial" w:hAnsi="Arial"/>
                <w:sz w:val="10"/>
                <w:szCs w:val="10"/>
                <w:color w:val="auto"/>
              </w:rPr>
              <w:t>733</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(140)</w:t>
            </w:r>
          </w:p>
        </w:tc>
      </w:tr>
      <w:tr>
        <w:trPr>
          <w:trHeight w:val="184"/>
        </w:trPr>
        <w:tc>
          <w:tcPr>
            <w:tcW w:w="6300" w:type="dxa"/>
            <w:vAlign w:val="bottom"/>
            <w:shd w:val="clear" w:color="auto" w:fill="CCEEFF"/>
          </w:tcPr>
          <w:p>
            <w:pPr>
              <w:ind w:left="100"/>
              <w:spacing w:after="0"/>
              <w:rPr>
                <w:sz w:val="20"/>
                <w:szCs w:val="20"/>
                <w:color w:val="auto"/>
              </w:rPr>
            </w:pPr>
            <w:r>
              <w:rPr>
                <w:rFonts w:ascii="Arial" w:cs="Arial" w:eastAsia="Arial" w:hAnsi="Arial"/>
                <w:sz w:val="10"/>
                <w:szCs w:val="10"/>
                <w:color w:val="auto"/>
              </w:rPr>
              <w:t>Net capital loss/(utilization of net capital loss carryforward)</w:t>
            </w:r>
          </w:p>
        </w:tc>
        <w:tc>
          <w:tcPr>
            <w:tcW w:w="12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(127)</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0"/>
                <w:szCs w:val="10"/>
                <w:color w:val="auto"/>
              </w:rPr>
              <w:t>—</w:t>
            </w:r>
          </w:p>
        </w:tc>
        <w:tc>
          <w:tcPr>
            <w:tcW w:w="120" w:type="dxa"/>
            <w:vAlign w:val="bottom"/>
            <w:shd w:val="clear" w:color="auto" w:fill="CCEEFF"/>
          </w:tcPr>
          <w:p>
            <w:pPr>
              <w:spacing w:after="0"/>
              <w:rPr>
                <w:sz w:val="16"/>
                <w:szCs w:val="16"/>
                <w:color w:val="auto"/>
              </w:rPr>
            </w:pPr>
          </w:p>
        </w:tc>
        <w:tc>
          <w:tcPr>
            <w:tcW w:w="6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(325)</w:t>
            </w: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6</w:t>
            </w:r>
          </w:p>
        </w:tc>
      </w:tr>
      <w:tr>
        <w:trPr>
          <w:trHeight w:val="176"/>
        </w:trPr>
        <w:tc>
          <w:tcPr>
            <w:tcW w:w="6300" w:type="dxa"/>
            <w:vAlign w:val="bottom"/>
          </w:tcPr>
          <w:p>
            <w:pPr>
              <w:ind w:left="100"/>
              <w:spacing w:after="0"/>
              <w:rPr>
                <w:sz w:val="20"/>
                <w:szCs w:val="20"/>
                <w:color w:val="auto"/>
              </w:rPr>
            </w:pPr>
            <w:r>
              <w:rPr>
                <w:rFonts w:ascii="Arial" w:cs="Arial" w:eastAsia="Arial" w:hAnsi="Arial"/>
                <w:sz w:val="10"/>
                <w:szCs w:val="10"/>
                <w:color w:val="auto"/>
              </w:rPr>
              <w:t>Unrealized gain/loss, net</w:t>
            </w:r>
          </w:p>
        </w:tc>
        <w:tc>
          <w:tcPr>
            <w:tcW w:w="12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(540)</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52"/>
              <w:spacing w:after="0"/>
              <w:rPr>
                <w:sz w:val="20"/>
                <w:szCs w:val="20"/>
                <w:color w:val="auto"/>
              </w:rPr>
            </w:pPr>
            <w:r>
              <w:rPr>
                <w:rFonts w:ascii="Arial" w:cs="Arial" w:eastAsia="Arial" w:hAnsi="Arial"/>
                <w:sz w:val="10"/>
                <w:szCs w:val="10"/>
                <w:color w:val="auto"/>
              </w:rPr>
              <w:t>672</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60" w:type="dxa"/>
            <w:vAlign w:val="bottom"/>
          </w:tcPr>
          <w:p>
            <w:pPr>
              <w:jc w:val="right"/>
              <w:ind w:right="52"/>
              <w:spacing w:after="0"/>
              <w:rPr>
                <w:sz w:val="20"/>
                <w:szCs w:val="20"/>
                <w:color w:val="auto"/>
              </w:rPr>
            </w:pPr>
            <w:r>
              <w:rPr>
                <w:rFonts w:ascii="Arial" w:cs="Arial" w:eastAsia="Arial" w:hAnsi="Arial"/>
                <w:sz w:val="10"/>
                <w:szCs w:val="10"/>
                <w:color w:val="auto"/>
              </w:rPr>
              <w:t>158</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52"/>
              <w:spacing w:after="0"/>
              <w:rPr>
                <w:sz w:val="20"/>
                <w:szCs w:val="20"/>
                <w:color w:val="auto"/>
              </w:rPr>
            </w:pPr>
            <w:r>
              <w:rPr>
                <w:rFonts w:ascii="Arial" w:cs="Arial" w:eastAsia="Arial" w:hAnsi="Arial"/>
                <w:sz w:val="10"/>
                <w:szCs w:val="10"/>
                <w:color w:val="auto"/>
              </w:rPr>
              <w:t>882</w:t>
            </w:r>
          </w:p>
        </w:tc>
      </w:tr>
      <w:tr>
        <w:trPr>
          <w:trHeight w:val="180"/>
        </w:trPr>
        <w:tc>
          <w:tcPr>
            <w:tcW w:w="6300" w:type="dxa"/>
            <w:vAlign w:val="bottom"/>
            <w:shd w:val="clear" w:color="auto" w:fill="CCEEFF"/>
          </w:tcPr>
          <w:p>
            <w:pPr>
              <w:ind w:left="100"/>
              <w:spacing w:after="0"/>
              <w:rPr>
                <w:sz w:val="20"/>
                <w:szCs w:val="20"/>
                <w:color w:val="auto"/>
              </w:rPr>
            </w:pPr>
            <w:r>
              <w:rPr>
                <w:rFonts w:ascii="Arial" w:cs="Arial" w:eastAsia="Arial" w:hAnsi="Arial"/>
                <w:sz w:val="10"/>
                <w:szCs w:val="10"/>
                <w:color w:val="auto"/>
              </w:rPr>
              <w:t>Other</w:t>
            </w:r>
          </w:p>
        </w:tc>
        <w:tc>
          <w:tcPr>
            <w:tcW w:w="120" w:type="dxa"/>
            <w:vAlign w:val="bottom"/>
            <w:shd w:val="clear" w:color="auto" w:fill="CCEEFF"/>
          </w:tcPr>
          <w:p>
            <w:pPr>
              <w:spacing w:after="0"/>
              <w:rPr>
                <w:sz w:val="15"/>
                <w:szCs w:val="15"/>
                <w:color w:val="auto"/>
              </w:rPr>
            </w:pPr>
          </w:p>
        </w:tc>
        <w:tc>
          <w:tcPr>
            <w:tcW w:w="70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rPr>
              <w:t>(8)</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0"/>
                <w:szCs w:val="10"/>
                <w:color w:val="auto"/>
              </w:rPr>
              <w:t>—</w:t>
            </w:r>
          </w:p>
        </w:tc>
        <w:tc>
          <w:tcPr>
            <w:tcW w:w="120" w:type="dxa"/>
            <w:vAlign w:val="bottom"/>
            <w:shd w:val="clear" w:color="auto" w:fill="CCEEFF"/>
          </w:tcPr>
          <w:p>
            <w:pPr>
              <w:spacing w:after="0"/>
              <w:rPr>
                <w:sz w:val="15"/>
                <w:szCs w:val="15"/>
                <w:color w:val="auto"/>
              </w:rPr>
            </w:pPr>
          </w:p>
        </w:tc>
        <w:tc>
          <w:tcPr>
            <w:tcW w:w="6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1</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w:t>
            </w:r>
          </w:p>
        </w:tc>
      </w:tr>
      <w:tr>
        <w:trPr>
          <w:trHeight w:val="160"/>
        </w:trPr>
        <w:tc>
          <w:tcPr>
            <w:tcW w:w="6300" w:type="dxa"/>
            <w:vAlign w:val="bottom"/>
            <w:tcBorders>
              <w:bottom w:val="single" w:sz="8" w:color="CCEEFF"/>
            </w:tcBorders>
          </w:tcPr>
          <w:p>
            <w:pPr>
              <w:ind w:left="560"/>
              <w:spacing w:after="0"/>
              <w:rPr>
                <w:sz w:val="20"/>
                <w:szCs w:val="20"/>
                <w:color w:val="auto"/>
              </w:rPr>
            </w:pPr>
            <w:r>
              <w:rPr>
                <w:rFonts w:ascii="Arial" w:cs="Arial" w:eastAsia="Arial" w:hAnsi="Arial"/>
                <w:sz w:val="10"/>
                <w:szCs w:val="10"/>
                <w:color w:val="auto"/>
              </w:rPr>
              <w:t>Total book to tax differences</w:t>
            </w:r>
          </w:p>
        </w:tc>
        <w:tc>
          <w:tcPr>
            <w:tcW w:w="120" w:type="dxa"/>
            <w:vAlign w:val="bottom"/>
            <w:tcBorders>
              <w:top w:val="single" w:sz="8" w:color="auto"/>
              <w:bottom w:val="single" w:sz="8" w:color="auto"/>
            </w:tcBorders>
          </w:tcPr>
          <w:p>
            <w:pPr>
              <w:spacing w:after="0"/>
              <w:rPr>
                <w:sz w:val="13"/>
                <w:szCs w:val="13"/>
                <w:color w:val="auto"/>
              </w:rPr>
            </w:pPr>
          </w:p>
        </w:tc>
        <w:tc>
          <w:tcPr>
            <w:tcW w:w="70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0"/>
                <w:szCs w:val="10"/>
                <w:color w:val="auto"/>
              </w:rPr>
              <w:t>(441)</w:t>
            </w:r>
          </w:p>
        </w:tc>
        <w:tc>
          <w:tcPr>
            <w:tcW w:w="100" w:type="dxa"/>
            <w:vAlign w:val="bottom"/>
            <w:tcBorders>
              <w:bottom w:val="single" w:sz="8" w:color="CCEEFF"/>
            </w:tcBorders>
          </w:tcPr>
          <w:p>
            <w:pPr>
              <w:spacing w:after="0"/>
              <w:rPr>
                <w:sz w:val="13"/>
                <w:szCs w:val="13"/>
                <w:color w:val="auto"/>
              </w:rPr>
            </w:pPr>
          </w:p>
        </w:tc>
        <w:tc>
          <w:tcPr>
            <w:tcW w:w="200" w:type="dxa"/>
            <w:vAlign w:val="bottom"/>
            <w:tcBorders>
              <w:top w:val="single" w:sz="8" w:color="auto"/>
              <w:bottom w:val="single" w:sz="8" w:color="auto"/>
            </w:tcBorders>
          </w:tcPr>
          <w:p>
            <w:pPr>
              <w:spacing w:after="0"/>
              <w:rPr>
                <w:sz w:val="13"/>
                <w:szCs w:val="13"/>
                <w:color w:val="auto"/>
              </w:rPr>
            </w:pPr>
          </w:p>
        </w:tc>
        <w:tc>
          <w:tcPr>
            <w:tcW w:w="70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0"/>
                <w:szCs w:val="10"/>
                <w:color w:val="auto"/>
              </w:rPr>
              <w:t>699</w:t>
            </w:r>
          </w:p>
        </w:tc>
        <w:tc>
          <w:tcPr>
            <w:tcW w:w="100" w:type="dxa"/>
            <w:vAlign w:val="bottom"/>
            <w:tcBorders>
              <w:bottom w:val="single" w:sz="8" w:color="CCEEFF"/>
            </w:tcBorders>
          </w:tcPr>
          <w:p>
            <w:pPr>
              <w:spacing w:after="0"/>
              <w:rPr>
                <w:sz w:val="13"/>
                <w:szCs w:val="13"/>
                <w:color w:val="auto"/>
              </w:rPr>
            </w:pPr>
          </w:p>
        </w:tc>
        <w:tc>
          <w:tcPr>
            <w:tcW w:w="120" w:type="dxa"/>
            <w:vAlign w:val="bottom"/>
            <w:tcBorders>
              <w:top w:val="single" w:sz="8" w:color="auto"/>
              <w:bottom w:val="single" w:sz="8" w:color="auto"/>
            </w:tcBorders>
          </w:tcPr>
          <w:p>
            <w:pPr>
              <w:spacing w:after="0"/>
              <w:rPr>
                <w:sz w:val="13"/>
                <w:szCs w:val="13"/>
                <w:color w:val="auto"/>
              </w:rPr>
            </w:pPr>
          </w:p>
        </w:tc>
        <w:tc>
          <w:tcPr>
            <w:tcW w:w="66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0"/>
                <w:szCs w:val="10"/>
                <w:color w:val="auto"/>
              </w:rPr>
              <w:t>627</w:t>
            </w:r>
          </w:p>
        </w:tc>
        <w:tc>
          <w:tcPr>
            <w:tcW w:w="100" w:type="dxa"/>
            <w:vAlign w:val="bottom"/>
            <w:tcBorders>
              <w:bottom w:val="single" w:sz="8" w:color="CCEEFF"/>
            </w:tcBorders>
          </w:tcPr>
          <w:p>
            <w:pPr>
              <w:spacing w:after="0"/>
              <w:rPr>
                <w:sz w:val="13"/>
                <w:szCs w:val="13"/>
                <w:color w:val="auto"/>
              </w:rPr>
            </w:pPr>
          </w:p>
        </w:tc>
        <w:tc>
          <w:tcPr>
            <w:tcW w:w="200" w:type="dxa"/>
            <w:vAlign w:val="bottom"/>
            <w:tcBorders>
              <w:top w:val="single" w:sz="8" w:color="auto"/>
              <w:bottom w:val="single" w:sz="8" w:color="auto"/>
            </w:tcBorders>
          </w:tcPr>
          <w:p>
            <w:pPr>
              <w:spacing w:after="0"/>
              <w:rPr>
                <w:sz w:val="13"/>
                <w:szCs w:val="13"/>
                <w:color w:val="auto"/>
              </w:rPr>
            </w:pPr>
          </w:p>
        </w:tc>
        <w:tc>
          <w:tcPr>
            <w:tcW w:w="70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0"/>
                <w:szCs w:val="10"/>
                <w:color w:val="auto"/>
              </w:rPr>
              <w:t>734</w:t>
            </w:r>
          </w:p>
        </w:tc>
      </w:tr>
      <w:tr>
        <w:trPr>
          <w:trHeight w:val="164"/>
        </w:trPr>
        <w:tc>
          <w:tcPr>
            <w:tcW w:w="6300" w:type="dxa"/>
            <w:vAlign w:val="bottom"/>
            <w:shd w:val="clear" w:color="auto" w:fill="CCEEFF"/>
          </w:tcPr>
          <w:p>
            <w:pPr>
              <w:ind w:left="20"/>
              <w:spacing w:after="0"/>
              <w:rPr>
                <w:sz w:val="20"/>
                <w:szCs w:val="20"/>
                <w:color w:val="auto"/>
              </w:rPr>
            </w:pPr>
            <w:r>
              <w:rPr>
                <w:rFonts w:ascii="Arial" w:cs="Arial" w:eastAsia="Arial" w:hAnsi="Arial"/>
                <w:sz w:val="10"/>
                <w:szCs w:val="10"/>
                <w:color w:val="auto"/>
              </w:rPr>
              <w:t>Estimated REIT taxable income</w:t>
            </w:r>
          </w:p>
        </w:tc>
        <w:tc>
          <w:tcPr>
            <w:tcW w:w="120" w:type="dxa"/>
            <w:vAlign w:val="bottom"/>
            <w:shd w:val="clear" w:color="auto" w:fill="CCEEFF"/>
          </w:tcPr>
          <w:p>
            <w:pPr>
              <w:spacing w:after="0"/>
              <w:rPr>
                <w:sz w:val="14"/>
                <w:szCs w:val="14"/>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70</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66</w:t>
            </w:r>
          </w:p>
        </w:tc>
        <w:tc>
          <w:tcPr>
            <w:tcW w:w="1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6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231</w:t>
            </w: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361</w:t>
            </w:r>
          </w:p>
        </w:tc>
      </w:tr>
      <w:tr>
        <w:trPr>
          <w:trHeight w:val="176"/>
        </w:trPr>
        <w:tc>
          <w:tcPr>
            <w:tcW w:w="6300" w:type="dxa"/>
            <w:vAlign w:val="bottom"/>
            <w:tcBorders>
              <w:bottom w:val="single" w:sz="8" w:color="CCEEFF"/>
            </w:tcBorders>
          </w:tcPr>
          <w:p>
            <w:pPr>
              <w:ind w:left="100"/>
              <w:spacing w:after="0"/>
              <w:rPr>
                <w:sz w:val="20"/>
                <w:szCs w:val="20"/>
                <w:color w:val="auto"/>
              </w:rPr>
            </w:pPr>
            <w:r>
              <w:rPr>
                <w:rFonts w:ascii="Arial" w:cs="Arial" w:eastAsia="Arial" w:hAnsi="Arial"/>
                <w:sz w:val="10"/>
                <w:szCs w:val="10"/>
                <w:color w:val="auto"/>
              </w:rPr>
              <w:t>Dividend on preferred stock</w:t>
            </w:r>
          </w:p>
        </w:tc>
        <w:tc>
          <w:tcPr>
            <w:tcW w:w="120" w:type="dxa"/>
            <w:vAlign w:val="bottom"/>
            <w:tcBorders>
              <w:bottom w:val="single" w:sz="8" w:color="auto"/>
            </w:tcBorders>
          </w:tcPr>
          <w:p>
            <w:pPr>
              <w:spacing w:after="0"/>
              <w:rPr>
                <w:sz w:val="15"/>
                <w:szCs w:val="15"/>
                <w:color w:val="auto"/>
              </w:rPr>
            </w:pP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7</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7</w:t>
            </w:r>
          </w:p>
        </w:tc>
        <w:tc>
          <w:tcPr>
            <w:tcW w:w="100" w:type="dxa"/>
            <w:vAlign w:val="bottom"/>
            <w:tcBorders>
              <w:bottom w:val="single" w:sz="8" w:color="CCEEFF"/>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6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21</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21</w:t>
            </w:r>
          </w:p>
        </w:tc>
      </w:tr>
      <w:tr>
        <w:trPr>
          <w:trHeight w:val="162"/>
        </w:trPr>
        <w:tc>
          <w:tcPr>
            <w:tcW w:w="63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Estimated REIT taxable income available to common stockholders</w:t>
            </w: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63</w:t>
            </w:r>
          </w:p>
        </w:tc>
        <w:tc>
          <w:tcPr>
            <w:tcW w:w="10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59</w:t>
            </w:r>
          </w:p>
        </w:tc>
        <w:tc>
          <w:tcPr>
            <w:tcW w:w="10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210</w:t>
            </w:r>
          </w:p>
        </w:tc>
        <w:tc>
          <w:tcPr>
            <w:tcW w:w="10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340</w:t>
            </w:r>
          </w:p>
        </w:tc>
      </w:tr>
      <w:tr>
        <w:trPr>
          <w:trHeight w:val="160"/>
        </w:trPr>
        <w:tc>
          <w:tcPr>
            <w:tcW w:w="6300" w:type="dxa"/>
            <w:vAlign w:val="bottom"/>
            <w:tcBorders>
              <w:bottom w:val="single" w:sz="8" w:color="CCEEFF"/>
            </w:tcBorders>
          </w:tcPr>
          <w:p>
            <w:pPr>
              <w:ind w:left="20"/>
              <w:spacing w:after="0"/>
              <w:rPr>
                <w:sz w:val="20"/>
                <w:szCs w:val="20"/>
                <w:color w:val="auto"/>
              </w:rPr>
            </w:pPr>
            <w:r>
              <w:rPr>
                <w:rFonts w:ascii="Arial" w:cs="Arial" w:eastAsia="Arial" w:hAnsi="Arial"/>
                <w:sz w:val="10"/>
                <w:szCs w:val="10"/>
                <w:color w:val="auto"/>
              </w:rPr>
              <w:t>Weighted average number of common shares outstanding - basic and diluted</w:t>
            </w:r>
          </w:p>
        </w:tc>
        <w:tc>
          <w:tcPr>
            <w:tcW w:w="1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331.0</w:t>
            </w:r>
          </w:p>
        </w:tc>
        <w:tc>
          <w:tcPr>
            <w:tcW w:w="100" w:type="dxa"/>
            <w:vAlign w:val="bottom"/>
            <w:tcBorders>
              <w:bottom w:val="single" w:sz="8" w:color="CCEEFF"/>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347.8</w:t>
            </w:r>
          </w:p>
        </w:tc>
        <w:tc>
          <w:tcPr>
            <w:tcW w:w="10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332.1</w:t>
            </w:r>
          </w:p>
        </w:tc>
        <w:tc>
          <w:tcPr>
            <w:tcW w:w="100" w:type="dxa"/>
            <w:vAlign w:val="bottom"/>
            <w:tcBorders>
              <w:bottom w:val="single" w:sz="8" w:color="CCEEFF"/>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350.9</w:t>
            </w:r>
          </w:p>
        </w:tc>
      </w:tr>
      <w:tr>
        <w:trPr>
          <w:trHeight w:val="160"/>
        </w:trPr>
        <w:tc>
          <w:tcPr>
            <w:tcW w:w="63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Estimated REIT taxable income per common share - basic and diluted</w:t>
            </w: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0.19</w:t>
            </w: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0.17</w:t>
            </w:r>
          </w:p>
        </w:tc>
        <w:tc>
          <w:tcPr>
            <w:tcW w:w="100" w:type="dxa"/>
            <w:vAlign w:val="bottom"/>
            <w:tcBorders>
              <w:bottom w:val="single" w:sz="8" w:color="CCEEFF"/>
            </w:tcBorders>
            <w:shd w:val="clear" w:color="auto" w:fill="CCEEFF"/>
          </w:tcPr>
          <w:p>
            <w:pPr>
              <w:spacing w:after="0"/>
              <w:rPr>
                <w:sz w:val="13"/>
                <w:szCs w:val="13"/>
                <w:color w:val="auto"/>
              </w:rPr>
            </w:pP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0.63</w:t>
            </w: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0.97</w:t>
            </w:r>
          </w:p>
        </w:tc>
      </w:tr>
      <w:tr>
        <w:trPr>
          <w:trHeight w:val="189"/>
        </w:trPr>
        <w:tc>
          <w:tcPr>
            <w:tcW w:w="63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00" w:type="dxa"/>
            <w:vAlign w:val="bottom"/>
          </w:tcPr>
          <w:p>
            <w:pPr>
              <w:spacing w:after="0"/>
              <w:rPr>
                <w:sz w:val="16"/>
                <w:szCs w:val="16"/>
                <w:color w:val="auto"/>
              </w:rPr>
            </w:pPr>
          </w:p>
        </w:tc>
      </w:tr>
      <w:tr>
        <w:trPr>
          <w:trHeight w:val="180"/>
        </w:trPr>
        <w:tc>
          <w:tcPr>
            <w:tcW w:w="6300" w:type="dxa"/>
            <w:vAlign w:val="bottom"/>
            <w:shd w:val="clear" w:color="auto" w:fill="CCEEFF"/>
          </w:tcPr>
          <w:p>
            <w:pPr>
              <w:ind w:left="20"/>
              <w:spacing w:after="0"/>
              <w:rPr>
                <w:sz w:val="20"/>
                <w:szCs w:val="20"/>
                <w:color w:val="auto"/>
              </w:rPr>
            </w:pPr>
            <w:r>
              <w:rPr>
                <w:rFonts w:ascii="Arial" w:cs="Arial" w:eastAsia="Arial" w:hAnsi="Arial"/>
                <w:sz w:val="10"/>
                <w:szCs w:val="10"/>
                <w:color w:val="auto"/>
              </w:rPr>
              <w:t>Beginning cumulative non-deductible net capital loss</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486</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767</w:t>
            </w:r>
          </w:p>
        </w:tc>
        <w:tc>
          <w:tcPr>
            <w:tcW w:w="100" w:type="dxa"/>
            <w:vAlign w:val="bottom"/>
            <w:shd w:val="clear" w:color="auto" w:fill="CCEEFF"/>
          </w:tcPr>
          <w:p>
            <w:pPr>
              <w:spacing w:after="0"/>
              <w:rPr>
                <w:sz w:val="15"/>
                <w:szCs w:val="15"/>
                <w:color w:val="auto"/>
              </w:rPr>
            </w:pP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684</w:t>
            </w: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rPr>
              <w:t>761</w:t>
            </w:r>
          </w:p>
        </w:tc>
      </w:tr>
      <w:tr>
        <w:trPr>
          <w:trHeight w:val="176"/>
        </w:trPr>
        <w:tc>
          <w:tcPr>
            <w:tcW w:w="6300" w:type="dxa"/>
            <w:vAlign w:val="bottom"/>
          </w:tcPr>
          <w:p>
            <w:pPr>
              <w:ind w:left="20"/>
              <w:spacing w:after="0"/>
              <w:rPr>
                <w:sz w:val="20"/>
                <w:szCs w:val="20"/>
                <w:color w:val="auto"/>
              </w:rPr>
            </w:pPr>
            <w:r>
              <w:rPr>
                <w:rFonts w:ascii="Arial" w:cs="Arial" w:eastAsia="Arial" w:hAnsi="Arial"/>
                <w:sz w:val="10"/>
                <w:szCs w:val="10"/>
                <w:color w:val="auto"/>
              </w:rPr>
              <w:t>Utilization of net capital loss carryforward</w:t>
            </w:r>
          </w:p>
        </w:tc>
        <w:tc>
          <w:tcPr>
            <w:tcW w:w="12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0"/>
                <w:szCs w:val="10"/>
                <w:color w:val="auto"/>
              </w:rPr>
              <w:t>(127)</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0"/>
                <w:szCs w:val="10"/>
                <w:color w:val="auto"/>
              </w:rPr>
              <w:t>—</w:t>
            </w:r>
          </w:p>
        </w:tc>
        <w:tc>
          <w:tcPr>
            <w:tcW w:w="120" w:type="dxa"/>
            <w:vAlign w:val="bottom"/>
          </w:tcPr>
          <w:p>
            <w:pPr>
              <w:spacing w:after="0"/>
              <w:rPr>
                <w:sz w:val="15"/>
                <w:szCs w:val="15"/>
                <w:color w:val="auto"/>
              </w:rPr>
            </w:pPr>
          </w:p>
        </w:tc>
        <w:tc>
          <w:tcPr>
            <w:tcW w:w="660" w:type="dxa"/>
            <w:vAlign w:val="bottom"/>
          </w:tcPr>
          <w:p>
            <w:pPr>
              <w:jc w:val="right"/>
              <w:ind w:right="12"/>
              <w:spacing w:after="0"/>
              <w:rPr>
                <w:sz w:val="20"/>
                <w:szCs w:val="20"/>
                <w:color w:val="auto"/>
              </w:rPr>
            </w:pPr>
            <w:r>
              <w:rPr>
                <w:rFonts w:ascii="Arial" w:cs="Arial" w:eastAsia="Arial" w:hAnsi="Arial"/>
                <w:sz w:val="10"/>
                <w:szCs w:val="10"/>
                <w:color w:val="auto"/>
              </w:rPr>
              <w:t>(325)</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jc w:val="right"/>
              <w:ind w:right="52"/>
              <w:spacing w:after="0"/>
              <w:rPr>
                <w:sz w:val="20"/>
                <w:szCs w:val="20"/>
                <w:color w:val="auto"/>
              </w:rPr>
            </w:pPr>
            <w:r>
              <w:rPr>
                <w:rFonts w:ascii="Arial" w:cs="Arial" w:eastAsia="Arial" w:hAnsi="Arial"/>
                <w:sz w:val="10"/>
                <w:szCs w:val="10"/>
                <w:color w:val="auto"/>
              </w:rPr>
              <w:t>6</w:t>
            </w:r>
          </w:p>
        </w:tc>
      </w:tr>
      <w:tr>
        <w:trPr>
          <w:trHeight w:val="160"/>
        </w:trPr>
        <w:tc>
          <w:tcPr>
            <w:tcW w:w="630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Ending cumulative non-deductible net capital loss</w:t>
            </w:r>
          </w:p>
        </w:tc>
        <w:tc>
          <w:tcPr>
            <w:tcW w:w="12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359</w:t>
            </w:r>
          </w:p>
        </w:tc>
        <w:tc>
          <w:tcPr>
            <w:tcW w:w="100" w:type="dxa"/>
            <w:vAlign w:val="bottom"/>
            <w:tcBorders>
              <w:top w:val="single" w:sz="8" w:color="CCEEFF"/>
            </w:tcBorders>
            <w:shd w:val="clear" w:color="auto" w:fill="CCEEFF"/>
          </w:tcPr>
          <w:p>
            <w:pPr>
              <w:spacing w:after="0"/>
              <w:rPr>
                <w:sz w:val="13"/>
                <w:szCs w:val="13"/>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767</w:t>
            </w:r>
          </w:p>
        </w:tc>
        <w:tc>
          <w:tcPr>
            <w:tcW w:w="100" w:type="dxa"/>
            <w:vAlign w:val="bottom"/>
            <w:tcBorders>
              <w:top w:val="single" w:sz="8" w:color="CCEEFF"/>
            </w:tcBorders>
            <w:shd w:val="clear" w:color="auto" w:fill="CCEEFF"/>
          </w:tcPr>
          <w:p>
            <w:pPr>
              <w:spacing w:after="0"/>
              <w:rPr>
                <w:sz w:val="13"/>
                <w:szCs w:val="13"/>
                <w:color w:val="auto"/>
              </w:rPr>
            </w:pPr>
          </w:p>
        </w:tc>
        <w:tc>
          <w:tcPr>
            <w:tcW w:w="12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359</w:t>
            </w:r>
          </w:p>
        </w:tc>
        <w:tc>
          <w:tcPr>
            <w:tcW w:w="100" w:type="dxa"/>
            <w:vAlign w:val="bottom"/>
            <w:tcBorders>
              <w:top w:val="single" w:sz="8" w:color="CCEEFF"/>
            </w:tcBorders>
            <w:shd w:val="clear" w:color="auto" w:fill="CCEEFF"/>
          </w:tcPr>
          <w:p>
            <w:pPr>
              <w:spacing w:after="0"/>
              <w:rPr>
                <w:sz w:val="13"/>
                <w:szCs w:val="13"/>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767</w:t>
            </w:r>
          </w:p>
        </w:tc>
      </w:tr>
      <w:tr>
        <w:trPr>
          <w:trHeight w:val="162"/>
        </w:trPr>
        <w:tc>
          <w:tcPr>
            <w:tcW w:w="6300" w:type="dxa"/>
            <w:vAlign w:val="bottom"/>
          </w:tcPr>
          <w:p>
            <w:pPr>
              <w:ind w:left="20"/>
              <w:spacing w:after="0"/>
              <w:rPr>
                <w:sz w:val="20"/>
                <w:szCs w:val="20"/>
                <w:color w:val="auto"/>
              </w:rPr>
            </w:pPr>
            <w:r>
              <w:rPr>
                <w:rFonts w:ascii="Arial" w:cs="Arial" w:eastAsia="Arial" w:hAnsi="Arial"/>
                <w:sz w:val="10"/>
                <w:szCs w:val="10"/>
                <w:color w:val="auto"/>
              </w:rPr>
              <w:t>Ending cumulative non-deductible net capital loss per ending common share</w:t>
            </w:r>
          </w:p>
        </w:tc>
        <w:tc>
          <w:tcPr>
            <w:tcW w:w="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1.08</w:t>
            </w:r>
          </w:p>
        </w:tc>
        <w:tc>
          <w:tcPr>
            <w:tcW w:w="100" w:type="dxa"/>
            <w:vAlign w:val="bottom"/>
          </w:tcPr>
          <w:p>
            <w:pPr>
              <w:spacing w:after="0"/>
              <w:rPr>
                <w:sz w:val="14"/>
                <w:szCs w:val="14"/>
                <w:color w:val="auto"/>
              </w:rPr>
            </w:pPr>
          </w:p>
        </w:tc>
        <w:tc>
          <w:tcPr>
            <w:tcW w:w="2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2.21</w:t>
            </w:r>
          </w:p>
        </w:tc>
        <w:tc>
          <w:tcPr>
            <w:tcW w:w="100" w:type="dxa"/>
            <w:vAlign w:val="bottom"/>
          </w:tcPr>
          <w:p>
            <w:pPr>
              <w:spacing w:after="0"/>
              <w:rPr>
                <w:sz w:val="14"/>
                <w:szCs w:val="14"/>
                <w:color w:val="auto"/>
              </w:rPr>
            </w:pPr>
          </w:p>
        </w:tc>
        <w:tc>
          <w:tcPr>
            <w:tcW w:w="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1.08</w:t>
            </w:r>
          </w:p>
        </w:tc>
        <w:tc>
          <w:tcPr>
            <w:tcW w:w="100" w:type="dxa"/>
            <w:vAlign w:val="bottom"/>
          </w:tcPr>
          <w:p>
            <w:pPr>
              <w:spacing w:after="0"/>
              <w:rPr>
                <w:sz w:val="14"/>
                <w:szCs w:val="14"/>
                <w:color w:val="auto"/>
              </w:rPr>
            </w:pPr>
          </w:p>
        </w:tc>
        <w:tc>
          <w:tcPr>
            <w:tcW w:w="2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2.21</w:t>
            </w:r>
          </w:p>
        </w:tc>
      </w:tr>
    </w:tbl>
    <w:p>
      <w:pPr>
        <w:spacing w:after="0" w:line="171" w:lineRule="exact"/>
        <w:rPr>
          <w:sz w:val="20"/>
          <w:szCs w:val="20"/>
          <w:color w:val="auto"/>
        </w:rPr>
      </w:pPr>
    </w:p>
    <w:p>
      <w:pPr>
        <w:ind w:left="280"/>
        <w:spacing w:after="0"/>
        <w:rPr>
          <w:sz w:val="20"/>
          <w:szCs w:val="20"/>
          <w:color w:val="auto"/>
        </w:rPr>
      </w:pPr>
      <w:r>
        <w:rPr>
          <w:rFonts w:ascii="Arial" w:cs="Arial" w:eastAsia="Arial" w:hAnsi="Arial"/>
          <w:sz w:val="12"/>
          <w:szCs w:val="12"/>
          <w:color w:val="auto"/>
        </w:rPr>
        <w:t>As of September 30, 2016, we had $0.4 billion (or $1.08 per common share) of net capital loss carryforwards, which can be carried forward and applied against future net capital gains through fiscal year 2018.</w:t>
      </w:r>
    </w:p>
    <w:p>
      <w:pPr>
        <w:spacing w:after="0" w:line="16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45</w:t>
      </w:r>
    </w:p>
    <w:p>
      <w:pPr>
        <w:sectPr>
          <w:pgSz w:w="11900" w:h="16838" w:orient="portrait"/>
          <w:cols w:equalWidth="0" w:num="1">
            <w:col w:w="11480"/>
          </w:cols>
          <w:pgMar w:left="220" w:top="545" w:right="199" w:bottom="1440" w:gutter="0" w:footer="0" w:header="0"/>
        </w:sectPr>
      </w:pPr>
    </w:p>
    <w:bookmarkStart w:id="46" w:name="page47"/>
    <w:bookmarkEnd w:id="46"/>
    <w:p>
      <w:pPr>
        <w:ind w:left="280"/>
        <w:spacing w:after="0"/>
        <w:rPr>
          <w:sz w:val="20"/>
          <w:szCs w:val="20"/>
          <w:color w:val="auto"/>
        </w:rPr>
      </w:pPr>
      <w:r>
        <w:rPr>
          <w:rFonts w:ascii="Arial" w:cs="Arial" w:eastAsia="Arial" w:hAnsi="Arial"/>
          <w:sz w:val="10"/>
          <w:szCs w:val="10"/>
          <w:color w:val="auto"/>
        </w:rPr>
        <w:t>The following table summarizes dividends declared on our Series A Preferred Stock, depositary shares underlying our Series B Preferred Stock and common stock during the nine months ended September 30, 2016 and 2015:</w:t>
      </w:r>
    </w:p>
    <w:p>
      <w:pPr>
        <w:spacing w:after="0" w:line="254" w:lineRule="exact"/>
        <w:rPr>
          <w:sz w:val="20"/>
          <w:szCs w:val="20"/>
          <w:color w:val="auto"/>
        </w:rPr>
      </w:pPr>
    </w:p>
    <w:tbl>
      <w:tblPr>
        <w:tblLayout w:type="fixed"/>
        <w:tblInd w:w="1180" w:type="dxa"/>
        <w:tblCellMar>
          <w:top w:w="0" w:type="dxa"/>
          <w:left w:w="0" w:type="dxa"/>
          <w:bottom w:w="0" w:type="dxa"/>
          <w:right w:w="0" w:type="dxa"/>
        </w:tblCellMar>
      </w:tblPr>
      <w:tr>
        <w:trPr>
          <w:trHeight w:val="140"/>
        </w:trPr>
        <w:tc>
          <w:tcPr>
            <w:tcW w:w="4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20" w:type="dxa"/>
            <w:vAlign w:val="bottom"/>
            <w:gridSpan w:val="3"/>
          </w:tcPr>
          <w:p>
            <w:pPr>
              <w:ind w:left="40"/>
              <w:spacing w:after="0"/>
              <w:rPr>
                <w:sz w:val="20"/>
                <w:szCs w:val="20"/>
                <w:color w:val="auto"/>
              </w:rPr>
            </w:pPr>
            <w:r>
              <w:rPr>
                <w:rFonts w:ascii="Arial" w:cs="Arial" w:eastAsia="Arial" w:hAnsi="Arial"/>
                <w:sz w:val="11"/>
                <w:szCs w:val="11"/>
                <w:b w:val="1"/>
                <w:bCs w:val="1"/>
                <w:color w:val="auto"/>
              </w:rPr>
              <w:t>Dividends Declared per Share</w:t>
            </w:r>
          </w:p>
        </w:tc>
        <w:tc>
          <w:tcPr>
            <w:tcW w:w="260" w:type="dxa"/>
            <w:vAlign w:val="bottom"/>
          </w:tcPr>
          <w:p>
            <w:pPr>
              <w:spacing w:after="0"/>
              <w:rPr>
                <w:sz w:val="12"/>
                <w:szCs w:val="12"/>
                <w:color w:val="auto"/>
              </w:rPr>
            </w:pPr>
          </w:p>
        </w:tc>
        <w:tc>
          <w:tcPr>
            <w:tcW w:w="1280" w:type="dxa"/>
            <w:vAlign w:val="bottom"/>
          </w:tcPr>
          <w:p>
            <w:pPr>
              <w:spacing w:after="0"/>
              <w:rPr>
                <w:sz w:val="12"/>
                <w:szCs w:val="12"/>
                <w:color w:val="auto"/>
              </w:rPr>
            </w:pPr>
          </w:p>
        </w:tc>
      </w:tr>
      <w:tr>
        <w:trPr>
          <w:trHeight w:val="22"/>
        </w:trPr>
        <w:tc>
          <w:tcPr>
            <w:tcW w:w="4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540" w:type="dxa"/>
            <w:vAlign w:val="bottom"/>
            <w:tcBorders>
              <w:bottom w:val="single" w:sz="8" w:color="auto"/>
            </w:tcBorders>
            <w:gridSpan w:val="2"/>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r>
      <w:tr>
        <w:trPr>
          <w:trHeight w:val="133"/>
        </w:trPr>
        <w:tc>
          <w:tcPr>
            <w:tcW w:w="4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540" w:type="dxa"/>
            <w:vAlign w:val="bottom"/>
            <w:gridSpan w:val="2"/>
          </w:tcPr>
          <w:p>
            <w:pPr>
              <w:jc w:val="right"/>
              <w:ind w:right="180"/>
              <w:spacing w:after="0"/>
              <w:rPr>
                <w:sz w:val="20"/>
                <w:szCs w:val="20"/>
                <w:color w:val="auto"/>
              </w:rPr>
            </w:pPr>
            <w:r>
              <w:rPr>
                <w:rFonts w:ascii="Arial" w:cs="Arial" w:eastAsia="Arial" w:hAnsi="Arial"/>
                <w:sz w:val="11"/>
                <w:szCs w:val="11"/>
                <w:b w:val="1"/>
                <w:bCs w:val="1"/>
                <w:color w:val="auto"/>
                <w:w w:val="87"/>
              </w:rPr>
              <w:t>Series B Preferred Stock (Per</w:t>
            </w:r>
          </w:p>
        </w:tc>
        <w:tc>
          <w:tcPr>
            <w:tcW w:w="260" w:type="dxa"/>
            <w:vAlign w:val="bottom"/>
          </w:tcPr>
          <w:p>
            <w:pPr>
              <w:spacing w:after="0"/>
              <w:rPr>
                <w:sz w:val="11"/>
                <w:szCs w:val="11"/>
                <w:color w:val="auto"/>
              </w:rPr>
            </w:pPr>
          </w:p>
        </w:tc>
        <w:tc>
          <w:tcPr>
            <w:tcW w:w="1280" w:type="dxa"/>
            <w:vAlign w:val="bottom"/>
          </w:tcPr>
          <w:p>
            <w:pPr>
              <w:spacing w:after="0"/>
              <w:rPr>
                <w:sz w:val="11"/>
                <w:szCs w:val="11"/>
                <w:color w:val="auto"/>
              </w:rPr>
            </w:pPr>
          </w:p>
        </w:tc>
      </w:tr>
      <w:tr>
        <w:trPr>
          <w:trHeight w:val="140"/>
        </w:trPr>
        <w:tc>
          <w:tcPr>
            <w:tcW w:w="4200" w:type="dxa"/>
            <w:vAlign w:val="bottom"/>
            <w:gridSpan w:val="2"/>
          </w:tcPr>
          <w:p>
            <w:pPr>
              <w:ind w:left="20"/>
              <w:spacing w:after="0"/>
              <w:rPr>
                <w:sz w:val="20"/>
                <w:szCs w:val="20"/>
                <w:color w:val="auto"/>
              </w:rPr>
            </w:pPr>
            <w:r>
              <w:rPr>
                <w:rFonts w:ascii="Arial" w:cs="Arial" w:eastAsia="Arial" w:hAnsi="Arial"/>
                <w:sz w:val="11"/>
                <w:szCs w:val="11"/>
                <w:b w:val="1"/>
                <w:bCs w:val="1"/>
                <w:color w:val="auto"/>
              </w:rPr>
              <w:t>Quarter Ended</w:t>
            </w:r>
          </w:p>
        </w:tc>
        <w:tc>
          <w:tcPr>
            <w:tcW w:w="160" w:type="dxa"/>
            <w:vAlign w:val="bottom"/>
          </w:tcPr>
          <w:p>
            <w:pPr>
              <w:spacing w:after="0"/>
              <w:rPr>
                <w:sz w:val="12"/>
                <w:szCs w:val="12"/>
                <w:color w:val="auto"/>
              </w:rPr>
            </w:pPr>
          </w:p>
        </w:tc>
        <w:tc>
          <w:tcPr>
            <w:tcW w:w="1580" w:type="dxa"/>
            <w:vAlign w:val="bottom"/>
            <w:gridSpan w:val="2"/>
          </w:tcPr>
          <w:p>
            <w:pPr>
              <w:ind w:left="100"/>
              <w:spacing w:after="0"/>
              <w:rPr>
                <w:sz w:val="20"/>
                <w:szCs w:val="20"/>
                <w:color w:val="auto"/>
              </w:rPr>
            </w:pPr>
            <w:r>
              <w:rPr>
                <w:rFonts w:ascii="Arial" w:cs="Arial" w:eastAsia="Arial" w:hAnsi="Arial"/>
                <w:sz w:val="11"/>
                <w:szCs w:val="11"/>
                <w:b w:val="1"/>
                <w:bCs w:val="1"/>
                <w:color w:val="auto"/>
              </w:rPr>
              <w:t>Series A Preferred Stock</w:t>
            </w:r>
          </w:p>
        </w:tc>
        <w:tc>
          <w:tcPr>
            <w:tcW w:w="80" w:type="dxa"/>
            <w:vAlign w:val="bottom"/>
          </w:tcPr>
          <w:p>
            <w:pPr>
              <w:spacing w:after="0"/>
              <w:rPr>
                <w:sz w:val="12"/>
                <w:szCs w:val="12"/>
                <w:color w:val="auto"/>
              </w:rPr>
            </w:pPr>
          </w:p>
        </w:tc>
        <w:tc>
          <w:tcPr>
            <w:tcW w:w="1540" w:type="dxa"/>
            <w:vAlign w:val="bottom"/>
            <w:gridSpan w:val="2"/>
          </w:tcPr>
          <w:p>
            <w:pPr>
              <w:ind w:left="260"/>
              <w:spacing w:after="0"/>
              <w:rPr>
                <w:sz w:val="20"/>
                <w:szCs w:val="20"/>
                <w:color w:val="auto"/>
              </w:rPr>
            </w:pPr>
            <w:r>
              <w:rPr>
                <w:rFonts w:ascii="Arial" w:cs="Arial" w:eastAsia="Arial" w:hAnsi="Arial"/>
                <w:sz w:val="11"/>
                <w:szCs w:val="11"/>
                <w:b w:val="1"/>
                <w:bCs w:val="1"/>
                <w:color w:val="auto"/>
              </w:rPr>
              <w:t>Depositary Share)</w:t>
            </w:r>
          </w:p>
        </w:tc>
        <w:tc>
          <w:tcPr>
            <w:tcW w:w="260" w:type="dxa"/>
            <w:vAlign w:val="bottom"/>
          </w:tcPr>
          <w:p>
            <w:pPr>
              <w:spacing w:after="0"/>
              <w:rPr>
                <w:sz w:val="12"/>
                <w:szCs w:val="12"/>
                <w:color w:val="auto"/>
              </w:rPr>
            </w:pPr>
          </w:p>
        </w:tc>
        <w:tc>
          <w:tcPr>
            <w:tcW w:w="1280" w:type="dxa"/>
            <w:vAlign w:val="bottom"/>
          </w:tcPr>
          <w:p>
            <w:pPr>
              <w:jc w:val="right"/>
              <w:ind w:right="346"/>
              <w:spacing w:after="0"/>
              <w:rPr>
                <w:sz w:val="20"/>
                <w:szCs w:val="20"/>
                <w:color w:val="auto"/>
              </w:rPr>
            </w:pPr>
            <w:r>
              <w:rPr>
                <w:rFonts w:ascii="Arial" w:cs="Arial" w:eastAsia="Arial" w:hAnsi="Arial"/>
                <w:sz w:val="11"/>
                <w:szCs w:val="11"/>
                <w:b w:val="1"/>
                <w:bCs w:val="1"/>
                <w:color w:val="auto"/>
              </w:rPr>
              <w:t>Common Stock</w:t>
            </w:r>
          </w:p>
        </w:tc>
      </w:tr>
      <w:tr>
        <w:trPr>
          <w:trHeight w:val="22"/>
        </w:trPr>
        <w:tc>
          <w:tcPr>
            <w:tcW w:w="4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r>
      <w:tr>
        <w:trPr>
          <w:trHeight w:val="140"/>
        </w:trPr>
        <w:tc>
          <w:tcPr>
            <w:tcW w:w="4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September 30, 2016</w:t>
            </w: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48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0.50000</w:t>
            </w:r>
          </w:p>
        </w:tc>
        <w:tc>
          <w:tcPr>
            <w:tcW w:w="10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0.484375</w:t>
            </w:r>
          </w:p>
        </w:tc>
        <w:tc>
          <w:tcPr>
            <w:tcW w:w="80" w:type="dxa"/>
            <w:vAlign w:val="bottom"/>
            <w:tcBorders>
              <w:bottom w:val="single" w:sz="8" w:color="CCEEFF"/>
            </w:tcBorders>
            <w:shd w:val="clear" w:color="auto" w:fill="CCEEFF"/>
          </w:tcPr>
          <w:p>
            <w:pPr>
              <w:spacing w:after="0"/>
              <w:rPr>
                <w:sz w:val="12"/>
                <w:szCs w:val="12"/>
                <w:color w:val="auto"/>
              </w:rPr>
            </w:pPr>
          </w:p>
        </w:tc>
        <w:tc>
          <w:tcPr>
            <w:tcW w:w="260" w:type="dxa"/>
            <w:vAlign w:val="bottom"/>
            <w:tcBorders>
              <w:bottom w:val="single" w:sz="8" w:color="CCEEFF"/>
            </w:tcBorders>
            <w:shd w:val="clear" w:color="auto" w:fill="CCEEFF"/>
          </w:tcPr>
          <w:p>
            <w:pPr>
              <w:jc w:val="right"/>
              <w:ind w:right="126"/>
              <w:spacing w:after="0"/>
              <w:rPr>
                <w:sz w:val="20"/>
                <w:szCs w:val="20"/>
                <w:color w:val="auto"/>
              </w:rPr>
            </w:pPr>
            <w:r>
              <w:rPr>
                <w:rFonts w:ascii="Arial" w:cs="Arial" w:eastAsia="Arial" w:hAnsi="Arial"/>
                <w:sz w:val="11"/>
                <w:szCs w:val="11"/>
                <w:color w:val="auto"/>
                <w:w w:val="97"/>
              </w:rPr>
              <w:t>$</w:t>
            </w:r>
          </w:p>
        </w:tc>
        <w:tc>
          <w:tcPr>
            <w:tcW w:w="128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0.56</w:t>
            </w:r>
          </w:p>
        </w:tc>
      </w:tr>
      <w:tr>
        <w:trPr>
          <w:trHeight w:val="158"/>
        </w:trPr>
        <w:tc>
          <w:tcPr>
            <w:tcW w:w="4200" w:type="dxa"/>
            <w:vAlign w:val="bottom"/>
            <w:gridSpan w:val="2"/>
          </w:tcPr>
          <w:p>
            <w:pPr>
              <w:ind w:left="20"/>
              <w:spacing w:after="0"/>
              <w:rPr>
                <w:sz w:val="20"/>
                <w:szCs w:val="20"/>
                <w:color w:val="auto"/>
              </w:rPr>
            </w:pPr>
            <w:r>
              <w:rPr>
                <w:rFonts w:ascii="Arial" w:cs="Arial" w:eastAsia="Arial" w:hAnsi="Arial"/>
                <w:sz w:val="11"/>
                <w:szCs w:val="11"/>
                <w:color w:val="auto"/>
              </w:rPr>
              <w:t>June 30, 2016</w:t>
            </w: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480" w:type="dxa"/>
            <w:vAlign w:val="bottom"/>
          </w:tcPr>
          <w:p>
            <w:pPr>
              <w:jc w:val="right"/>
              <w:ind w:right="26"/>
              <w:spacing w:after="0"/>
              <w:rPr>
                <w:sz w:val="20"/>
                <w:szCs w:val="20"/>
                <w:color w:val="auto"/>
              </w:rPr>
            </w:pPr>
            <w:r>
              <w:rPr>
                <w:rFonts w:ascii="Arial" w:cs="Arial" w:eastAsia="Arial" w:hAnsi="Arial"/>
                <w:sz w:val="11"/>
                <w:szCs w:val="11"/>
                <w:color w:val="auto"/>
              </w:rPr>
              <w:t>0.50000</w:t>
            </w:r>
          </w:p>
        </w:tc>
        <w:tc>
          <w:tcPr>
            <w:tcW w:w="100" w:type="dxa"/>
            <w:vAlign w:val="bottom"/>
          </w:tcPr>
          <w:p>
            <w:pPr>
              <w:spacing w:after="0"/>
              <w:rPr>
                <w:sz w:val="13"/>
                <w:szCs w:val="13"/>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460" w:type="dxa"/>
            <w:vAlign w:val="bottom"/>
          </w:tcPr>
          <w:p>
            <w:pPr>
              <w:jc w:val="right"/>
              <w:ind w:right="46"/>
              <w:spacing w:after="0"/>
              <w:rPr>
                <w:sz w:val="20"/>
                <w:szCs w:val="20"/>
                <w:color w:val="auto"/>
              </w:rPr>
            </w:pPr>
            <w:r>
              <w:rPr>
                <w:rFonts w:ascii="Arial" w:cs="Arial" w:eastAsia="Arial" w:hAnsi="Arial"/>
                <w:sz w:val="11"/>
                <w:szCs w:val="11"/>
                <w:color w:val="auto"/>
              </w:rPr>
              <w:t>0.484375</w:t>
            </w:r>
          </w:p>
        </w:tc>
        <w:tc>
          <w:tcPr>
            <w:tcW w:w="80" w:type="dxa"/>
            <w:vAlign w:val="bottom"/>
          </w:tcPr>
          <w:p>
            <w:pPr>
              <w:spacing w:after="0"/>
              <w:rPr>
                <w:sz w:val="13"/>
                <w:szCs w:val="13"/>
                <w:color w:val="auto"/>
              </w:rPr>
            </w:pPr>
          </w:p>
        </w:tc>
        <w:tc>
          <w:tcPr>
            <w:tcW w:w="260" w:type="dxa"/>
            <w:vAlign w:val="bottom"/>
          </w:tcPr>
          <w:p>
            <w:pPr>
              <w:jc w:val="right"/>
              <w:ind w:right="126"/>
              <w:spacing w:after="0"/>
              <w:rPr>
                <w:sz w:val="20"/>
                <w:szCs w:val="20"/>
                <w:color w:val="auto"/>
              </w:rPr>
            </w:pPr>
            <w:r>
              <w:rPr>
                <w:rFonts w:ascii="Arial" w:cs="Arial" w:eastAsia="Arial" w:hAnsi="Arial"/>
                <w:sz w:val="11"/>
                <w:szCs w:val="11"/>
                <w:color w:val="auto"/>
                <w:w w:val="97"/>
              </w:rPr>
              <w:t>$</w:t>
            </w:r>
          </w:p>
        </w:tc>
        <w:tc>
          <w:tcPr>
            <w:tcW w:w="1280" w:type="dxa"/>
            <w:vAlign w:val="bottom"/>
          </w:tcPr>
          <w:p>
            <w:pPr>
              <w:jc w:val="right"/>
              <w:ind w:right="26"/>
              <w:spacing w:after="0"/>
              <w:rPr>
                <w:sz w:val="20"/>
                <w:szCs w:val="20"/>
                <w:color w:val="auto"/>
              </w:rPr>
            </w:pPr>
            <w:r>
              <w:rPr>
                <w:rFonts w:ascii="Arial" w:cs="Arial" w:eastAsia="Arial" w:hAnsi="Arial"/>
                <w:sz w:val="11"/>
                <w:szCs w:val="11"/>
                <w:color w:val="auto"/>
              </w:rPr>
              <w:t>0.60</w:t>
            </w:r>
          </w:p>
        </w:tc>
      </w:tr>
      <w:tr>
        <w:trPr>
          <w:trHeight w:val="22"/>
        </w:trPr>
        <w:tc>
          <w:tcPr>
            <w:tcW w:w="4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r>
      <w:tr>
        <w:trPr>
          <w:trHeight w:val="180"/>
        </w:trPr>
        <w:tc>
          <w:tcPr>
            <w:tcW w:w="4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March 31, 2016</w:t>
            </w: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48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0.50000</w:t>
            </w:r>
          </w:p>
        </w:tc>
        <w:tc>
          <w:tcPr>
            <w:tcW w:w="100" w:type="dxa"/>
            <w:vAlign w:val="bottom"/>
            <w:tcBorders>
              <w:bottom w:val="single" w:sz="8" w:color="CCEEFF"/>
            </w:tcBorders>
            <w:shd w:val="clear" w:color="auto" w:fill="CCEEFF"/>
          </w:tcPr>
          <w:p>
            <w:pPr>
              <w:spacing w:after="0"/>
              <w:rPr>
                <w:sz w:val="15"/>
                <w:szCs w:val="15"/>
                <w:color w:val="auto"/>
              </w:rPr>
            </w:pPr>
          </w:p>
        </w:tc>
        <w:tc>
          <w:tcPr>
            <w:tcW w:w="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0.484375</w:t>
            </w:r>
          </w:p>
        </w:tc>
        <w:tc>
          <w:tcPr>
            <w:tcW w:w="80" w:type="dxa"/>
            <w:vAlign w:val="bottom"/>
            <w:tcBorders>
              <w:bottom w:val="single" w:sz="8" w:color="CCEEFF"/>
            </w:tcBorders>
            <w:shd w:val="clear" w:color="auto" w:fill="CCEEFF"/>
          </w:tcPr>
          <w:p>
            <w:pPr>
              <w:spacing w:after="0"/>
              <w:rPr>
                <w:sz w:val="15"/>
                <w:szCs w:val="15"/>
                <w:color w:val="auto"/>
              </w:rPr>
            </w:pPr>
          </w:p>
        </w:tc>
        <w:tc>
          <w:tcPr>
            <w:tcW w:w="260" w:type="dxa"/>
            <w:vAlign w:val="bottom"/>
            <w:tcBorders>
              <w:bottom w:val="single" w:sz="8" w:color="CCEEFF"/>
            </w:tcBorders>
            <w:shd w:val="clear" w:color="auto" w:fill="CCEEFF"/>
          </w:tcPr>
          <w:p>
            <w:pPr>
              <w:jc w:val="right"/>
              <w:ind w:right="126"/>
              <w:spacing w:after="0"/>
              <w:rPr>
                <w:sz w:val="20"/>
                <w:szCs w:val="20"/>
                <w:color w:val="auto"/>
              </w:rPr>
            </w:pPr>
            <w:r>
              <w:rPr>
                <w:rFonts w:ascii="Arial" w:cs="Arial" w:eastAsia="Arial" w:hAnsi="Arial"/>
                <w:sz w:val="11"/>
                <w:szCs w:val="11"/>
                <w:color w:val="auto"/>
                <w:w w:val="97"/>
              </w:rPr>
              <w:t>$</w:t>
            </w:r>
          </w:p>
        </w:tc>
        <w:tc>
          <w:tcPr>
            <w:tcW w:w="128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0.60</w:t>
            </w:r>
          </w:p>
        </w:tc>
      </w:tr>
      <w:tr>
        <w:trPr>
          <w:trHeight w:val="167"/>
        </w:trPr>
        <w:tc>
          <w:tcPr>
            <w:tcW w:w="4200" w:type="dxa"/>
            <w:vAlign w:val="bottom"/>
            <w:tcBorders>
              <w:bottom w:val="single" w:sz="8" w:color="CCEEFF"/>
            </w:tcBorders>
            <w:gridSpan w:val="2"/>
          </w:tcPr>
          <w:p>
            <w:pPr>
              <w:ind w:left="20"/>
              <w:spacing w:after="0"/>
              <w:rPr>
                <w:sz w:val="20"/>
                <w:szCs w:val="20"/>
                <w:color w:val="auto"/>
              </w:rPr>
            </w:pPr>
            <w:r>
              <w:rPr>
                <w:rFonts w:ascii="Arial" w:cs="Arial" w:eastAsia="Arial" w:hAnsi="Arial"/>
                <w:sz w:val="11"/>
                <w:szCs w:val="11"/>
                <w:color w:val="auto"/>
              </w:rPr>
              <w:t>Total</w:t>
            </w:r>
          </w:p>
        </w:tc>
        <w:tc>
          <w:tcPr>
            <w:tcW w:w="160" w:type="dxa"/>
            <w:vAlign w:val="bottom"/>
            <w:tcBorders>
              <w:top w:val="single" w:sz="8" w:color="auto"/>
              <w:bottom w:val="single" w:sz="8" w:color="auto"/>
            </w:tcBorders>
          </w:tcPr>
          <w:p>
            <w:pPr>
              <w:jc w:val="right"/>
              <w:ind w:right="26"/>
              <w:spacing w:after="0"/>
              <w:rPr>
                <w:sz w:val="20"/>
                <w:szCs w:val="20"/>
                <w:color w:val="auto"/>
              </w:rPr>
            </w:pPr>
            <w:r>
              <w:rPr>
                <w:rFonts w:ascii="Arial" w:cs="Arial" w:eastAsia="Arial" w:hAnsi="Arial"/>
                <w:sz w:val="11"/>
                <w:szCs w:val="11"/>
                <w:color w:val="auto"/>
                <w:w w:val="97"/>
              </w:rPr>
              <w:t>$</w:t>
            </w:r>
          </w:p>
        </w:tc>
        <w:tc>
          <w:tcPr>
            <w:tcW w:w="1480" w:type="dxa"/>
            <w:vAlign w:val="bottom"/>
            <w:tcBorders>
              <w:top w:val="single" w:sz="8" w:color="auto"/>
              <w:bottom w:val="single" w:sz="8" w:color="auto"/>
            </w:tcBorders>
          </w:tcPr>
          <w:p>
            <w:pPr>
              <w:jc w:val="right"/>
              <w:ind w:right="26"/>
              <w:spacing w:after="0"/>
              <w:rPr>
                <w:sz w:val="20"/>
                <w:szCs w:val="20"/>
                <w:color w:val="auto"/>
              </w:rPr>
            </w:pPr>
            <w:r>
              <w:rPr>
                <w:rFonts w:ascii="Arial" w:cs="Arial" w:eastAsia="Arial" w:hAnsi="Arial"/>
                <w:sz w:val="11"/>
                <w:szCs w:val="11"/>
                <w:color w:val="auto"/>
              </w:rPr>
              <w:t>1.50000</w:t>
            </w:r>
          </w:p>
        </w:tc>
        <w:tc>
          <w:tcPr>
            <w:tcW w:w="100" w:type="dxa"/>
            <w:vAlign w:val="bottom"/>
            <w:tcBorders>
              <w:bottom w:val="single" w:sz="8" w:color="CCEEFF"/>
            </w:tcBorders>
          </w:tcPr>
          <w:p>
            <w:pPr>
              <w:spacing w:after="0"/>
              <w:rPr>
                <w:sz w:val="14"/>
                <w:szCs w:val="14"/>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460" w:type="dxa"/>
            <w:vAlign w:val="bottom"/>
            <w:tcBorders>
              <w:top w:val="single" w:sz="8" w:color="auto"/>
              <w:bottom w:val="single" w:sz="8" w:color="auto"/>
            </w:tcBorders>
          </w:tcPr>
          <w:p>
            <w:pPr>
              <w:jc w:val="right"/>
              <w:ind w:right="46"/>
              <w:spacing w:after="0"/>
              <w:rPr>
                <w:sz w:val="20"/>
                <w:szCs w:val="20"/>
                <w:color w:val="auto"/>
              </w:rPr>
            </w:pPr>
            <w:r>
              <w:rPr>
                <w:rFonts w:ascii="Arial" w:cs="Arial" w:eastAsia="Arial" w:hAnsi="Arial"/>
                <w:sz w:val="11"/>
                <w:szCs w:val="11"/>
                <w:color w:val="auto"/>
              </w:rPr>
              <w:t>1.453125</w:t>
            </w:r>
          </w:p>
        </w:tc>
        <w:tc>
          <w:tcPr>
            <w:tcW w:w="80" w:type="dxa"/>
            <w:vAlign w:val="bottom"/>
            <w:tcBorders>
              <w:bottom w:val="single" w:sz="8" w:color="CCEEFF"/>
            </w:tcBorders>
          </w:tcPr>
          <w:p>
            <w:pPr>
              <w:spacing w:after="0"/>
              <w:rPr>
                <w:sz w:val="14"/>
                <w:szCs w:val="14"/>
                <w:color w:val="auto"/>
              </w:rPr>
            </w:pPr>
          </w:p>
        </w:tc>
        <w:tc>
          <w:tcPr>
            <w:tcW w:w="260" w:type="dxa"/>
            <w:vAlign w:val="bottom"/>
            <w:tcBorders>
              <w:top w:val="single" w:sz="8" w:color="auto"/>
              <w:bottom w:val="single" w:sz="8" w:color="auto"/>
            </w:tcBorders>
          </w:tcPr>
          <w:p>
            <w:pPr>
              <w:jc w:val="right"/>
              <w:ind w:right="126"/>
              <w:spacing w:after="0"/>
              <w:rPr>
                <w:sz w:val="20"/>
                <w:szCs w:val="20"/>
                <w:color w:val="auto"/>
              </w:rPr>
            </w:pPr>
            <w:r>
              <w:rPr>
                <w:rFonts w:ascii="Arial" w:cs="Arial" w:eastAsia="Arial" w:hAnsi="Arial"/>
                <w:sz w:val="11"/>
                <w:szCs w:val="11"/>
                <w:color w:val="auto"/>
                <w:w w:val="97"/>
              </w:rPr>
              <w:t>$</w:t>
            </w:r>
          </w:p>
        </w:tc>
        <w:tc>
          <w:tcPr>
            <w:tcW w:w="1280" w:type="dxa"/>
            <w:vAlign w:val="bottom"/>
            <w:tcBorders>
              <w:top w:val="single" w:sz="8" w:color="auto"/>
              <w:bottom w:val="single" w:sz="8" w:color="auto"/>
            </w:tcBorders>
          </w:tcPr>
          <w:p>
            <w:pPr>
              <w:jc w:val="right"/>
              <w:ind w:right="26"/>
              <w:spacing w:after="0"/>
              <w:rPr>
                <w:sz w:val="20"/>
                <w:szCs w:val="20"/>
                <w:color w:val="auto"/>
              </w:rPr>
            </w:pPr>
            <w:r>
              <w:rPr>
                <w:rFonts w:ascii="Arial" w:cs="Arial" w:eastAsia="Arial" w:hAnsi="Arial"/>
                <w:sz w:val="11"/>
                <w:szCs w:val="11"/>
                <w:color w:val="auto"/>
              </w:rPr>
              <w:t>1.76</w:t>
            </w:r>
          </w:p>
        </w:tc>
      </w:tr>
      <w:tr>
        <w:trPr>
          <w:trHeight w:val="216"/>
        </w:trPr>
        <w:tc>
          <w:tcPr>
            <w:tcW w:w="4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80" w:type="dxa"/>
            <w:vAlign w:val="bottom"/>
            <w:shd w:val="clear" w:color="auto" w:fill="CCEEFF"/>
          </w:tcPr>
          <w:p>
            <w:pPr>
              <w:spacing w:after="0"/>
              <w:rPr>
                <w:sz w:val="18"/>
                <w:szCs w:val="18"/>
                <w:color w:val="auto"/>
              </w:rPr>
            </w:pPr>
          </w:p>
        </w:tc>
      </w:tr>
      <w:tr>
        <w:trPr>
          <w:trHeight w:val="158"/>
        </w:trPr>
        <w:tc>
          <w:tcPr>
            <w:tcW w:w="4200" w:type="dxa"/>
            <w:vAlign w:val="bottom"/>
            <w:gridSpan w:val="2"/>
          </w:tcPr>
          <w:p>
            <w:pPr>
              <w:ind w:left="20"/>
              <w:spacing w:after="0"/>
              <w:rPr>
                <w:sz w:val="20"/>
                <w:szCs w:val="20"/>
                <w:color w:val="auto"/>
              </w:rPr>
            </w:pPr>
            <w:r>
              <w:rPr>
                <w:rFonts w:ascii="Arial" w:cs="Arial" w:eastAsia="Arial" w:hAnsi="Arial"/>
                <w:sz w:val="11"/>
                <w:szCs w:val="11"/>
                <w:color w:val="auto"/>
              </w:rPr>
              <w:t>September 30, 2015</w:t>
            </w: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480" w:type="dxa"/>
            <w:vAlign w:val="bottom"/>
          </w:tcPr>
          <w:p>
            <w:pPr>
              <w:jc w:val="right"/>
              <w:ind w:right="26"/>
              <w:spacing w:after="0"/>
              <w:rPr>
                <w:sz w:val="20"/>
                <w:szCs w:val="20"/>
                <w:color w:val="auto"/>
              </w:rPr>
            </w:pPr>
            <w:r>
              <w:rPr>
                <w:rFonts w:ascii="Arial" w:cs="Arial" w:eastAsia="Arial" w:hAnsi="Arial"/>
                <w:sz w:val="11"/>
                <w:szCs w:val="11"/>
                <w:color w:val="auto"/>
              </w:rPr>
              <w:t>0.50000</w:t>
            </w:r>
          </w:p>
        </w:tc>
        <w:tc>
          <w:tcPr>
            <w:tcW w:w="100" w:type="dxa"/>
            <w:vAlign w:val="bottom"/>
          </w:tcPr>
          <w:p>
            <w:pPr>
              <w:spacing w:after="0"/>
              <w:rPr>
                <w:sz w:val="13"/>
                <w:szCs w:val="13"/>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460" w:type="dxa"/>
            <w:vAlign w:val="bottom"/>
          </w:tcPr>
          <w:p>
            <w:pPr>
              <w:jc w:val="right"/>
              <w:ind w:right="46"/>
              <w:spacing w:after="0"/>
              <w:rPr>
                <w:sz w:val="20"/>
                <w:szCs w:val="20"/>
                <w:color w:val="auto"/>
              </w:rPr>
            </w:pPr>
            <w:r>
              <w:rPr>
                <w:rFonts w:ascii="Arial" w:cs="Arial" w:eastAsia="Arial" w:hAnsi="Arial"/>
                <w:sz w:val="11"/>
                <w:szCs w:val="11"/>
                <w:color w:val="auto"/>
              </w:rPr>
              <w:t>0.484375</w:t>
            </w:r>
          </w:p>
        </w:tc>
        <w:tc>
          <w:tcPr>
            <w:tcW w:w="80" w:type="dxa"/>
            <w:vAlign w:val="bottom"/>
          </w:tcPr>
          <w:p>
            <w:pPr>
              <w:spacing w:after="0"/>
              <w:rPr>
                <w:sz w:val="13"/>
                <w:szCs w:val="13"/>
                <w:color w:val="auto"/>
              </w:rPr>
            </w:pPr>
          </w:p>
        </w:tc>
        <w:tc>
          <w:tcPr>
            <w:tcW w:w="260" w:type="dxa"/>
            <w:vAlign w:val="bottom"/>
          </w:tcPr>
          <w:p>
            <w:pPr>
              <w:jc w:val="right"/>
              <w:ind w:right="126"/>
              <w:spacing w:after="0"/>
              <w:rPr>
                <w:sz w:val="20"/>
                <w:szCs w:val="20"/>
                <w:color w:val="auto"/>
              </w:rPr>
            </w:pPr>
            <w:r>
              <w:rPr>
                <w:rFonts w:ascii="Arial" w:cs="Arial" w:eastAsia="Arial" w:hAnsi="Arial"/>
                <w:sz w:val="11"/>
                <w:szCs w:val="11"/>
                <w:color w:val="auto"/>
                <w:w w:val="97"/>
              </w:rPr>
              <w:t>$</w:t>
            </w:r>
          </w:p>
        </w:tc>
        <w:tc>
          <w:tcPr>
            <w:tcW w:w="1280" w:type="dxa"/>
            <w:vAlign w:val="bottom"/>
          </w:tcPr>
          <w:p>
            <w:pPr>
              <w:jc w:val="right"/>
              <w:ind w:right="26"/>
              <w:spacing w:after="0"/>
              <w:rPr>
                <w:sz w:val="20"/>
                <w:szCs w:val="20"/>
                <w:color w:val="auto"/>
              </w:rPr>
            </w:pPr>
            <w:r>
              <w:rPr>
                <w:rFonts w:ascii="Arial" w:cs="Arial" w:eastAsia="Arial" w:hAnsi="Arial"/>
                <w:sz w:val="11"/>
                <w:szCs w:val="11"/>
                <w:color w:val="auto"/>
              </w:rPr>
              <w:t>0.60</w:t>
            </w:r>
          </w:p>
        </w:tc>
      </w:tr>
      <w:tr>
        <w:trPr>
          <w:trHeight w:val="22"/>
        </w:trPr>
        <w:tc>
          <w:tcPr>
            <w:tcW w:w="4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r>
      <w:tr>
        <w:trPr>
          <w:trHeight w:val="160"/>
        </w:trPr>
        <w:tc>
          <w:tcPr>
            <w:tcW w:w="4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June 30, 2015</w:t>
            </w:r>
          </w:p>
        </w:tc>
        <w:tc>
          <w:tcPr>
            <w:tcW w:w="16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48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0.50000</w:t>
            </w:r>
          </w:p>
        </w:tc>
        <w:tc>
          <w:tcPr>
            <w:tcW w:w="100" w:type="dxa"/>
            <w:vAlign w:val="bottom"/>
            <w:tcBorders>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6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0.484375</w:t>
            </w:r>
          </w:p>
        </w:tc>
        <w:tc>
          <w:tcPr>
            <w:tcW w:w="80" w:type="dxa"/>
            <w:vAlign w:val="bottom"/>
            <w:tcBorders>
              <w:bottom w:val="single" w:sz="8" w:color="CCEEFF"/>
            </w:tcBorders>
            <w:shd w:val="clear" w:color="auto" w:fill="CCEEFF"/>
          </w:tcPr>
          <w:p>
            <w:pPr>
              <w:spacing w:after="0"/>
              <w:rPr>
                <w:sz w:val="13"/>
                <w:szCs w:val="13"/>
                <w:color w:val="auto"/>
              </w:rPr>
            </w:pPr>
          </w:p>
        </w:tc>
        <w:tc>
          <w:tcPr>
            <w:tcW w:w="260" w:type="dxa"/>
            <w:vAlign w:val="bottom"/>
            <w:tcBorders>
              <w:bottom w:val="single" w:sz="8" w:color="CCEEFF"/>
            </w:tcBorders>
            <w:shd w:val="clear" w:color="auto" w:fill="CCEEFF"/>
          </w:tcPr>
          <w:p>
            <w:pPr>
              <w:jc w:val="right"/>
              <w:ind w:right="126"/>
              <w:spacing w:after="0"/>
              <w:rPr>
                <w:sz w:val="20"/>
                <w:szCs w:val="20"/>
                <w:color w:val="auto"/>
              </w:rPr>
            </w:pPr>
            <w:r>
              <w:rPr>
                <w:rFonts w:ascii="Arial" w:cs="Arial" w:eastAsia="Arial" w:hAnsi="Arial"/>
                <w:sz w:val="11"/>
                <w:szCs w:val="11"/>
                <w:color w:val="auto"/>
                <w:w w:val="97"/>
              </w:rPr>
              <w:t>$</w:t>
            </w:r>
          </w:p>
        </w:tc>
        <w:tc>
          <w:tcPr>
            <w:tcW w:w="1280" w:type="dxa"/>
            <w:vAlign w:val="bottom"/>
            <w:tcBorders>
              <w:bottom w:val="single" w:sz="8" w:color="CCEEFF"/>
            </w:tcBorders>
            <w:shd w:val="clear" w:color="auto" w:fill="CCEEFF"/>
          </w:tcPr>
          <w:p>
            <w:pPr>
              <w:jc w:val="right"/>
              <w:ind w:right="26"/>
              <w:spacing w:after="0"/>
              <w:rPr>
                <w:sz w:val="20"/>
                <w:szCs w:val="20"/>
                <w:color w:val="auto"/>
              </w:rPr>
            </w:pPr>
            <w:r>
              <w:rPr>
                <w:rFonts w:ascii="Arial" w:cs="Arial" w:eastAsia="Arial" w:hAnsi="Arial"/>
                <w:sz w:val="11"/>
                <w:szCs w:val="11"/>
                <w:color w:val="auto"/>
              </w:rPr>
              <w:t>0.62</w:t>
            </w:r>
          </w:p>
        </w:tc>
      </w:tr>
      <w:tr>
        <w:trPr>
          <w:trHeight w:val="158"/>
        </w:trPr>
        <w:tc>
          <w:tcPr>
            <w:tcW w:w="4200" w:type="dxa"/>
            <w:vAlign w:val="bottom"/>
            <w:gridSpan w:val="2"/>
          </w:tcPr>
          <w:p>
            <w:pPr>
              <w:ind w:left="20"/>
              <w:spacing w:after="0"/>
              <w:rPr>
                <w:sz w:val="20"/>
                <w:szCs w:val="20"/>
                <w:color w:val="auto"/>
              </w:rPr>
            </w:pPr>
            <w:r>
              <w:rPr>
                <w:rFonts w:ascii="Arial" w:cs="Arial" w:eastAsia="Arial" w:hAnsi="Arial"/>
                <w:sz w:val="11"/>
                <w:szCs w:val="11"/>
                <w:color w:val="auto"/>
              </w:rPr>
              <w:t>March 31, 2015</w:t>
            </w:r>
          </w:p>
        </w:tc>
        <w:tc>
          <w:tcPr>
            <w:tcW w:w="160" w:type="dxa"/>
            <w:vAlign w:val="bottom"/>
          </w:tcPr>
          <w:p>
            <w:pPr>
              <w:jc w:val="right"/>
              <w:ind w:right="26"/>
              <w:spacing w:after="0"/>
              <w:rPr>
                <w:sz w:val="20"/>
                <w:szCs w:val="20"/>
                <w:color w:val="auto"/>
              </w:rPr>
            </w:pPr>
            <w:r>
              <w:rPr>
                <w:rFonts w:ascii="Arial" w:cs="Arial" w:eastAsia="Arial" w:hAnsi="Arial"/>
                <w:sz w:val="11"/>
                <w:szCs w:val="11"/>
                <w:color w:val="auto"/>
                <w:w w:val="97"/>
              </w:rPr>
              <w:t>$</w:t>
            </w:r>
          </w:p>
        </w:tc>
        <w:tc>
          <w:tcPr>
            <w:tcW w:w="1480" w:type="dxa"/>
            <w:vAlign w:val="bottom"/>
          </w:tcPr>
          <w:p>
            <w:pPr>
              <w:jc w:val="right"/>
              <w:ind w:right="26"/>
              <w:spacing w:after="0"/>
              <w:rPr>
                <w:sz w:val="20"/>
                <w:szCs w:val="20"/>
                <w:color w:val="auto"/>
              </w:rPr>
            </w:pPr>
            <w:r>
              <w:rPr>
                <w:rFonts w:ascii="Arial" w:cs="Arial" w:eastAsia="Arial" w:hAnsi="Arial"/>
                <w:sz w:val="11"/>
                <w:szCs w:val="11"/>
                <w:color w:val="auto"/>
              </w:rPr>
              <w:t>0.50000</w:t>
            </w:r>
          </w:p>
        </w:tc>
        <w:tc>
          <w:tcPr>
            <w:tcW w:w="100" w:type="dxa"/>
            <w:vAlign w:val="bottom"/>
          </w:tcPr>
          <w:p>
            <w:pPr>
              <w:spacing w:after="0"/>
              <w:rPr>
                <w:sz w:val="13"/>
                <w:szCs w:val="13"/>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460" w:type="dxa"/>
            <w:vAlign w:val="bottom"/>
          </w:tcPr>
          <w:p>
            <w:pPr>
              <w:jc w:val="right"/>
              <w:ind w:right="46"/>
              <w:spacing w:after="0"/>
              <w:rPr>
                <w:sz w:val="20"/>
                <w:szCs w:val="20"/>
                <w:color w:val="auto"/>
              </w:rPr>
            </w:pPr>
            <w:r>
              <w:rPr>
                <w:rFonts w:ascii="Arial" w:cs="Arial" w:eastAsia="Arial" w:hAnsi="Arial"/>
                <w:sz w:val="11"/>
                <w:szCs w:val="11"/>
                <w:color w:val="auto"/>
              </w:rPr>
              <w:t>0.484375</w:t>
            </w:r>
          </w:p>
        </w:tc>
        <w:tc>
          <w:tcPr>
            <w:tcW w:w="80" w:type="dxa"/>
            <w:vAlign w:val="bottom"/>
          </w:tcPr>
          <w:p>
            <w:pPr>
              <w:spacing w:after="0"/>
              <w:rPr>
                <w:sz w:val="13"/>
                <w:szCs w:val="13"/>
                <w:color w:val="auto"/>
              </w:rPr>
            </w:pPr>
          </w:p>
        </w:tc>
        <w:tc>
          <w:tcPr>
            <w:tcW w:w="260" w:type="dxa"/>
            <w:vAlign w:val="bottom"/>
          </w:tcPr>
          <w:p>
            <w:pPr>
              <w:jc w:val="right"/>
              <w:ind w:right="126"/>
              <w:spacing w:after="0"/>
              <w:rPr>
                <w:sz w:val="20"/>
                <w:szCs w:val="20"/>
                <w:color w:val="auto"/>
              </w:rPr>
            </w:pPr>
            <w:r>
              <w:rPr>
                <w:rFonts w:ascii="Arial" w:cs="Arial" w:eastAsia="Arial" w:hAnsi="Arial"/>
                <w:sz w:val="11"/>
                <w:szCs w:val="11"/>
                <w:color w:val="auto"/>
                <w:w w:val="97"/>
              </w:rPr>
              <w:t>$</w:t>
            </w:r>
          </w:p>
        </w:tc>
        <w:tc>
          <w:tcPr>
            <w:tcW w:w="1280" w:type="dxa"/>
            <w:vAlign w:val="bottom"/>
          </w:tcPr>
          <w:p>
            <w:pPr>
              <w:jc w:val="right"/>
              <w:ind w:right="26"/>
              <w:spacing w:after="0"/>
              <w:rPr>
                <w:sz w:val="20"/>
                <w:szCs w:val="20"/>
                <w:color w:val="auto"/>
              </w:rPr>
            </w:pPr>
            <w:r>
              <w:rPr>
                <w:rFonts w:ascii="Arial" w:cs="Arial" w:eastAsia="Arial" w:hAnsi="Arial"/>
                <w:sz w:val="11"/>
                <w:szCs w:val="11"/>
                <w:color w:val="auto"/>
              </w:rPr>
              <w:t>0.66</w:t>
            </w:r>
          </w:p>
        </w:tc>
      </w:tr>
      <w:tr>
        <w:trPr>
          <w:trHeight w:val="22"/>
        </w:trPr>
        <w:tc>
          <w:tcPr>
            <w:tcW w:w="4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r>
      <w:tr>
        <w:trPr>
          <w:trHeight w:val="167"/>
        </w:trPr>
        <w:tc>
          <w:tcPr>
            <w:tcW w:w="42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Total</w:t>
            </w:r>
          </w:p>
        </w:tc>
        <w:tc>
          <w:tcPr>
            <w:tcW w:w="16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w w:val="97"/>
              </w:rPr>
              <w:t>$</w:t>
            </w:r>
          </w:p>
        </w:tc>
        <w:tc>
          <w:tcPr>
            <w:tcW w:w="148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rPr>
              <w:t>1.50000</w:t>
            </w:r>
          </w:p>
        </w:tc>
        <w:tc>
          <w:tcPr>
            <w:tcW w:w="100" w:type="dxa"/>
            <w:vAlign w:val="bottom"/>
            <w:tcBorders>
              <w:bottom w:val="single" w:sz="8" w:color="CCEEFF"/>
            </w:tcBorders>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460" w:type="dxa"/>
            <w:vAlign w:val="bottom"/>
            <w:tcBorders>
              <w:bottom w:val="single" w:sz="8" w:color="auto"/>
            </w:tcBorders>
            <w:shd w:val="clear" w:color="auto" w:fill="CCEEFF"/>
          </w:tcPr>
          <w:p>
            <w:pPr>
              <w:jc w:val="right"/>
              <w:ind w:right="46"/>
              <w:spacing w:after="0"/>
              <w:rPr>
                <w:sz w:val="20"/>
                <w:szCs w:val="20"/>
                <w:color w:val="auto"/>
              </w:rPr>
            </w:pPr>
            <w:r>
              <w:rPr>
                <w:rFonts w:ascii="Arial" w:cs="Arial" w:eastAsia="Arial" w:hAnsi="Arial"/>
                <w:sz w:val="11"/>
                <w:szCs w:val="11"/>
                <w:color w:val="auto"/>
              </w:rPr>
              <w:t>1.453125</w:t>
            </w:r>
          </w:p>
        </w:tc>
        <w:tc>
          <w:tcPr>
            <w:tcW w:w="80" w:type="dxa"/>
            <w:vAlign w:val="bottom"/>
            <w:tcBorders>
              <w:bottom w:val="single" w:sz="8" w:color="CCEEFF"/>
            </w:tcBorders>
            <w:shd w:val="clear" w:color="auto" w:fill="CCEEFF"/>
          </w:tcPr>
          <w:p>
            <w:pPr>
              <w:spacing w:after="0"/>
              <w:rPr>
                <w:sz w:val="14"/>
                <w:szCs w:val="14"/>
                <w:color w:val="auto"/>
              </w:rPr>
            </w:pPr>
          </w:p>
        </w:tc>
        <w:tc>
          <w:tcPr>
            <w:tcW w:w="260" w:type="dxa"/>
            <w:vAlign w:val="bottom"/>
            <w:tcBorders>
              <w:bottom w:val="single" w:sz="8" w:color="auto"/>
            </w:tcBorders>
            <w:shd w:val="clear" w:color="auto" w:fill="CCEEFF"/>
          </w:tcPr>
          <w:p>
            <w:pPr>
              <w:jc w:val="right"/>
              <w:ind w:right="126"/>
              <w:spacing w:after="0"/>
              <w:rPr>
                <w:sz w:val="20"/>
                <w:szCs w:val="20"/>
                <w:color w:val="auto"/>
              </w:rPr>
            </w:pPr>
            <w:r>
              <w:rPr>
                <w:rFonts w:ascii="Arial" w:cs="Arial" w:eastAsia="Arial" w:hAnsi="Arial"/>
                <w:sz w:val="11"/>
                <w:szCs w:val="11"/>
                <w:color w:val="auto"/>
                <w:w w:val="97"/>
              </w:rPr>
              <w:t>$</w:t>
            </w:r>
          </w:p>
        </w:tc>
        <w:tc>
          <w:tcPr>
            <w:tcW w:w="1280" w:type="dxa"/>
            <w:vAlign w:val="bottom"/>
            <w:tcBorders>
              <w:bottom w:val="single" w:sz="8" w:color="auto"/>
            </w:tcBorders>
            <w:shd w:val="clear" w:color="auto" w:fill="CCEEFF"/>
          </w:tcPr>
          <w:p>
            <w:pPr>
              <w:jc w:val="right"/>
              <w:ind w:right="26"/>
              <w:spacing w:after="0"/>
              <w:rPr>
                <w:sz w:val="20"/>
                <w:szCs w:val="20"/>
                <w:color w:val="auto"/>
              </w:rPr>
            </w:pPr>
            <w:r>
              <w:rPr>
                <w:rFonts w:ascii="Arial" w:cs="Arial" w:eastAsia="Arial" w:hAnsi="Arial"/>
                <w:sz w:val="11"/>
                <w:szCs w:val="11"/>
                <w:color w:val="auto"/>
              </w:rPr>
              <w:t>1.88</w:t>
            </w:r>
          </w:p>
        </w:tc>
      </w:tr>
    </w:tbl>
    <w:p>
      <w:pPr>
        <w:spacing w:after="0" w:line="99"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tax characterization of our fiscal year 2016 dividends will be determined and reported to stockholders on their annual Form 1099-DIV statement after the end of the year.</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Other Comprehensive Income (Loss)</w:t>
      </w:r>
    </w:p>
    <w:p>
      <w:pPr>
        <w:spacing w:after="0" w:line="114"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summarizes the components of our other comprehensive income (loss) for the three and nine months ended September 30, 2016 and 2015 (in millions):</w:t>
      </w:r>
    </w:p>
    <w:p>
      <w:pPr>
        <w:spacing w:after="0" w:line="280" w:lineRule="exact"/>
        <w:rPr>
          <w:sz w:val="20"/>
          <w:szCs w:val="20"/>
          <w:color w:val="auto"/>
        </w:rPr>
      </w:pPr>
    </w:p>
    <w:tbl>
      <w:tblPr>
        <w:tblLayout w:type="fixed"/>
        <w:tblInd w:w="520" w:type="dxa"/>
        <w:tblCellMar>
          <w:top w:w="0" w:type="dxa"/>
          <w:left w:w="0" w:type="dxa"/>
          <w:bottom w:w="0" w:type="dxa"/>
          <w:right w:w="0" w:type="dxa"/>
        </w:tblCellMar>
      </w:tblPr>
      <w:tr>
        <w:trPr>
          <w:trHeight w:val="128"/>
        </w:trPr>
        <w:tc>
          <w:tcPr>
            <w:tcW w:w="6380" w:type="dxa"/>
            <w:vAlign w:val="bottom"/>
          </w:tcPr>
          <w:p>
            <w:pPr>
              <w:spacing w:after="0"/>
              <w:rPr>
                <w:sz w:val="11"/>
                <w:szCs w:val="11"/>
                <w:color w:val="auto"/>
              </w:rPr>
            </w:pPr>
          </w:p>
        </w:tc>
        <w:tc>
          <w:tcPr>
            <w:tcW w:w="1740" w:type="dxa"/>
            <w:vAlign w:val="bottom"/>
            <w:tcBorders>
              <w:bottom w:val="single" w:sz="8" w:color="auto"/>
            </w:tcBorders>
            <w:gridSpan w:val="4"/>
          </w:tcPr>
          <w:p>
            <w:pPr>
              <w:jc w:val="right"/>
              <w:spacing w:after="0"/>
              <w:rPr>
                <w:sz w:val="20"/>
                <w:szCs w:val="20"/>
                <w:color w:val="auto"/>
              </w:rPr>
            </w:pPr>
            <w:r>
              <w:rPr>
                <w:rFonts w:ascii="Arial" w:cs="Arial" w:eastAsia="Arial" w:hAnsi="Arial"/>
                <w:sz w:val="10"/>
                <w:szCs w:val="10"/>
                <w:b w:val="1"/>
                <w:bCs w:val="1"/>
                <w:color w:val="auto"/>
              </w:rPr>
              <w:t>Three Months Ended September 30,</w:t>
            </w:r>
          </w:p>
        </w:tc>
        <w:tc>
          <w:tcPr>
            <w:tcW w:w="26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780" w:type="dxa"/>
            <w:vAlign w:val="bottom"/>
            <w:tcBorders>
              <w:bottom w:val="single" w:sz="8" w:color="auto"/>
            </w:tcBorders>
            <w:gridSpan w:val="4"/>
          </w:tcPr>
          <w:p>
            <w:pPr>
              <w:jc w:val="right"/>
              <w:ind w:right="212"/>
              <w:spacing w:after="0"/>
              <w:rPr>
                <w:sz w:val="20"/>
                <w:szCs w:val="20"/>
                <w:color w:val="auto"/>
              </w:rPr>
            </w:pPr>
            <w:r>
              <w:rPr>
                <w:rFonts w:ascii="Arial" w:cs="Arial" w:eastAsia="Arial" w:hAnsi="Arial"/>
                <w:sz w:val="10"/>
                <w:szCs w:val="10"/>
                <w:b w:val="1"/>
                <w:bCs w:val="1"/>
                <w:color w:val="auto"/>
                <w:w w:val="91"/>
              </w:rPr>
              <w:t>Nine Months Ended September 30,</w:t>
            </w:r>
          </w:p>
        </w:tc>
      </w:tr>
      <w:tr>
        <w:trPr>
          <w:trHeight w:val="169"/>
        </w:trPr>
        <w:tc>
          <w:tcPr>
            <w:tcW w:w="6380" w:type="dxa"/>
            <w:vAlign w:val="bottom"/>
            <w:tcBorders>
              <w:bottom w:val="single" w:sz="8" w:color="CCEEFF"/>
            </w:tcBorders>
          </w:tcPr>
          <w:p>
            <w:pPr>
              <w:spacing w:after="0"/>
              <w:rPr>
                <w:sz w:val="14"/>
                <w:szCs w:val="14"/>
                <w:color w:val="auto"/>
              </w:rPr>
            </w:pPr>
          </w:p>
        </w:tc>
        <w:tc>
          <w:tcPr>
            <w:tcW w:w="6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b w:val="1"/>
                <w:bCs w:val="1"/>
                <w:color w:val="auto"/>
              </w:rPr>
              <w:t>2016</w:t>
            </w:r>
          </w:p>
        </w:tc>
        <w:tc>
          <w:tcPr>
            <w:tcW w:w="300" w:type="dxa"/>
            <w:vAlign w:val="bottom"/>
            <w:tcBorders>
              <w:bottom w:val="single" w:sz="8" w:color="auto"/>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b w:val="1"/>
                <w:bCs w:val="1"/>
                <w:color w:val="auto"/>
              </w:rPr>
              <w:t>2015</w:t>
            </w:r>
          </w:p>
        </w:tc>
        <w:tc>
          <w:tcPr>
            <w:tcW w:w="260" w:type="dxa"/>
            <w:vAlign w:val="bottom"/>
            <w:tcBorders>
              <w:bottom w:val="single" w:sz="8" w:color="auto"/>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332"/>
              <w:spacing w:after="0"/>
              <w:rPr>
                <w:sz w:val="20"/>
                <w:szCs w:val="20"/>
                <w:color w:val="auto"/>
              </w:rPr>
            </w:pPr>
            <w:r>
              <w:rPr>
                <w:rFonts w:ascii="Arial" w:cs="Arial" w:eastAsia="Arial" w:hAnsi="Arial"/>
                <w:sz w:val="10"/>
                <w:szCs w:val="10"/>
                <w:b w:val="1"/>
                <w:bCs w:val="1"/>
                <w:color w:val="auto"/>
              </w:rPr>
              <w:t>2016</w:t>
            </w:r>
          </w:p>
        </w:tc>
        <w:tc>
          <w:tcPr>
            <w:tcW w:w="10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2015</w:t>
            </w:r>
          </w:p>
        </w:tc>
      </w:tr>
      <w:tr>
        <w:trPr>
          <w:trHeight w:val="173"/>
        </w:trPr>
        <w:tc>
          <w:tcPr>
            <w:tcW w:w="6380" w:type="dxa"/>
            <w:vAlign w:val="bottom"/>
            <w:shd w:val="clear" w:color="auto" w:fill="CCEEFF"/>
          </w:tcPr>
          <w:p>
            <w:pPr>
              <w:spacing w:after="0"/>
              <w:rPr>
                <w:sz w:val="20"/>
                <w:szCs w:val="20"/>
                <w:color w:val="auto"/>
              </w:rPr>
            </w:pPr>
            <w:r>
              <w:rPr>
                <w:rFonts w:ascii="Arial" w:cs="Arial" w:eastAsia="Arial" w:hAnsi="Arial"/>
                <w:sz w:val="10"/>
                <w:szCs w:val="10"/>
                <w:color w:val="auto"/>
              </w:rPr>
              <w:t>Unrealized gain (loss) on available-for-sale securities, net:</w:t>
            </w:r>
          </w:p>
        </w:tc>
        <w:tc>
          <w:tcPr>
            <w:tcW w:w="64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7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720" w:type="dxa"/>
            <w:vAlign w:val="bottom"/>
            <w:shd w:val="clear" w:color="auto" w:fill="CCEEFF"/>
          </w:tcPr>
          <w:p>
            <w:pPr>
              <w:spacing w:after="0"/>
              <w:rPr>
                <w:sz w:val="15"/>
                <w:szCs w:val="15"/>
                <w:color w:val="auto"/>
              </w:rPr>
            </w:pPr>
          </w:p>
        </w:tc>
      </w:tr>
      <w:tr>
        <w:trPr>
          <w:trHeight w:val="176"/>
        </w:trPr>
        <w:tc>
          <w:tcPr>
            <w:tcW w:w="6380" w:type="dxa"/>
            <w:vAlign w:val="bottom"/>
          </w:tcPr>
          <w:p>
            <w:pPr>
              <w:ind w:left="60"/>
              <w:spacing w:after="0"/>
              <w:rPr>
                <w:sz w:val="20"/>
                <w:szCs w:val="20"/>
                <w:color w:val="auto"/>
              </w:rPr>
            </w:pPr>
            <w:r>
              <w:rPr>
                <w:rFonts w:ascii="Arial" w:cs="Arial" w:eastAsia="Arial" w:hAnsi="Arial"/>
                <w:sz w:val="10"/>
                <w:szCs w:val="10"/>
                <w:color w:val="auto"/>
              </w:rPr>
              <w:t>Unrealized gain (loss), net</w:t>
            </w:r>
          </w:p>
        </w:tc>
        <w:tc>
          <w:tcPr>
            <w:tcW w:w="640" w:type="dxa"/>
            <w:vAlign w:val="bottom"/>
          </w:tcPr>
          <w:p>
            <w:pPr>
              <w:jc w:val="right"/>
              <w:ind w:right="532"/>
              <w:spacing w:after="0"/>
              <w:rPr>
                <w:sz w:val="20"/>
                <w:szCs w:val="20"/>
                <w:color w:val="auto"/>
              </w:rPr>
            </w:pPr>
            <w:r>
              <w:rPr>
                <w:rFonts w:ascii="Arial" w:cs="Arial" w:eastAsia="Arial" w:hAnsi="Arial"/>
                <w:sz w:val="10"/>
                <w:szCs w:val="10"/>
                <w:color w:val="auto"/>
                <w:w w:val="71"/>
              </w:rPr>
              <w:t>$</w:t>
            </w:r>
          </w:p>
        </w:tc>
        <w:tc>
          <w:tcPr>
            <w:tcW w:w="300" w:type="dxa"/>
            <w:vAlign w:val="bottom"/>
          </w:tcPr>
          <w:p>
            <w:pPr>
              <w:jc w:val="right"/>
              <w:ind w:right="32"/>
              <w:spacing w:after="0"/>
              <w:rPr>
                <w:sz w:val="20"/>
                <w:szCs w:val="20"/>
                <w:color w:val="auto"/>
              </w:rPr>
            </w:pPr>
            <w:r>
              <w:rPr>
                <w:rFonts w:ascii="Arial" w:cs="Arial" w:eastAsia="Arial" w:hAnsi="Arial"/>
                <w:sz w:val="10"/>
                <w:szCs w:val="10"/>
                <w:color w:val="auto"/>
              </w:rPr>
              <w:t>(36)</w:t>
            </w:r>
          </w:p>
        </w:tc>
        <w:tc>
          <w:tcPr>
            <w:tcW w:w="120" w:type="dxa"/>
            <w:vAlign w:val="bottom"/>
          </w:tcPr>
          <w:p>
            <w:pPr>
              <w:spacing w:after="0"/>
              <w:rPr>
                <w:sz w:val="15"/>
                <w:szCs w:val="15"/>
                <w:color w:val="auto"/>
              </w:rPr>
            </w:pPr>
          </w:p>
        </w:tc>
        <w:tc>
          <w:tcPr>
            <w:tcW w:w="680" w:type="dxa"/>
            <w:vAlign w:val="bottom"/>
          </w:tcPr>
          <w:p>
            <w:pPr>
              <w:jc w:val="right"/>
              <w:ind w:right="572"/>
              <w:spacing w:after="0"/>
              <w:rPr>
                <w:sz w:val="20"/>
                <w:szCs w:val="20"/>
                <w:color w:val="auto"/>
              </w:rPr>
            </w:pPr>
            <w:r>
              <w:rPr>
                <w:rFonts w:ascii="Arial" w:cs="Arial" w:eastAsia="Arial" w:hAnsi="Arial"/>
                <w:sz w:val="10"/>
                <w:szCs w:val="10"/>
                <w:color w:val="auto"/>
                <w:w w:val="71"/>
              </w:rPr>
              <w:t>$</w:t>
            </w:r>
          </w:p>
        </w:tc>
        <w:tc>
          <w:tcPr>
            <w:tcW w:w="260" w:type="dxa"/>
            <w:vAlign w:val="bottom"/>
          </w:tcPr>
          <w:p>
            <w:pPr>
              <w:jc w:val="right"/>
              <w:ind w:right="52"/>
              <w:spacing w:after="0"/>
              <w:rPr>
                <w:sz w:val="20"/>
                <w:szCs w:val="20"/>
                <w:color w:val="auto"/>
              </w:rPr>
            </w:pPr>
            <w:r>
              <w:rPr>
                <w:rFonts w:ascii="Arial" w:cs="Arial" w:eastAsia="Arial" w:hAnsi="Arial"/>
                <w:sz w:val="10"/>
                <w:szCs w:val="10"/>
                <w:color w:val="auto"/>
                <w:w w:val="83"/>
              </w:rPr>
              <w:t>428</w:t>
            </w:r>
          </w:p>
        </w:tc>
        <w:tc>
          <w:tcPr>
            <w:tcW w:w="100" w:type="dxa"/>
            <w:vAlign w:val="bottom"/>
          </w:tcPr>
          <w:p>
            <w:pPr>
              <w:spacing w:after="0"/>
              <w:rPr>
                <w:sz w:val="15"/>
                <w:szCs w:val="15"/>
                <w:color w:val="auto"/>
              </w:rPr>
            </w:pPr>
          </w:p>
        </w:tc>
        <w:tc>
          <w:tcPr>
            <w:tcW w:w="180" w:type="dxa"/>
            <w:vAlign w:val="bottom"/>
          </w:tcPr>
          <w:p>
            <w:pPr>
              <w:jc w:val="right"/>
              <w:ind w:right="72"/>
              <w:spacing w:after="0"/>
              <w:rPr>
                <w:sz w:val="20"/>
                <w:szCs w:val="20"/>
                <w:color w:val="auto"/>
              </w:rPr>
            </w:pPr>
            <w:r>
              <w:rPr>
                <w:rFonts w:ascii="Arial" w:cs="Arial" w:eastAsia="Arial" w:hAnsi="Arial"/>
                <w:sz w:val="10"/>
                <w:szCs w:val="10"/>
                <w:color w:val="auto"/>
                <w:w w:val="71"/>
              </w:rPr>
              <w:t>$</w:t>
            </w:r>
          </w:p>
        </w:tc>
        <w:tc>
          <w:tcPr>
            <w:tcW w:w="760" w:type="dxa"/>
            <w:vAlign w:val="bottom"/>
          </w:tcPr>
          <w:p>
            <w:pPr>
              <w:jc w:val="right"/>
              <w:ind w:right="52"/>
              <w:spacing w:after="0"/>
              <w:rPr>
                <w:sz w:val="20"/>
                <w:szCs w:val="20"/>
                <w:color w:val="auto"/>
              </w:rPr>
            </w:pPr>
            <w:r>
              <w:rPr>
                <w:rFonts w:ascii="Arial" w:cs="Arial" w:eastAsia="Arial" w:hAnsi="Arial"/>
                <w:sz w:val="10"/>
                <w:szCs w:val="10"/>
                <w:color w:val="auto"/>
              </w:rPr>
              <w:t>1,152</w:t>
            </w:r>
          </w:p>
        </w:tc>
        <w:tc>
          <w:tcPr>
            <w:tcW w:w="100" w:type="dxa"/>
            <w:vAlign w:val="bottom"/>
          </w:tcPr>
          <w:p>
            <w:pPr>
              <w:spacing w:after="0"/>
              <w:rPr>
                <w:sz w:val="15"/>
                <w:szCs w:val="15"/>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Pr>
          <w:p>
            <w:pPr>
              <w:jc w:val="right"/>
              <w:ind w:right="12"/>
              <w:spacing w:after="0"/>
              <w:rPr>
                <w:sz w:val="20"/>
                <w:szCs w:val="20"/>
                <w:color w:val="auto"/>
              </w:rPr>
            </w:pPr>
            <w:r>
              <w:rPr>
                <w:rFonts w:ascii="Arial" w:cs="Arial" w:eastAsia="Arial" w:hAnsi="Arial"/>
                <w:sz w:val="10"/>
                <w:szCs w:val="10"/>
                <w:color w:val="auto"/>
              </w:rPr>
              <w:t>(39)</w:t>
            </w:r>
          </w:p>
        </w:tc>
      </w:tr>
      <w:tr>
        <w:trPr>
          <w:trHeight w:val="180"/>
        </w:trPr>
        <w:tc>
          <w:tcPr>
            <w:tcW w:w="6380" w:type="dxa"/>
            <w:vAlign w:val="bottom"/>
            <w:shd w:val="clear" w:color="auto" w:fill="CCEEFF"/>
          </w:tcPr>
          <w:p>
            <w:pPr>
              <w:ind w:left="60"/>
              <w:spacing w:after="0"/>
              <w:rPr>
                <w:sz w:val="20"/>
                <w:szCs w:val="20"/>
                <w:color w:val="auto"/>
              </w:rPr>
            </w:pPr>
            <w:r>
              <w:rPr>
                <w:rFonts w:ascii="Arial" w:cs="Arial" w:eastAsia="Arial" w:hAnsi="Arial"/>
                <w:sz w:val="10"/>
                <w:szCs w:val="10"/>
                <w:color w:val="auto"/>
              </w:rPr>
              <w:t>Reversal of prior period unrealized (gain) loss, net, upon realization</w:t>
            </w:r>
          </w:p>
        </w:tc>
        <w:tc>
          <w:tcPr>
            <w:tcW w:w="640" w:type="dxa"/>
            <w:vAlign w:val="bottom"/>
            <w:tcBorders>
              <w:bottom w:val="single" w:sz="8" w:color="auto"/>
            </w:tcBorders>
            <w:shd w:val="clear" w:color="auto" w:fill="CCEEFF"/>
          </w:tcPr>
          <w:p>
            <w:pPr>
              <w:spacing w:after="0"/>
              <w:rPr>
                <w:sz w:val="15"/>
                <w:szCs w:val="15"/>
                <w:color w:val="auto"/>
              </w:rPr>
            </w:pPr>
          </w:p>
        </w:tc>
        <w:tc>
          <w:tcPr>
            <w:tcW w:w="3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(61)</w:t>
            </w:r>
          </w:p>
        </w:tc>
        <w:tc>
          <w:tcPr>
            <w:tcW w:w="120" w:type="dxa"/>
            <w:vAlign w:val="bottom"/>
            <w:shd w:val="clear" w:color="auto" w:fill="CCEEFF"/>
          </w:tcPr>
          <w:p>
            <w:pPr>
              <w:spacing w:after="0"/>
              <w:rPr>
                <w:sz w:val="15"/>
                <w:szCs w:val="15"/>
                <w:color w:val="auto"/>
              </w:rPr>
            </w:pPr>
          </w:p>
        </w:tc>
        <w:tc>
          <w:tcPr>
            <w:tcW w:w="680" w:type="dxa"/>
            <w:vAlign w:val="bottom"/>
            <w:tcBorders>
              <w:bottom w:val="single" w:sz="8" w:color="auto"/>
            </w:tcBorders>
            <w:shd w:val="clear" w:color="auto" w:fill="CCEEFF"/>
          </w:tcPr>
          <w:p>
            <w:pPr>
              <w:spacing w:after="0"/>
              <w:rPr>
                <w:sz w:val="15"/>
                <w:szCs w:val="15"/>
                <w:color w:val="auto"/>
              </w:rPr>
            </w:pPr>
          </w:p>
        </w:tc>
        <w:tc>
          <w:tcPr>
            <w:tcW w:w="2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39</w:t>
            </w:r>
          </w:p>
        </w:tc>
        <w:tc>
          <w:tcPr>
            <w:tcW w:w="100" w:type="dxa"/>
            <w:vAlign w:val="bottom"/>
            <w:shd w:val="clear" w:color="auto" w:fill="CCEEFF"/>
          </w:tcPr>
          <w:p>
            <w:pPr>
              <w:spacing w:after="0"/>
              <w:rPr>
                <w:sz w:val="15"/>
                <w:szCs w:val="15"/>
                <w:color w:val="auto"/>
              </w:rPr>
            </w:pPr>
          </w:p>
        </w:tc>
        <w:tc>
          <w:tcPr>
            <w:tcW w:w="180" w:type="dxa"/>
            <w:vAlign w:val="bottom"/>
            <w:tcBorders>
              <w:bottom w:val="single" w:sz="8" w:color="auto"/>
            </w:tcBorders>
            <w:shd w:val="clear" w:color="auto" w:fill="CCEEFF"/>
          </w:tcPr>
          <w:p>
            <w:pPr>
              <w:spacing w:after="0"/>
              <w:rPr>
                <w:sz w:val="15"/>
                <w:szCs w:val="15"/>
                <w:color w:val="auto"/>
              </w:rPr>
            </w:pPr>
          </w:p>
        </w:tc>
        <w:tc>
          <w:tcPr>
            <w:tcW w:w="7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(114)</w:t>
            </w:r>
          </w:p>
        </w:tc>
        <w:tc>
          <w:tcPr>
            <w:tcW w:w="100" w:type="dxa"/>
            <w:vAlign w:val="bottom"/>
            <w:shd w:val="clear" w:color="auto" w:fill="CCEEFF"/>
          </w:tcPr>
          <w:p>
            <w:pPr>
              <w:spacing w:after="0"/>
              <w:rPr>
                <w:sz w:val="15"/>
                <w:szCs w:val="15"/>
                <w:color w:val="auto"/>
              </w:rPr>
            </w:pPr>
          </w:p>
        </w:tc>
        <w:tc>
          <w:tcPr>
            <w:tcW w:w="200" w:type="dxa"/>
            <w:vAlign w:val="bottom"/>
            <w:tcBorders>
              <w:bottom w:val="single" w:sz="8" w:color="auto"/>
            </w:tcBorders>
            <w:shd w:val="clear" w:color="auto" w:fill="CCEEFF"/>
          </w:tcPr>
          <w:p>
            <w:pPr>
              <w:spacing w:after="0"/>
              <w:rPr>
                <w:sz w:val="15"/>
                <w:szCs w:val="15"/>
                <w:color w:val="auto"/>
              </w:rPr>
            </w:pPr>
          </w:p>
        </w:tc>
        <w:tc>
          <w:tcPr>
            <w:tcW w:w="72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25</w:t>
            </w:r>
          </w:p>
        </w:tc>
      </w:tr>
      <w:tr>
        <w:trPr>
          <w:trHeight w:val="160"/>
        </w:trPr>
        <w:tc>
          <w:tcPr>
            <w:tcW w:w="638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Unrealized gain (loss) on available-for-sale securities, net:</w:t>
            </w:r>
          </w:p>
        </w:tc>
        <w:tc>
          <w:tcPr>
            <w:tcW w:w="64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(97)</w:t>
            </w:r>
          </w:p>
        </w:tc>
        <w:tc>
          <w:tcPr>
            <w:tcW w:w="120" w:type="dxa"/>
            <w:vAlign w:val="bottom"/>
            <w:tcBorders>
              <w:bottom w:val="single" w:sz="8" w:color="CCEEFF"/>
            </w:tcBorders>
          </w:tcPr>
          <w:p>
            <w:pPr>
              <w:spacing w:after="0"/>
              <w:rPr>
                <w:sz w:val="13"/>
                <w:szCs w:val="13"/>
                <w:color w:val="auto"/>
              </w:rPr>
            </w:pPr>
          </w:p>
        </w:tc>
        <w:tc>
          <w:tcPr>
            <w:tcW w:w="68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w w:val="83"/>
              </w:rPr>
              <w:t>467</w:t>
            </w:r>
          </w:p>
        </w:tc>
        <w:tc>
          <w:tcPr>
            <w:tcW w:w="100" w:type="dxa"/>
            <w:vAlign w:val="bottom"/>
            <w:tcBorders>
              <w:bottom w:val="single" w:sz="8" w:color="CCEEFF"/>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7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1,038</w:t>
            </w:r>
          </w:p>
        </w:tc>
        <w:tc>
          <w:tcPr>
            <w:tcW w:w="100" w:type="dxa"/>
            <w:vAlign w:val="bottom"/>
            <w:tcBorders>
              <w:bottom w:val="single" w:sz="8" w:color="CCEEFF"/>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(14)</w:t>
            </w:r>
          </w:p>
        </w:tc>
      </w:tr>
      <w:tr>
        <w:trPr>
          <w:trHeight w:val="173"/>
        </w:trPr>
        <w:tc>
          <w:tcPr>
            <w:tcW w:w="6380" w:type="dxa"/>
            <w:vAlign w:val="bottom"/>
            <w:shd w:val="clear" w:color="auto" w:fill="CCEEFF"/>
          </w:tcPr>
          <w:p>
            <w:pPr>
              <w:spacing w:after="0"/>
              <w:rPr>
                <w:sz w:val="20"/>
                <w:szCs w:val="20"/>
                <w:color w:val="auto"/>
              </w:rPr>
            </w:pPr>
            <w:r>
              <w:rPr>
                <w:rFonts w:ascii="Arial" w:cs="Arial" w:eastAsia="Arial" w:hAnsi="Arial"/>
                <w:sz w:val="10"/>
                <w:szCs w:val="10"/>
                <w:color w:val="auto"/>
              </w:rPr>
              <w:t>Unrealized gain on interest rate swaps designated as cash flow hedges:</w:t>
            </w:r>
          </w:p>
        </w:tc>
        <w:tc>
          <w:tcPr>
            <w:tcW w:w="64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7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720" w:type="dxa"/>
            <w:vAlign w:val="bottom"/>
            <w:shd w:val="clear" w:color="auto" w:fill="CCEEFF"/>
          </w:tcPr>
          <w:p>
            <w:pPr>
              <w:spacing w:after="0"/>
              <w:rPr>
                <w:sz w:val="15"/>
                <w:szCs w:val="15"/>
                <w:color w:val="auto"/>
              </w:rPr>
            </w:pPr>
          </w:p>
        </w:tc>
      </w:tr>
      <w:tr>
        <w:trPr>
          <w:trHeight w:val="176"/>
        </w:trPr>
        <w:tc>
          <w:tcPr>
            <w:tcW w:w="6380" w:type="dxa"/>
            <w:vAlign w:val="bottom"/>
            <w:tcBorders>
              <w:bottom w:val="single" w:sz="8" w:color="CCEEFF"/>
            </w:tcBorders>
          </w:tcPr>
          <w:p>
            <w:pPr>
              <w:ind w:left="60"/>
              <w:spacing w:after="0"/>
              <w:rPr>
                <w:sz w:val="20"/>
                <w:szCs w:val="20"/>
                <w:color w:val="auto"/>
              </w:rPr>
            </w:pPr>
            <w:r>
              <w:rPr>
                <w:rFonts w:ascii="Arial" w:cs="Arial" w:eastAsia="Arial" w:hAnsi="Arial"/>
                <w:sz w:val="10"/>
                <w:szCs w:val="10"/>
                <w:color w:val="auto"/>
              </w:rPr>
              <w:t>Reversal of prior period unrealized loss on interest rate swaps, net, upon reclassification to interest expense</w:t>
            </w:r>
          </w:p>
        </w:tc>
        <w:tc>
          <w:tcPr>
            <w:tcW w:w="64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7</w:t>
            </w:r>
          </w:p>
        </w:tc>
        <w:tc>
          <w:tcPr>
            <w:tcW w:w="120" w:type="dxa"/>
            <w:vAlign w:val="bottom"/>
            <w:tcBorders>
              <w:bottom w:val="single" w:sz="8" w:color="CCEEFF"/>
            </w:tcBorders>
          </w:tcPr>
          <w:p>
            <w:pPr>
              <w:spacing w:after="0"/>
              <w:rPr>
                <w:sz w:val="15"/>
                <w:szCs w:val="15"/>
                <w:color w:val="auto"/>
              </w:rPr>
            </w:pPr>
          </w:p>
        </w:tc>
        <w:tc>
          <w:tcPr>
            <w:tcW w:w="680" w:type="dxa"/>
            <w:vAlign w:val="bottom"/>
            <w:tcBorders>
              <w:bottom w:val="single" w:sz="8" w:color="auto"/>
            </w:tcBorders>
          </w:tcPr>
          <w:p>
            <w:pPr>
              <w:spacing w:after="0"/>
              <w:rPr>
                <w:sz w:val="15"/>
                <w:szCs w:val="15"/>
                <w:color w:val="auto"/>
              </w:rPr>
            </w:pPr>
          </w:p>
        </w:tc>
        <w:tc>
          <w:tcPr>
            <w:tcW w:w="2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24</w:t>
            </w:r>
          </w:p>
        </w:tc>
        <w:tc>
          <w:tcPr>
            <w:tcW w:w="100" w:type="dxa"/>
            <w:vAlign w:val="bottom"/>
            <w:tcBorders>
              <w:bottom w:val="single" w:sz="8" w:color="CCEEFF"/>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38</w:t>
            </w:r>
          </w:p>
        </w:tc>
        <w:tc>
          <w:tcPr>
            <w:tcW w:w="100" w:type="dxa"/>
            <w:vAlign w:val="bottom"/>
            <w:tcBorders>
              <w:bottom w:val="single" w:sz="8" w:color="CCEEFF"/>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79</w:t>
            </w:r>
          </w:p>
        </w:tc>
      </w:tr>
      <w:tr>
        <w:trPr>
          <w:trHeight w:val="162"/>
        </w:trPr>
        <w:tc>
          <w:tcPr>
            <w:tcW w:w="638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Total other comprehensive income (loss)</w:t>
            </w:r>
          </w:p>
        </w:tc>
        <w:tc>
          <w:tcPr>
            <w:tcW w:w="640" w:type="dxa"/>
            <w:vAlign w:val="bottom"/>
            <w:tcBorders>
              <w:bottom w:val="single" w:sz="8" w:color="auto"/>
            </w:tcBorders>
            <w:shd w:val="clear" w:color="auto" w:fill="CCEEFF"/>
          </w:tcPr>
          <w:p>
            <w:pPr>
              <w:jc w:val="right"/>
              <w:ind w:right="532"/>
              <w:spacing w:after="0"/>
              <w:rPr>
                <w:sz w:val="20"/>
                <w:szCs w:val="20"/>
                <w:color w:val="auto"/>
              </w:rPr>
            </w:pPr>
            <w:r>
              <w:rPr>
                <w:rFonts w:ascii="Arial" w:cs="Arial" w:eastAsia="Arial" w:hAnsi="Arial"/>
                <w:sz w:val="10"/>
                <w:szCs w:val="10"/>
                <w:color w:val="auto"/>
                <w:w w:val="71"/>
              </w:rPr>
              <w:t>$</w:t>
            </w:r>
          </w:p>
        </w:tc>
        <w:tc>
          <w:tcPr>
            <w:tcW w:w="30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(90)</w:t>
            </w:r>
          </w:p>
        </w:tc>
        <w:tc>
          <w:tcPr>
            <w:tcW w:w="120" w:type="dxa"/>
            <w:vAlign w:val="bottom"/>
            <w:tcBorders>
              <w:bottom w:val="single" w:sz="8" w:color="CCEEFF"/>
            </w:tcBorders>
            <w:shd w:val="clear" w:color="auto" w:fill="CCEEFF"/>
          </w:tcPr>
          <w:p>
            <w:pPr>
              <w:spacing w:after="0"/>
              <w:rPr>
                <w:sz w:val="14"/>
                <w:szCs w:val="14"/>
                <w:color w:val="auto"/>
              </w:rPr>
            </w:pPr>
          </w:p>
        </w:tc>
        <w:tc>
          <w:tcPr>
            <w:tcW w:w="680" w:type="dxa"/>
            <w:vAlign w:val="bottom"/>
            <w:tcBorders>
              <w:bottom w:val="single" w:sz="8" w:color="auto"/>
            </w:tcBorders>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2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83"/>
              </w:rPr>
              <w:t>491</w:t>
            </w:r>
          </w:p>
        </w:tc>
        <w:tc>
          <w:tcPr>
            <w:tcW w:w="100" w:type="dxa"/>
            <w:vAlign w:val="bottom"/>
            <w:tcBorders>
              <w:bottom w:val="single" w:sz="8" w:color="CCEEFF"/>
            </w:tcBorders>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1,076</w:t>
            </w:r>
          </w:p>
        </w:tc>
        <w:tc>
          <w:tcPr>
            <w:tcW w:w="10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65</w:t>
            </w:r>
          </w:p>
        </w:tc>
      </w:tr>
    </w:tbl>
    <w:p>
      <w:pPr>
        <w:spacing w:after="0" w:line="297" w:lineRule="exact"/>
        <w:rPr>
          <w:sz w:val="20"/>
          <w:szCs w:val="20"/>
          <w:color w:val="auto"/>
        </w:rPr>
      </w:pPr>
    </w:p>
    <w:p>
      <w:pPr>
        <w:jc w:val="center"/>
        <w:ind w:right="-399"/>
        <w:spacing w:after="0"/>
        <w:rPr>
          <w:sz w:val="20"/>
          <w:szCs w:val="20"/>
          <w:color w:val="auto"/>
        </w:rPr>
      </w:pPr>
      <w:r>
        <w:rPr>
          <w:rFonts w:ascii="Arial" w:cs="Arial" w:eastAsia="Arial" w:hAnsi="Arial"/>
          <w:sz w:val="12"/>
          <w:szCs w:val="12"/>
          <w:color w:val="auto"/>
        </w:rPr>
        <w:t>46</w:t>
      </w:r>
    </w:p>
    <w:p>
      <w:pPr>
        <w:sectPr>
          <w:pgSz w:w="11900" w:h="16838" w:orient="portrait"/>
          <w:cols w:equalWidth="0" w:num="1">
            <w:col w:w="11060"/>
          </w:cols>
          <w:pgMar w:left="220" w:top="545" w:right="619" w:bottom="1440" w:gutter="0" w:footer="0" w:header="0"/>
        </w:sectPr>
      </w:pPr>
    </w:p>
    <w:bookmarkStart w:id="47" w:name="page48"/>
    <w:bookmarkEnd w:id="47"/>
    <w:p>
      <w:pPr>
        <w:ind w:left="8"/>
        <w:spacing w:after="0"/>
        <w:rPr>
          <w:sz w:val="20"/>
          <w:szCs w:val="20"/>
          <w:color w:val="auto"/>
        </w:rPr>
      </w:pPr>
      <w:r>
        <w:rPr>
          <w:rFonts w:ascii="Arial" w:cs="Arial" w:eastAsia="Arial" w:hAnsi="Arial"/>
          <w:sz w:val="12"/>
          <w:szCs w:val="12"/>
          <w:b w:val="1"/>
          <w:bCs w:val="1"/>
          <w:color w:val="auto"/>
        </w:rPr>
        <w:t>LIQUIDITY AND CAPITAL RESOURCES</w:t>
      </w:r>
    </w:p>
    <w:p>
      <w:pPr>
        <w:spacing w:after="0" w:line="118" w:lineRule="exact"/>
        <w:rPr>
          <w:sz w:val="20"/>
          <w:szCs w:val="20"/>
          <w:color w:val="auto"/>
        </w:rPr>
      </w:pPr>
    </w:p>
    <w:p>
      <w:pPr>
        <w:jc w:val="both"/>
        <w:ind w:left="8" w:firstLine="288"/>
        <w:spacing w:after="0" w:line="257" w:lineRule="auto"/>
        <w:rPr>
          <w:sz w:val="20"/>
          <w:szCs w:val="20"/>
          <w:color w:val="auto"/>
        </w:rPr>
      </w:pPr>
      <w:r>
        <w:rPr>
          <w:rFonts w:ascii="Arial" w:cs="Arial" w:eastAsia="Arial" w:hAnsi="Arial"/>
          <w:sz w:val="12"/>
          <w:szCs w:val="12"/>
          <w:color w:val="auto"/>
        </w:rPr>
        <w:t>Our primary sources of funds are borrowings under master repurchase agreements, asset sales, receipts of monthly principal and interest payments on our investment portfolio and equity offerings. We also enter into TBA contracts as a means of acquiring or disposing of agency securities and utilize TBA dollar roll transactions to finance agency MBS purchases. Because the level of our borrowings can be adjusted on a daily basis, the level of cash and cash equivalents carried on our balance sheet is significantly less important than the potential liquidity available under our borrowing arrangements. Our leverage may vary periodically depending on market conditions and our assessment of risks and returns. We generally would expect our leverage to be within six to eleven times the amount of our stockholders' equity. However, under certain market conditions, we may operate at leverage levels outside of this range for extended periods of time.</w:t>
      </w:r>
    </w:p>
    <w:p>
      <w:pPr>
        <w:spacing w:after="0" w:line="90" w:lineRule="exact"/>
        <w:rPr>
          <w:sz w:val="20"/>
          <w:szCs w:val="20"/>
          <w:color w:val="auto"/>
        </w:rPr>
      </w:pPr>
    </w:p>
    <w:p>
      <w:pPr>
        <w:jc w:val="both"/>
        <w:ind w:left="8" w:firstLine="288"/>
        <w:spacing w:after="0" w:line="259" w:lineRule="auto"/>
        <w:rPr>
          <w:sz w:val="20"/>
          <w:szCs w:val="20"/>
          <w:color w:val="auto"/>
        </w:rPr>
      </w:pPr>
      <w:r>
        <w:rPr>
          <w:rFonts w:ascii="Arial" w:cs="Arial" w:eastAsia="Arial" w:hAnsi="Arial"/>
          <w:sz w:val="12"/>
          <w:szCs w:val="12"/>
          <w:color w:val="auto"/>
        </w:rPr>
        <w:t>We currently believe that we have sufficient liquidity and capital resources available for the acquisition of additional investments, repayments on borrowings, maintenance of any margin requirements and the payment of cash dividends as required for our continued qualification as a REIT. To qualify as a REIT, we must distribute annually at least 90% of our taxable income. As long as we qualify as a REIT, we will generally not be subject to U.S. federal or state corporate taxes on our taxable net income to the extent that we distribute our annual taxable net income to our stockholders in a timely manner. We currently expect to distribute 100% of our taxable income so that we are not subject to federal and state income taxes. This distribution requirement limits our ability to retain earnings and thereby replenish or increase capital from operations.</w:t>
      </w:r>
    </w:p>
    <w:p>
      <w:pPr>
        <w:spacing w:after="0" w:line="89" w:lineRule="exact"/>
        <w:rPr>
          <w:sz w:val="20"/>
          <w:szCs w:val="20"/>
          <w:color w:val="auto"/>
        </w:rPr>
      </w:pPr>
    </w:p>
    <w:p>
      <w:pPr>
        <w:ind w:left="8"/>
        <w:spacing w:after="0"/>
        <w:rPr>
          <w:sz w:val="20"/>
          <w:szCs w:val="20"/>
          <w:color w:val="auto"/>
        </w:rPr>
      </w:pPr>
      <w:r>
        <w:rPr>
          <w:rFonts w:ascii="Arial" w:cs="Arial" w:eastAsia="Arial" w:hAnsi="Arial"/>
          <w:sz w:val="12"/>
          <w:szCs w:val="12"/>
          <w:b w:val="1"/>
          <w:bCs w:val="1"/>
          <w:i w:val="1"/>
          <w:iCs w:val="1"/>
          <w:color w:val="auto"/>
        </w:rPr>
        <w:t>Debt Capital</w:t>
      </w:r>
    </w:p>
    <w:p>
      <w:pPr>
        <w:spacing w:after="0" w:line="114" w:lineRule="exact"/>
        <w:rPr>
          <w:sz w:val="20"/>
          <w:szCs w:val="20"/>
          <w:color w:val="auto"/>
        </w:rPr>
      </w:pPr>
    </w:p>
    <w:p>
      <w:pPr>
        <w:ind w:left="288"/>
        <w:spacing w:after="0"/>
        <w:rPr>
          <w:sz w:val="20"/>
          <w:szCs w:val="20"/>
          <w:color w:val="auto"/>
        </w:rPr>
      </w:pPr>
      <w:r>
        <w:rPr>
          <w:rFonts w:ascii="Arial" w:cs="Arial" w:eastAsia="Arial" w:hAnsi="Arial"/>
          <w:sz w:val="12"/>
          <w:szCs w:val="12"/>
          <w:color w:val="auto"/>
        </w:rPr>
        <w:t>As of September 30, 2016 and December 31, 2015, our mortgage borrowings and net TBA position consisted of the following ($ in millions):</w:t>
      </w:r>
    </w:p>
    <w:p>
      <w:pPr>
        <w:spacing w:after="0" w:line="231"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67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60" w:type="dxa"/>
            <w:vAlign w:val="bottom"/>
            <w:gridSpan w:val="3"/>
          </w:tcPr>
          <w:p>
            <w:pPr>
              <w:ind w:left="500"/>
              <w:spacing w:after="0"/>
              <w:rPr>
                <w:sz w:val="20"/>
                <w:szCs w:val="20"/>
                <w:color w:val="auto"/>
              </w:rPr>
            </w:pPr>
            <w:r>
              <w:rPr>
                <w:rFonts w:ascii="Arial" w:cs="Arial" w:eastAsia="Arial" w:hAnsi="Arial"/>
                <w:sz w:val="11"/>
                <w:szCs w:val="11"/>
                <w:b w:val="1"/>
                <w:bCs w:val="1"/>
                <w:color w:val="auto"/>
                <w:w w:val="91"/>
              </w:rPr>
              <w:t>September 30, 2016</w:t>
            </w: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60" w:type="dxa"/>
            <w:vAlign w:val="bottom"/>
            <w:gridSpan w:val="3"/>
          </w:tcPr>
          <w:p>
            <w:pPr>
              <w:ind w:left="460"/>
              <w:spacing w:after="0"/>
              <w:rPr>
                <w:sz w:val="20"/>
                <w:szCs w:val="20"/>
                <w:color w:val="auto"/>
              </w:rPr>
            </w:pPr>
            <w:r>
              <w:rPr>
                <w:rFonts w:ascii="Arial" w:cs="Arial" w:eastAsia="Arial" w:hAnsi="Arial"/>
                <w:sz w:val="11"/>
                <w:szCs w:val="11"/>
                <w:b w:val="1"/>
                <w:bCs w:val="1"/>
                <w:color w:val="auto"/>
                <w:w w:val="88"/>
              </w:rPr>
              <w:t>December 31, 2015</w:t>
            </w:r>
          </w:p>
        </w:tc>
        <w:tc>
          <w:tcPr>
            <w:tcW w:w="600" w:type="dxa"/>
            <w:vAlign w:val="bottom"/>
          </w:tcPr>
          <w:p>
            <w:pPr>
              <w:spacing w:after="0"/>
              <w:rPr>
                <w:sz w:val="12"/>
                <w:szCs w:val="12"/>
                <w:color w:val="auto"/>
              </w:rPr>
            </w:pPr>
          </w:p>
        </w:tc>
      </w:tr>
      <w:tr>
        <w:trPr>
          <w:trHeight w:val="22"/>
        </w:trPr>
        <w:tc>
          <w:tcPr>
            <w:tcW w:w="6900" w:type="dxa"/>
            <w:vAlign w:val="bottom"/>
            <w:gridSpan w:val="2"/>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gridSpan w:val="3"/>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gridSpan w:val="3"/>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r>
      <w:tr>
        <w:trPr>
          <w:trHeight w:val="169"/>
        </w:trPr>
        <w:tc>
          <w:tcPr>
            <w:tcW w:w="6780" w:type="dxa"/>
            <w:vAlign w:val="bottom"/>
            <w:tcBorders>
              <w:bottom w:val="single" w:sz="8" w:color="auto"/>
            </w:tcBorders>
          </w:tcPr>
          <w:p>
            <w:pPr>
              <w:ind w:left="20"/>
              <w:spacing w:after="0"/>
              <w:rPr>
                <w:sz w:val="20"/>
                <w:szCs w:val="20"/>
                <w:color w:val="auto"/>
              </w:rPr>
            </w:pPr>
            <w:r>
              <w:rPr>
                <w:rFonts w:ascii="Arial" w:cs="Arial" w:eastAsia="Arial" w:hAnsi="Arial"/>
                <w:sz w:val="11"/>
                <w:szCs w:val="11"/>
                <w:b w:val="1"/>
                <w:bCs w:val="1"/>
                <w:color w:val="auto"/>
              </w:rPr>
              <w:t xml:space="preserve">Mortgage Funding </w:t>
            </w:r>
            <w:r>
              <w:rPr>
                <w:rFonts w:ascii="Arial" w:cs="Arial" w:eastAsia="Arial" w:hAnsi="Arial"/>
                <w:sz w:val="14"/>
                <w:szCs w:val="14"/>
                <w:b w:val="1"/>
                <w:bCs w:val="1"/>
                <w:color w:val="auto"/>
                <w:vertAlign w:val="superscript"/>
              </w:rPr>
              <w:t>1,2</w:t>
            </w:r>
          </w:p>
        </w:tc>
        <w:tc>
          <w:tcPr>
            <w:tcW w:w="12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tcPr>
          <w:p>
            <w:pPr>
              <w:jc w:val="right"/>
              <w:ind w:right="346"/>
              <w:spacing w:after="0"/>
              <w:rPr>
                <w:sz w:val="20"/>
                <w:szCs w:val="20"/>
                <w:color w:val="auto"/>
              </w:rPr>
            </w:pPr>
            <w:r>
              <w:rPr>
                <w:rFonts w:ascii="Arial" w:cs="Arial" w:eastAsia="Arial" w:hAnsi="Arial"/>
                <w:sz w:val="11"/>
                <w:szCs w:val="11"/>
                <w:b w:val="1"/>
                <w:bCs w:val="1"/>
                <w:color w:val="auto"/>
              </w:rPr>
              <w:t>Amount</w:t>
            </w:r>
          </w:p>
        </w:tc>
        <w:tc>
          <w:tcPr>
            <w:tcW w:w="120" w:type="dxa"/>
            <w:vAlign w:val="bottom"/>
            <w:tcBorders>
              <w:bottom w:val="single" w:sz="8" w:color="CCEEFF"/>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426"/>
              <w:spacing w:after="0"/>
              <w:rPr>
                <w:sz w:val="20"/>
                <w:szCs w:val="20"/>
                <w:color w:val="auto"/>
              </w:rPr>
            </w:pPr>
            <w:r>
              <w:rPr>
                <w:rFonts w:ascii="Arial" w:cs="Arial" w:eastAsia="Arial" w:hAnsi="Arial"/>
                <w:sz w:val="11"/>
                <w:szCs w:val="11"/>
                <w:b w:val="1"/>
                <w:bCs w:val="1"/>
                <w:color w:val="auto"/>
              </w:rPr>
              <w:t>%</w:t>
            </w:r>
          </w:p>
        </w:tc>
        <w:tc>
          <w:tcPr>
            <w:tcW w:w="10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jc w:val="right"/>
              <w:ind w:right="266"/>
              <w:spacing w:after="0"/>
              <w:rPr>
                <w:sz w:val="20"/>
                <w:szCs w:val="20"/>
                <w:color w:val="auto"/>
              </w:rPr>
            </w:pPr>
            <w:r>
              <w:rPr>
                <w:rFonts w:ascii="Arial" w:cs="Arial" w:eastAsia="Arial" w:hAnsi="Arial"/>
                <w:sz w:val="11"/>
                <w:szCs w:val="11"/>
                <w:b w:val="1"/>
                <w:bCs w:val="1"/>
                <w:color w:val="auto"/>
              </w:rPr>
              <w:t>Amount</w:t>
            </w:r>
          </w:p>
        </w:tc>
        <w:tc>
          <w:tcPr>
            <w:tcW w:w="100" w:type="dxa"/>
            <w:vAlign w:val="bottom"/>
            <w:tcBorders>
              <w:bottom w:val="single" w:sz="8" w:color="CCEEFF"/>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406"/>
              <w:spacing w:after="0"/>
              <w:rPr>
                <w:sz w:val="20"/>
                <w:szCs w:val="20"/>
                <w:color w:val="auto"/>
              </w:rPr>
            </w:pPr>
            <w:r>
              <w:rPr>
                <w:rFonts w:ascii="Arial" w:cs="Arial" w:eastAsia="Arial" w:hAnsi="Arial"/>
                <w:sz w:val="11"/>
                <w:szCs w:val="11"/>
                <w:b w:val="1"/>
                <w:bCs w:val="1"/>
                <w:color w:val="auto"/>
              </w:rPr>
              <w:t>%</w:t>
            </w:r>
          </w:p>
        </w:tc>
      </w:tr>
      <w:tr>
        <w:trPr>
          <w:trHeight w:val="140"/>
        </w:trPr>
        <w:tc>
          <w:tcPr>
            <w:tcW w:w="69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Repurchase agreements used to fund agency MBS</w:t>
            </w:r>
          </w:p>
        </w:tc>
        <w:tc>
          <w:tcPr>
            <w:tcW w:w="220" w:type="dxa"/>
            <w:vAlign w:val="bottom"/>
            <w:tcBorders>
              <w:bottom w:val="single" w:sz="8" w:color="CCEEFF"/>
            </w:tcBorders>
            <w:shd w:val="clear" w:color="auto" w:fill="CCEEFF"/>
          </w:tcPr>
          <w:p>
            <w:pPr>
              <w:jc w:val="right"/>
              <w:ind w:right="111"/>
              <w:spacing w:after="0"/>
              <w:rPr>
                <w:sz w:val="20"/>
                <w:szCs w:val="20"/>
                <w:color w:val="auto"/>
              </w:rPr>
            </w:pPr>
            <w:r>
              <w:rPr>
                <w:rFonts w:ascii="Arial" w:cs="Arial" w:eastAsia="Arial" w:hAnsi="Arial"/>
                <w:sz w:val="10"/>
                <w:szCs w:val="10"/>
                <w:color w:val="auto"/>
                <w:w w:val="71"/>
              </w:rPr>
              <w:t>$</w:t>
            </w: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37,623</w:t>
            </w:r>
          </w:p>
        </w:tc>
        <w:tc>
          <w:tcPr>
            <w:tcW w:w="120" w:type="dxa"/>
            <w:vAlign w:val="bottom"/>
            <w:tcBorders>
              <w:bottom w:val="single" w:sz="8" w:color="CCEEFF"/>
            </w:tcBorders>
            <w:shd w:val="clear" w:color="auto" w:fill="CCEEFF"/>
          </w:tcPr>
          <w:p>
            <w:pPr>
              <w:spacing w:after="0"/>
              <w:rPr>
                <w:sz w:val="12"/>
                <w:szCs w:val="12"/>
                <w:color w:val="auto"/>
              </w:rPr>
            </w:pPr>
          </w:p>
        </w:tc>
        <w:tc>
          <w:tcPr>
            <w:tcW w:w="400" w:type="dxa"/>
            <w:vAlign w:val="bottom"/>
            <w:tcBorders>
              <w:bottom w:val="single" w:sz="8" w:color="CCEEFF"/>
            </w:tcBorders>
            <w:shd w:val="clear" w:color="auto" w:fill="CCEEFF"/>
          </w:tcPr>
          <w:p>
            <w:pPr>
              <w:spacing w:after="0"/>
              <w:rPr>
                <w:sz w:val="12"/>
                <w:szCs w:val="12"/>
                <w:color w:val="auto"/>
              </w:rPr>
            </w:pPr>
          </w:p>
        </w:tc>
        <w:tc>
          <w:tcPr>
            <w:tcW w:w="6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66%</w:t>
            </w:r>
          </w:p>
        </w:tc>
        <w:tc>
          <w:tcPr>
            <w:tcW w:w="1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w:t>
            </w:r>
          </w:p>
        </w:tc>
        <w:tc>
          <w:tcPr>
            <w:tcW w:w="82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41,729</w:t>
            </w:r>
          </w:p>
        </w:tc>
        <w:tc>
          <w:tcPr>
            <w:tcW w:w="100" w:type="dxa"/>
            <w:vAlign w:val="bottom"/>
            <w:tcBorders>
              <w:bottom w:val="single" w:sz="8" w:color="CCEEFF"/>
            </w:tcBorders>
            <w:shd w:val="clear" w:color="auto" w:fill="CCEEFF"/>
          </w:tcPr>
          <w:p>
            <w:pPr>
              <w:spacing w:after="0"/>
              <w:rPr>
                <w:sz w:val="12"/>
                <w:szCs w:val="12"/>
                <w:color w:val="auto"/>
              </w:rPr>
            </w:pPr>
          </w:p>
        </w:tc>
        <w:tc>
          <w:tcPr>
            <w:tcW w:w="440" w:type="dxa"/>
            <w:vAlign w:val="bottom"/>
            <w:tcBorders>
              <w:bottom w:val="single" w:sz="8" w:color="CCEEFF"/>
            </w:tcBorders>
            <w:shd w:val="clear" w:color="auto" w:fill="CCEEFF"/>
          </w:tcPr>
          <w:p>
            <w:pPr>
              <w:spacing w:after="0"/>
              <w:rPr>
                <w:sz w:val="12"/>
                <w:szCs w:val="12"/>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78%</w:t>
            </w:r>
          </w:p>
        </w:tc>
      </w:tr>
      <w:tr>
        <w:trPr>
          <w:trHeight w:val="158"/>
        </w:trPr>
        <w:tc>
          <w:tcPr>
            <w:tcW w:w="6900" w:type="dxa"/>
            <w:vAlign w:val="bottom"/>
            <w:gridSpan w:val="2"/>
          </w:tcPr>
          <w:p>
            <w:pPr>
              <w:ind w:left="20"/>
              <w:spacing w:after="0"/>
              <w:rPr>
                <w:sz w:val="20"/>
                <w:szCs w:val="20"/>
                <w:color w:val="auto"/>
              </w:rPr>
            </w:pPr>
            <w:r>
              <w:rPr>
                <w:rFonts w:ascii="Arial" w:cs="Arial" w:eastAsia="Arial" w:hAnsi="Arial"/>
                <w:sz w:val="11"/>
                <w:szCs w:val="11"/>
                <w:color w:val="auto"/>
              </w:rPr>
              <w:t>FHLB advances</w:t>
            </w:r>
          </w:p>
        </w:tc>
        <w:tc>
          <w:tcPr>
            <w:tcW w:w="220" w:type="dxa"/>
            <w:vAlign w:val="bottom"/>
          </w:tcPr>
          <w:p>
            <w:pPr>
              <w:spacing w:after="0"/>
              <w:rPr>
                <w:sz w:val="13"/>
                <w:szCs w:val="13"/>
                <w:color w:val="auto"/>
              </w:rPr>
            </w:pPr>
          </w:p>
        </w:tc>
        <w:tc>
          <w:tcPr>
            <w:tcW w:w="940" w:type="dxa"/>
            <w:vAlign w:val="bottom"/>
          </w:tcPr>
          <w:p>
            <w:pPr>
              <w:jc w:val="right"/>
              <w:ind w:right="66"/>
              <w:spacing w:after="0"/>
              <w:rPr>
                <w:sz w:val="20"/>
                <w:szCs w:val="20"/>
                <w:color w:val="auto"/>
              </w:rPr>
            </w:pPr>
            <w:r>
              <w:rPr>
                <w:rFonts w:ascii="Arial" w:cs="Arial" w:eastAsia="Arial" w:hAnsi="Arial"/>
                <w:sz w:val="11"/>
                <w:szCs w:val="11"/>
                <w:color w:val="auto"/>
              </w:rPr>
              <w:t>3,037</w:t>
            </w:r>
          </w:p>
        </w:tc>
        <w:tc>
          <w:tcPr>
            <w:tcW w:w="1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640" w:type="dxa"/>
            <w:vAlign w:val="bottom"/>
          </w:tcPr>
          <w:p>
            <w:pPr>
              <w:jc w:val="right"/>
              <w:spacing w:after="0"/>
              <w:rPr>
                <w:sz w:val="20"/>
                <w:szCs w:val="20"/>
                <w:color w:val="auto"/>
              </w:rPr>
            </w:pPr>
            <w:r>
              <w:rPr>
                <w:rFonts w:ascii="Arial" w:cs="Arial" w:eastAsia="Arial" w:hAnsi="Arial"/>
                <w:sz w:val="11"/>
                <w:szCs w:val="11"/>
                <w:color w:val="auto"/>
              </w:rPr>
              <w:t>5%</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20" w:type="dxa"/>
            <w:vAlign w:val="bottom"/>
          </w:tcPr>
          <w:p>
            <w:pPr>
              <w:jc w:val="right"/>
              <w:ind w:right="46"/>
              <w:spacing w:after="0"/>
              <w:rPr>
                <w:sz w:val="20"/>
                <w:szCs w:val="20"/>
                <w:color w:val="auto"/>
              </w:rPr>
            </w:pPr>
            <w:r>
              <w:rPr>
                <w:rFonts w:ascii="Arial" w:cs="Arial" w:eastAsia="Arial" w:hAnsi="Arial"/>
                <w:sz w:val="11"/>
                <w:szCs w:val="11"/>
                <w:color w:val="auto"/>
              </w:rPr>
              <w:t>3,753</w:t>
            </w:r>
          </w:p>
        </w:tc>
        <w:tc>
          <w:tcPr>
            <w:tcW w:w="10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Arial" w:cs="Arial" w:eastAsia="Arial" w:hAnsi="Arial"/>
                <w:sz w:val="11"/>
                <w:szCs w:val="11"/>
                <w:color w:val="auto"/>
              </w:rPr>
              <w:t>7%</w:t>
            </w:r>
          </w:p>
        </w:tc>
      </w:tr>
      <w:tr>
        <w:trPr>
          <w:trHeight w:val="22"/>
        </w:trPr>
        <w:tc>
          <w:tcPr>
            <w:tcW w:w="67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r>
      <w:tr>
        <w:trPr>
          <w:trHeight w:val="180"/>
        </w:trPr>
        <w:tc>
          <w:tcPr>
            <w:tcW w:w="69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Debt of consolidated variable interest entities, at fair value</w:t>
            </w:r>
          </w:p>
        </w:tc>
        <w:tc>
          <w:tcPr>
            <w:tcW w:w="22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494</w:t>
            </w:r>
          </w:p>
        </w:tc>
        <w:tc>
          <w:tcPr>
            <w:tcW w:w="120" w:type="dxa"/>
            <w:vAlign w:val="bottom"/>
            <w:tcBorders>
              <w:bottom w:val="single" w:sz="8" w:color="CCEEFF"/>
            </w:tcBorders>
            <w:shd w:val="clear" w:color="auto" w:fill="CCEEFF"/>
          </w:tcPr>
          <w:p>
            <w:pPr>
              <w:spacing w:after="0"/>
              <w:rPr>
                <w:sz w:val="15"/>
                <w:szCs w:val="15"/>
                <w:color w:val="auto"/>
              </w:rPr>
            </w:pPr>
          </w:p>
        </w:tc>
        <w:tc>
          <w:tcPr>
            <w:tcW w:w="400" w:type="dxa"/>
            <w:vAlign w:val="bottom"/>
            <w:tcBorders>
              <w:bottom w:val="single" w:sz="8" w:color="CCEEFF"/>
            </w:tcBorders>
            <w:shd w:val="clear" w:color="auto" w:fill="CCEEFF"/>
          </w:tcPr>
          <w:p>
            <w:pPr>
              <w:spacing w:after="0"/>
              <w:rPr>
                <w:sz w:val="15"/>
                <w:szCs w:val="15"/>
                <w:color w:val="auto"/>
              </w:rPr>
            </w:pPr>
          </w:p>
        </w:tc>
        <w:tc>
          <w:tcPr>
            <w:tcW w:w="6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1%</w:t>
            </w: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82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595</w:t>
            </w:r>
          </w:p>
        </w:tc>
        <w:tc>
          <w:tcPr>
            <w:tcW w:w="10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spacing w:after="0"/>
              <w:rPr>
                <w:sz w:val="15"/>
                <w:szCs w:val="15"/>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1%</w:t>
            </w:r>
          </w:p>
        </w:tc>
      </w:tr>
      <w:tr>
        <w:trPr>
          <w:trHeight w:val="138"/>
        </w:trPr>
        <w:tc>
          <w:tcPr>
            <w:tcW w:w="6900" w:type="dxa"/>
            <w:vAlign w:val="bottom"/>
            <w:gridSpan w:val="2"/>
          </w:tcPr>
          <w:p>
            <w:pPr>
              <w:ind w:left="20"/>
              <w:spacing w:after="0"/>
              <w:rPr>
                <w:sz w:val="20"/>
                <w:szCs w:val="20"/>
                <w:color w:val="auto"/>
              </w:rPr>
            </w:pPr>
            <w:r>
              <w:rPr>
                <w:rFonts w:ascii="Arial" w:cs="Arial" w:eastAsia="Arial" w:hAnsi="Arial"/>
                <w:sz w:val="11"/>
                <w:szCs w:val="11"/>
                <w:color w:val="auto"/>
              </w:rPr>
              <w:t>Total mortgage borrowings</w:t>
            </w:r>
          </w:p>
        </w:tc>
        <w:tc>
          <w:tcPr>
            <w:tcW w:w="22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right"/>
              <w:ind w:right="66"/>
              <w:spacing w:after="0"/>
              <w:rPr>
                <w:sz w:val="20"/>
                <w:szCs w:val="20"/>
                <w:color w:val="auto"/>
              </w:rPr>
            </w:pPr>
            <w:r>
              <w:rPr>
                <w:rFonts w:ascii="Arial" w:cs="Arial" w:eastAsia="Arial" w:hAnsi="Arial"/>
                <w:sz w:val="11"/>
                <w:szCs w:val="11"/>
                <w:color w:val="auto"/>
              </w:rPr>
              <w:t>41,154</w:t>
            </w:r>
          </w:p>
        </w:tc>
        <w:tc>
          <w:tcPr>
            <w:tcW w:w="120" w:type="dxa"/>
            <w:vAlign w:val="bottom"/>
          </w:tcPr>
          <w:p>
            <w:pPr>
              <w:spacing w:after="0"/>
              <w:rPr>
                <w:sz w:val="12"/>
                <w:szCs w:val="12"/>
                <w:color w:val="auto"/>
              </w:rPr>
            </w:pPr>
          </w:p>
        </w:tc>
        <w:tc>
          <w:tcPr>
            <w:tcW w:w="40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1"/>
                <w:szCs w:val="11"/>
                <w:color w:val="auto"/>
              </w:rPr>
              <w:t>73%</w:t>
            </w:r>
          </w:p>
        </w:tc>
        <w:tc>
          <w:tcPr>
            <w:tcW w:w="10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820" w:type="dxa"/>
            <w:vAlign w:val="bottom"/>
            <w:tcBorders>
              <w:top w:val="single" w:sz="8" w:color="auto"/>
            </w:tcBorders>
          </w:tcPr>
          <w:p>
            <w:pPr>
              <w:jc w:val="right"/>
              <w:ind w:right="46"/>
              <w:spacing w:after="0"/>
              <w:rPr>
                <w:sz w:val="20"/>
                <w:szCs w:val="20"/>
                <w:color w:val="auto"/>
              </w:rPr>
            </w:pPr>
            <w:r>
              <w:rPr>
                <w:rFonts w:ascii="Arial" w:cs="Arial" w:eastAsia="Arial" w:hAnsi="Arial"/>
                <w:sz w:val="11"/>
                <w:szCs w:val="11"/>
                <w:color w:val="auto"/>
              </w:rPr>
              <w:t>46,077</w:t>
            </w:r>
          </w:p>
        </w:tc>
        <w:tc>
          <w:tcPr>
            <w:tcW w:w="10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1"/>
                <w:szCs w:val="11"/>
                <w:color w:val="auto"/>
              </w:rPr>
              <w:t>86%</w:t>
            </w:r>
          </w:p>
        </w:tc>
      </w:tr>
      <w:tr>
        <w:trPr>
          <w:trHeight w:val="22"/>
        </w:trPr>
        <w:tc>
          <w:tcPr>
            <w:tcW w:w="67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r>
      <w:tr>
        <w:trPr>
          <w:trHeight w:val="180"/>
        </w:trPr>
        <w:tc>
          <w:tcPr>
            <w:tcW w:w="690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1"/>
                <w:szCs w:val="11"/>
                <w:color w:val="auto"/>
              </w:rPr>
              <w:t>Net TBA position, at cost</w:t>
            </w:r>
          </w:p>
        </w:tc>
        <w:tc>
          <w:tcPr>
            <w:tcW w:w="220" w:type="dxa"/>
            <w:vAlign w:val="bottom"/>
            <w:tcBorders>
              <w:bottom w:val="single" w:sz="8" w:color="CCEEFF"/>
            </w:tcBorders>
            <w:shd w:val="clear" w:color="auto" w:fill="CCEEFF"/>
          </w:tcPr>
          <w:p>
            <w:pPr>
              <w:spacing w:after="0"/>
              <w:rPr>
                <w:sz w:val="15"/>
                <w:szCs w:val="15"/>
                <w:color w:val="auto"/>
              </w:rPr>
            </w:pPr>
          </w:p>
        </w:tc>
        <w:tc>
          <w:tcPr>
            <w:tcW w:w="940" w:type="dxa"/>
            <w:vAlign w:val="bottom"/>
            <w:tcBorders>
              <w:bottom w:val="single" w:sz="8" w:color="CCEEFF"/>
            </w:tcBorders>
            <w:shd w:val="clear" w:color="auto" w:fill="CCEEFF"/>
          </w:tcPr>
          <w:p>
            <w:pPr>
              <w:jc w:val="right"/>
              <w:ind w:right="66"/>
              <w:spacing w:after="0"/>
              <w:rPr>
                <w:sz w:val="20"/>
                <w:szCs w:val="20"/>
                <w:color w:val="auto"/>
              </w:rPr>
            </w:pPr>
            <w:r>
              <w:rPr>
                <w:rFonts w:ascii="Arial" w:cs="Arial" w:eastAsia="Arial" w:hAnsi="Arial"/>
                <w:sz w:val="11"/>
                <w:szCs w:val="11"/>
                <w:color w:val="auto"/>
              </w:rPr>
              <w:t>15,540</w:t>
            </w:r>
          </w:p>
        </w:tc>
        <w:tc>
          <w:tcPr>
            <w:tcW w:w="120" w:type="dxa"/>
            <w:vAlign w:val="bottom"/>
            <w:tcBorders>
              <w:bottom w:val="single" w:sz="8" w:color="CCEEFF"/>
            </w:tcBorders>
            <w:shd w:val="clear" w:color="auto" w:fill="CCEEFF"/>
          </w:tcPr>
          <w:p>
            <w:pPr>
              <w:spacing w:after="0"/>
              <w:rPr>
                <w:sz w:val="15"/>
                <w:szCs w:val="15"/>
                <w:color w:val="auto"/>
              </w:rPr>
            </w:pPr>
          </w:p>
        </w:tc>
        <w:tc>
          <w:tcPr>
            <w:tcW w:w="400" w:type="dxa"/>
            <w:vAlign w:val="bottom"/>
            <w:tcBorders>
              <w:bottom w:val="single" w:sz="8" w:color="CCEEFF"/>
            </w:tcBorders>
            <w:shd w:val="clear" w:color="auto" w:fill="CCEEFF"/>
          </w:tcPr>
          <w:p>
            <w:pPr>
              <w:spacing w:after="0"/>
              <w:rPr>
                <w:sz w:val="15"/>
                <w:szCs w:val="15"/>
                <w:color w:val="auto"/>
              </w:rPr>
            </w:pPr>
          </w:p>
        </w:tc>
        <w:tc>
          <w:tcPr>
            <w:tcW w:w="6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27%</w:t>
            </w:r>
          </w:p>
        </w:tc>
        <w:tc>
          <w:tcPr>
            <w:tcW w:w="100" w:type="dxa"/>
            <w:vAlign w:val="bottom"/>
            <w:tcBorders>
              <w:bottom w:val="single" w:sz="8" w:color="CCEEFF"/>
            </w:tcBorders>
            <w:shd w:val="clear" w:color="auto" w:fill="CCEEFF"/>
          </w:tcPr>
          <w:p>
            <w:pPr>
              <w:spacing w:after="0"/>
              <w:rPr>
                <w:sz w:val="15"/>
                <w:szCs w:val="15"/>
                <w:color w:val="auto"/>
              </w:rPr>
            </w:pPr>
          </w:p>
        </w:tc>
        <w:tc>
          <w:tcPr>
            <w:tcW w:w="200" w:type="dxa"/>
            <w:vAlign w:val="bottom"/>
            <w:tcBorders>
              <w:bottom w:val="single" w:sz="8" w:color="CCEEFF"/>
            </w:tcBorders>
            <w:shd w:val="clear" w:color="auto" w:fill="CCEEFF"/>
          </w:tcPr>
          <w:p>
            <w:pPr>
              <w:spacing w:after="0"/>
              <w:rPr>
                <w:sz w:val="15"/>
                <w:szCs w:val="15"/>
                <w:color w:val="auto"/>
              </w:rPr>
            </w:pPr>
          </w:p>
        </w:tc>
        <w:tc>
          <w:tcPr>
            <w:tcW w:w="820" w:type="dxa"/>
            <w:vAlign w:val="bottom"/>
            <w:tcBorders>
              <w:bottom w:val="single" w:sz="8" w:color="CCEEFF"/>
            </w:tcBorders>
            <w:shd w:val="clear" w:color="auto" w:fill="CCEEFF"/>
          </w:tcPr>
          <w:p>
            <w:pPr>
              <w:jc w:val="right"/>
              <w:ind w:right="46"/>
              <w:spacing w:after="0"/>
              <w:rPr>
                <w:sz w:val="20"/>
                <w:szCs w:val="20"/>
                <w:color w:val="auto"/>
              </w:rPr>
            </w:pPr>
            <w:r>
              <w:rPr>
                <w:rFonts w:ascii="Arial" w:cs="Arial" w:eastAsia="Arial" w:hAnsi="Arial"/>
                <w:sz w:val="11"/>
                <w:szCs w:val="11"/>
                <w:color w:val="auto"/>
              </w:rPr>
              <w:t>7,430</w:t>
            </w:r>
          </w:p>
        </w:tc>
        <w:tc>
          <w:tcPr>
            <w:tcW w:w="100" w:type="dxa"/>
            <w:vAlign w:val="bottom"/>
            <w:tcBorders>
              <w:bottom w:val="single" w:sz="8" w:color="CCEEFF"/>
            </w:tcBorders>
            <w:shd w:val="clear" w:color="auto" w:fill="CCEEFF"/>
          </w:tcPr>
          <w:p>
            <w:pPr>
              <w:spacing w:after="0"/>
              <w:rPr>
                <w:sz w:val="15"/>
                <w:szCs w:val="15"/>
                <w:color w:val="auto"/>
              </w:rPr>
            </w:pPr>
          </w:p>
        </w:tc>
        <w:tc>
          <w:tcPr>
            <w:tcW w:w="440" w:type="dxa"/>
            <w:vAlign w:val="bottom"/>
            <w:tcBorders>
              <w:bottom w:val="single" w:sz="8" w:color="CCEEFF"/>
            </w:tcBorders>
            <w:shd w:val="clear" w:color="auto" w:fill="CCEEFF"/>
          </w:tcPr>
          <w:p>
            <w:pPr>
              <w:spacing w:after="0"/>
              <w:rPr>
                <w:sz w:val="15"/>
                <w:szCs w:val="15"/>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1"/>
                <w:szCs w:val="11"/>
                <w:color w:val="auto"/>
              </w:rPr>
              <w:t>14%</w:t>
            </w:r>
          </w:p>
        </w:tc>
      </w:tr>
      <w:tr>
        <w:trPr>
          <w:trHeight w:val="167"/>
        </w:trPr>
        <w:tc>
          <w:tcPr>
            <w:tcW w:w="6900" w:type="dxa"/>
            <w:vAlign w:val="bottom"/>
            <w:gridSpan w:val="2"/>
          </w:tcPr>
          <w:p>
            <w:pPr>
              <w:ind w:left="20"/>
              <w:spacing w:after="0"/>
              <w:rPr>
                <w:sz w:val="20"/>
                <w:szCs w:val="20"/>
                <w:color w:val="auto"/>
              </w:rPr>
            </w:pPr>
            <w:r>
              <w:rPr>
                <w:rFonts w:ascii="Arial" w:cs="Arial" w:eastAsia="Arial" w:hAnsi="Arial"/>
                <w:sz w:val="11"/>
                <w:szCs w:val="11"/>
                <w:color w:val="auto"/>
              </w:rPr>
              <w:t>Total mortgage funding</w:t>
            </w:r>
          </w:p>
        </w:tc>
        <w:tc>
          <w:tcPr>
            <w:tcW w:w="220" w:type="dxa"/>
            <w:vAlign w:val="bottom"/>
            <w:tcBorders>
              <w:top w:val="single" w:sz="8" w:color="auto"/>
              <w:bottom w:val="single" w:sz="8" w:color="auto"/>
            </w:tcBorders>
          </w:tcPr>
          <w:p>
            <w:pPr>
              <w:jc w:val="right"/>
              <w:ind w:right="111"/>
              <w:spacing w:after="0"/>
              <w:rPr>
                <w:sz w:val="20"/>
                <w:szCs w:val="20"/>
                <w:color w:val="auto"/>
              </w:rPr>
            </w:pPr>
            <w:r>
              <w:rPr>
                <w:rFonts w:ascii="Arial" w:cs="Arial" w:eastAsia="Arial" w:hAnsi="Arial"/>
                <w:sz w:val="10"/>
                <w:szCs w:val="10"/>
                <w:color w:val="auto"/>
                <w:w w:val="71"/>
              </w:rPr>
              <w:t>$</w:t>
            </w:r>
          </w:p>
        </w:tc>
        <w:tc>
          <w:tcPr>
            <w:tcW w:w="940" w:type="dxa"/>
            <w:vAlign w:val="bottom"/>
            <w:tcBorders>
              <w:top w:val="single" w:sz="8" w:color="auto"/>
              <w:bottom w:val="single" w:sz="8" w:color="auto"/>
            </w:tcBorders>
          </w:tcPr>
          <w:p>
            <w:pPr>
              <w:jc w:val="right"/>
              <w:ind w:right="66"/>
              <w:spacing w:after="0"/>
              <w:rPr>
                <w:sz w:val="20"/>
                <w:szCs w:val="20"/>
                <w:color w:val="auto"/>
              </w:rPr>
            </w:pPr>
            <w:r>
              <w:rPr>
                <w:rFonts w:ascii="Arial" w:cs="Arial" w:eastAsia="Arial" w:hAnsi="Arial"/>
                <w:sz w:val="11"/>
                <w:szCs w:val="11"/>
                <w:color w:val="auto"/>
              </w:rPr>
              <w:t>56,694</w:t>
            </w:r>
          </w:p>
        </w:tc>
        <w:tc>
          <w:tcPr>
            <w:tcW w:w="120" w:type="dxa"/>
            <w:vAlign w:val="bottom"/>
          </w:tcPr>
          <w:p>
            <w:pPr>
              <w:spacing w:after="0"/>
              <w:rPr>
                <w:sz w:val="14"/>
                <w:szCs w:val="14"/>
                <w:color w:val="auto"/>
              </w:rPr>
            </w:pPr>
          </w:p>
        </w:tc>
        <w:tc>
          <w:tcPr>
            <w:tcW w:w="400" w:type="dxa"/>
            <w:vAlign w:val="bottom"/>
            <w:tcBorders>
              <w:top w:val="single" w:sz="8" w:color="auto"/>
              <w:bottom w:val="single" w:sz="8" w:color="auto"/>
            </w:tcBorders>
          </w:tcPr>
          <w:p>
            <w:pPr>
              <w:spacing w:after="0"/>
              <w:rPr>
                <w:sz w:val="14"/>
                <w:szCs w:val="14"/>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100%</w:t>
            </w:r>
          </w:p>
        </w:tc>
        <w:tc>
          <w:tcPr>
            <w:tcW w:w="100" w:type="dxa"/>
            <w:vAlign w:val="bottom"/>
          </w:tcPr>
          <w:p>
            <w:pPr>
              <w:spacing w:after="0"/>
              <w:rPr>
                <w:sz w:val="14"/>
                <w:szCs w:val="14"/>
                <w:color w:val="auto"/>
              </w:rPr>
            </w:pPr>
          </w:p>
        </w:tc>
        <w:tc>
          <w:tcPr>
            <w:tcW w:w="200" w:type="dxa"/>
            <w:vAlign w:val="bottom"/>
            <w:tcBorders>
              <w:top w:val="single" w:sz="8" w:color="auto"/>
              <w:bottom w:val="single" w:sz="8" w:color="auto"/>
            </w:tcBorders>
          </w:tcPr>
          <w:p>
            <w:pPr>
              <w:jc w:val="right"/>
              <w:ind w:right="66"/>
              <w:spacing w:after="0"/>
              <w:rPr>
                <w:sz w:val="20"/>
                <w:szCs w:val="20"/>
                <w:color w:val="auto"/>
              </w:rPr>
            </w:pPr>
            <w:r>
              <w:rPr>
                <w:rFonts w:ascii="Arial" w:cs="Arial" w:eastAsia="Arial" w:hAnsi="Arial"/>
                <w:sz w:val="11"/>
                <w:szCs w:val="11"/>
                <w:color w:val="auto"/>
                <w:w w:val="97"/>
              </w:rPr>
              <w:t>$</w:t>
            </w:r>
          </w:p>
        </w:tc>
        <w:tc>
          <w:tcPr>
            <w:tcW w:w="820" w:type="dxa"/>
            <w:vAlign w:val="bottom"/>
            <w:tcBorders>
              <w:top w:val="single" w:sz="8" w:color="auto"/>
              <w:bottom w:val="single" w:sz="8" w:color="auto"/>
            </w:tcBorders>
          </w:tcPr>
          <w:p>
            <w:pPr>
              <w:jc w:val="right"/>
              <w:ind w:right="46"/>
              <w:spacing w:after="0"/>
              <w:rPr>
                <w:sz w:val="20"/>
                <w:szCs w:val="20"/>
                <w:color w:val="auto"/>
              </w:rPr>
            </w:pPr>
            <w:r>
              <w:rPr>
                <w:rFonts w:ascii="Arial" w:cs="Arial" w:eastAsia="Arial" w:hAnsi="Arial"/>
                <w:sz w:val="11"/>
                <w:szCs w:val="11"/>
                <w:color w:val="auto"/>
              </w:rPr>
              <w:t>53,507</w:t>
            </w:r>
          </w:p>
        </w:tc>
        <w:tc>
          <w:tcPr>
            <w:tcW w:w="100" w:type="dxa"/>
            <w:vAlign w:val="bottom"/>
          </w:tcPr>
          <w:p>
            <w:pPr>
              <w:spacing w:after="0"/>
              <w:rPr>
                <w:sz w:val="14"/>
                <w:szCs w:val="14"/>
                <w:color w:val="auto"/>
              </w:rPr>
            </w:pPr>
          </w:p>
        </w:tc>
        <w:tc>
          <w:tcPr>
            <w:tcW w:w="440" w:type="dxa"/>
            <w:vAlign w:val="bottom"/>
            <w:tcBorders>
              <w:top w:val="single" w:sz="8" w:color="auto"/>
              <w:bottom w:val="single" w:sz="8" w:color="auto"/>
            </w:tcBorders>
          </w:tcPr>
          <w:p>
            <w:pPr>
              <w:spacing w:after="0"/>
              <w:rPr>
                <w:sz w:val="14"/>
                <w:szCs w:val="14"/>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100%</w:t>
            </w:r>
          </w:p>
        </w:tc>
      </w:tr>
      <w:tr>
        <w:trPr>
          <w:trHeight w:val="95"/>
        </w:trPr>
        <w:tc>
          <w:tcPr>
            <w:tcW w:w="6780" w:type="dxa"/>
            <w:vAlign w:val="bottom"/>
          </w:tcPr>
          <w:p>
            <w:pPr>
              <w:spacing w:after="0"/>
              <w:rPr>
                <w:sz w:val="20"/>
                <w:szCs w:val="20"/>
                <w:color w:val="auto"/>
              </w:rPr>
            </w:pPr>
            <w:r>
              <w:rPr>
                <w:rFonts w:ascii="Arial" w:cs="Arial" w:eastAsia="Arial" w:hAnsi="Arial"/>
                <w:sz w:val="8"/>
                <w:szCs w:val="8"/>
                <w:color w:val="auto"/>
              </w:rPr>
              <w:t>______________________</w:t>
            </w:r>
          </w:p>
        </w:tc>
        <w:tc>
          <w:tcPr>
            <w:tcW w:w="120" w:type="dxa"/>
            <w:vAlign w:val="bottom"/>
          </w:tcPr>
          <w:p>
            <w:pPr>
              <w:spacing w:after="0"/>
              <w:rPr>
                <w:sz w:val="8"/>
                <w:szCs w:val="8"/>
                <w:color w:val="auto"/>
              </w:rPr>
            </w:pPr>
          </w:p>
        </w:tc>
        <w:tc>
          <w:tcPr>
            <w:tcW w:w="220" w:type="dxa"/>
            <w:vAlign w:val="bottom"/>
          </w:tcPr>
          <w:p>
            <w:pPr>
              <w:spacing w:after="0"/>
              <w:rPr>
                <w:sz w:val="8"/>
                <w:szCs w:val="8"/>
                <w:color w:val="auto"/>
              </w:rPr>
            </w:pPr>
          </w:p>
        </w:tc>
        <w:tc>
          <w:tcPr>
            <w:tcW w:w="940" w:type="dxa"/>
            <w:vAlign w:val="bottom"/>
          </w:tcPr>
          <w:p>
            <w:pPr>
              <w:spacing w:after="0"/>
              <w:rPr>
                <w:sz w:val="8"/>
                <w:szCs w:val="8"/>
                <w:color w:val="auto"/>
              </w:rPr>
            </w:pPr>
          </w:p>
        </w:tc>
        <w:tc>
          <w:tcPr>
            <w:tcW w:w="120" w:type="dxa"/>
            <w:vAlign w:val="bottom"/>
          </w:tcPr>
          <w:p>
            <w:pPr>
              <w:spacing w:after="0"/>
              <w:rPr>
                <w:sz w:val="8"/>
                <w:szCs w:val="8"/>
                <w:color w:val="auto"/>
              </w:rPr>
            </w:pPr>
          </w:p>
        </w:tc>
        <w:tc>
          <w:tcPr>
            <w:tcW w:w="40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00" w:type="dxa"/>
            <w:vAlign w:val="bottom"/>
          </w:tcPr>
          <w:p>
            <w:pPr>
              <w:spacing w:after="0"/>
              <w:rPr>
                <w:sz w:val="8"/>
                <w:szCs w:val="8"/>
                <w:color w:val="auto"/>
              </w:rPr>
            </w:pPr>
          </w:p>
        </w:tc>
        <w:tc>
          <w:tcPr>
            <w:tcW w:w="440" w:type="dxa"/>
            <w:vAlign w:val="bottom"/>
          </w:tcPr>
          <w:p>
            <w:pPr>
              <w:spacing w:after="0"/>
              <w:rPr>
                <w:sz w:val="8"/>
                <w:szCs w:val="8"/>
                <w:color w:val="auto"/>
              </w:rPr>
            </w:pPr>
          </w:p>
        </w:tc>
        <w:tc>
          <w:tcPr>
            <w:tcW w:w="600" w:type="dxa"/>
            <w:vAlign w:val="bottom"/>
          </w:tcPr>
          <w:p>
            <w:pPr>
              <w:spacing w:after="0"/>
              <w:rPr>
                <w:sz w:val="8"/>
                <w:szCs w:val="8"/>
                <w:color w:val="auto"/>
              </w:rPr>
            </w:pPr>
          </w:p>
        </w:tc>
      </w:tr>
    </w:tbl>
    <w:p>
      <w:pPr>
        <w:ind w:left="88" w:hanging="88"/>
        <w:spacing w:after="0" w:line="225" w:lineRule="auto"/>
        <w:tabs>
          <w:tab w:leader="none" w:pos="88" w:val="left"/>
        </w:tabs>
        <w:numPr>
          <w:ilvl w:val="0"/>
          <w:numId w:val="29"/>
        </w:numPr>
        <w:rPr>
          <w:rFonts w:ascii="Arial" w:cs="Arial" w:eastAsia="Arial" w:hAnsi="Arial"/>
          <w:sz w:val="10"/>
          <w:szCs w:val="10"/>
          <w:color w:val="auto"/>
        </w:rPr>
      </w:pPr>
      <w:r>
        <w:rPr>
          <w:rFonts w:ascii="Arial" w:cs="Arial" w:eastAsia="Arial" w:hAnsi="Arial"/>
          <w:sz w:val="10"/>
          <w:szCs w:val="10"/>
          <w:color w:val="auto"/>
        </w:rPr>
        <w:t>Excludes repurchase agreements used to fund U.S. Treasury securities of $45 million and $25 million as of September 30, 2016 and December 31, 2015, respectively.</w:t>
      </w:r>
    </w:p>
    <w:p>
      <w:pPr>
        <w:ind w:left="88" w:hanging="88"/>
        <w:spacing w:after="0" w:line="236" w:lineRule="auto"/>
        <w:tabs>
          <w:tab w:leader="none" w:pos="88" w:val="left"/>
        </w:tabs>
        <w:numPr>
          <w:ilvl w:val="0"/>
          <w:numId w:val="29"/>
        </w:numPr>
        <w:rPr>
          <w:rFonts w:ascii="Arial" w:cs="Arial" w:eastAsia="Arial" w:hAnsi="Arial"/>
          <w:sz w:val="10"/>
          <w:szCs w:val="10"/>
          <w:color w:val="auto"/>
        </w:rPr>
      </w:pPr>
      <w:r>
        <w:rPr>
          <w:rFonts w:ascii="Arial" w:cs="Arial" w:eastAsia="Arial" w:hAnsi="Arial"/>
          <w:sz w:val="10"/>
          <w:szCs w:val="10"/>
          <w:color w:val="auto"/>
        </w:rPr>
        <w:t>Excludes net payable for unsettled purchases and sales of investment securities of $23 million and $182 million as of September 30, 2016 and December 31, 2015, respectively.</w:t>
      </w:r>
    </w:p>
    <w:p>
      <w:pPr>
        <w:spacing w:after="0" w:line="99" w:lineRule="exact"/>
        <w:rPr>
          <w:sz w:val="20"/>
          <w:szCs w:val="20"/>
          <w:color w:val="auto"/>
        </w:rPr>
      </w:pPr>
    </w:p>
    <w:p>
      <w:pPr>
        <w:jc w:val="both"/>
        <w:ind w:left="8" w:firstLine="288"/>
        <w:spacing w:after="0" w:line="323" w:lineRule="auto"/>
        <w:rPr>
          <w:sz w:val="20"/>
          <w:szCs w:val="20"/>
          <w:color w:val="auto"/>
        </w:rPr>
      </w:pPr>
      <w:r>
        <w:rPr>
          <w:rFonts w:ascii="Arial" w:cs="Arial" w:eastAsia="Arial" w:hAnsi="Arial"/>
          <w:sz w:val="11"/>
          <w:szCs w:val="11"/>
          <w:color w:val="auto"/>
        </w:rPr>
        <w:t>Our "at risk" leverage ratio was 7.2x as of September 30, 2016, compared to 6.8x as of December 31, 2015, measured as the sum of our total mortgage borrowings, net TBA position (at cost) and net payable for unsettled investment securities divided by the sum of our total stockholders' equity less our investments in REIT equity securities. Our tangible net book value "at risk" leverage was 7.7x our tangible stockholders' equity as of September 30, 2016.</w:t>
      </w:r>
    </w:p>
    <w:p>
      <w:pPr>
        <w:spacing w:after="0" w:line="56" w:lineRule="exact"/>
        <w:rPr>
          <w:sz w:val="20"/>
          <w:szCs w:val="20"/>
          <w:color w:val="auto"/>
        </w:rPr>
      </w:pPr>
    </w:p>
    <w:p>
      <w:pPr>
        <w:ind w:left="268"/>
        <w:spacing w:after="0"/>
        <w:rPr>
          <w:sz w:val="20"/>
          <w:szCs w:val="20"/>
          <w:color w:val="auto"/>
        </w:rPr>
      </w:pPr>
      <w:r>
        <w:rPr>
          <w:rFonts w:ascii="Arial" w:cs="Arial" w:eastAsia="Arial" w:hAnsi="Arial"/>
          <w:sz w:val="12"/>
          <w:szCs w:val="12"/>
          <w:i w:val="1"/>
          <w:iCs w:val="1"/>
          <w:color w:val="auto"/>
        </w:rPr>
        <w:t>Repurchase Agreements</w:t>
      </w:r>
    </w:p>
    <w:p>
      <w:pPr>
        <w:spacing w:after="0" w:line="114" w:lineRule="exact"/>
        <w:rPr>
          <w:sz w:val="20"/>
          <w:szCs w:val="20"/>
          <w:color w:val="auto"/>
        </w:rPr>
      </w:pPr>
    </w:p>
    <w:p>
      <w:pPr>
        <w:jc w:val="both"/>
        <w:ind w:left="8" w:firstLine="288"/>
        <w:spacing w:after="0" w:line="263" w:lineRule="auto"/>
        <w:rPr>
          <w:sz w:val="20"/>
          <w:szCs w:val="20"/>
          <w:color w:val="auto"/>
        </w:rPr>
      </w:pPr>
      <w:r>
        <w:rPr>
          <w:rFonts w:ascii="Arial" w:cs="Arial" w:eastAsia="Arial" w:hAnsi="Arial"/>
          <w:sz w:val="12"/>
          <w:szCs w:val="12"/>
          <w:color w:val="auto"/>
        </w:rPr>
        <w:t>As part of our investment strategy, we borrow against our investment portfolio pursuant to master repurchase agreements. We expect that the majority of our borrowings under such master repurchase agreements will have maturities ranging up to one year, but we may have longer-term borrowings ranging up to five years or longer. Borrowings under our master repurchase agreements with maturities greater than 90 days will typically have floating rates of interest based on LIBOR plus or minus a fixed spread.</w:t>
      </w:r>
    </w:p>
    <w:p>
      <w:pPr>
        <w:spacing w:after="0" w:line="87" w:lineRule="exact"/>
        <w:rPr>
          <w:sz w:val="20"/>
          <w:szCs w:val="20"/>
          <w:color w:val="auto"/>
        </w:rPr>
      </w:pPr>
    </w:p>
    <w:p>
      <w:pPr>
        <w:jc w:val="both"/>
        <w:ind w:left="8" w:firstLine="288"/>
        <w:spacing w:after="0" w:line="276" w:lineRule="auto"/>
        <w:rPr>
          <w:sz w:val="20"/>
          <w:szCs w:val="20"/>
          <w:color w:val="auto"/>
        </w:rPr>
      </w:pPr>
      <w:r>
        <w:rPr>
          <w:rFonts w:ascii="Arial" w:cs="Arial" w:eastAsia="Arial" w:hAnsi="Arial"/>
          <w:sz w:val="12"/>
          <w:szCs w:val="12"/>
          <w:color w:val="auto"/>
        </w:rPr>
        <w:t>As of September 30, 2016 , we had $37.6 billion of repurchase agreements outstanding used to fund acquisitions of investment securities with a weighted average cost of funds of 0.83% and a weighted average remaining days-to-maturity of 199 days, compared $41.7 billion, 0.61% and 173 days, respectively, as of December 31, 2015.</w:t>
      </w:r>
    </w:p>
    <w:p>
      <w:pPr>
        <w:spacing w:after="0" w:line="79" w:lineRule="exact"/>
        <w:rPr>
          <w:sz w:val="20"/>
          <w:szCs w:val="20"/>
          <w:color w:val="auto"/>
        </w:rPr>
      </w:pPr>
    </w:p>
    <w:p>
      <w:pPr>
        <w:jc w:val="both"/>
        <w:ind w:left="8" w:firstLine="288"/>
        <w:spacing w:after="0" w:line="298" w:lineRule="auto"/>
        <w:rPr>
          <w:sz w:val="20"/>
          <w:szCs w:val="20"/>
          <w:color w:val="auto"/>
        </w:rPr>
      </w:pPr>
      <w:r>
        <w:rPr>
          <w:rFonts w:ascii="Arial" w:cs="Arial" w:eastAsia="Arial" w:hAnsi="Arial"/>
          <w:sz w:val="11"/>
          <w:szCs w:val="11"/>
          <w:color w:val="auto"/>
        </w:rPr>
        <w:t>To limit our exposure to counterparty credit risk, we diversify our funding across multiple counterparties and by counterparty region. As of September 30, 2016, we had master repurchase agreements with 38 financial institutions located throughout North America, Europe and Asia. As of September 30, 2016, less than 5% of our stockholders' equity was at risk with any one repo counterparty, with the top five repo counterparties representing less than 12% of our stockholders' equity. The table below includes a summary of our repurchase agreement funding by number of repo counterparties and counterparty region as of September 30,</w:t>
      </w:r>
    </w:p>
    <w:p>
      <w:pPr>
        <w:spacing w:after="0" w:line="123" w:lineRule="exact"/>
        <w:rPr>
          <w:sz w:val="20"/>
          <w:szCs w:val="20"/>
          <w:color w:val="auto"/>
        </w:rPr>
      </w:pPr>
    </w:p>
    <w:p>
      <w:pPr>
        <w:jc w:val="center"/>
        <w:ind w:right="-7"/>
        <w:spacing w:after="0"/>
        <w:rPr>
          <w:sz w:val="20"/>
          <w:szCs w:val="20"/>
          <w:color w:val="auto"/>
        </w:rPr>
      </w:pPr>
      <w:r>
        <w:rPr>
          <w:rFonts w:ascii="Arial" w:cs="Arial" w:eastAsia="Arial" w:hAnsi="Arial"/>
          <w:sz w:val="12"/>
          <w:szCs w:val="12"/>
          <w:color w:val="auto"/>
        </w:rPr>
        <w:t>47</w:t>
      </w:r>
    </w:p>
    <w:p>
      <w:pPr>
        <w:sectPr>
          <w:pgSz w:w="11900" w:h="16838" w:orient="portrait"/>
          <w:cols w:equalWidth="0" w:num="1">
            <w:col w:w="11488"/>
          </w:cols>
          <w:pgMar w:left="212" w:top="541" w:right="199" w:bottom="1440" w:gutter="0" w:footer="0" w:header="0"/>
        </w:sectPr>
      </w:pPr>
    </w:p>
    <w:bookmarkStart w:id="48" w:name="page49"/>
    <w:bookmarkEnd w:id="48"/>
    <w:p>
      <w:pPr>
        <w:jc w:val="both"/>
        <w:ind w:right="20"/>
        <w:spacing w:after="0" w:line="276" w:lineRule="auto"/>
        <w:rPr>
          <w:sz w:val="20"/>
          <w:szCs w:val="20"/>
          <w:color w:val="auto"/>
        </w:rPr>
      </w:pPr>
      <w:r>
        <w:rPr>
          <w:rFonts w:ascii="Arial" w:cs="Arial" w:eastAsia="Arial" w:hAnsi="Arial"/>
          <w:sz w:val="12"/>
          <w:szCs w:val="12"/>
          <w:color w:val="auto"/>
        </w:rPr>
        <w:t>2016. For further details regarding our borrowings under repurchase agreements and concentration of credit risk as of September 30, 2016, please refer to Notes 5 and 7 to our Consolidated Financial Statements in this Quarterly Report on Form 10-Q.</w:t>
      </w:r>
    </w:p>
    <w:p>
      <w:pPr>
        <w:spacing w:after="0" w:line="226" w:lineRule="exact"/>
        <w:rPr>
          <w:sz w:val="20"/>
          <w:szCs w:val="20"/>
          <w:color w:val="auto"/>
        </w:rPr>
      </w:pPr>
    </w:p>
    <w:tbl>
      <w:tblPr>
        <w:tblLayout w:type="fixed"/>
        <w:tblInd w:w="2720" w:type="dxa"/>
        <w:tblCellMar>
          <w:top w:w="0" w:type="dxa"/>
          <w:left w:w="0" w:type="dxa"/>
          <w:bottom w:w="0" w:type="dxa"/>
          <w:right w:w="0" w:type="dxa"/>
        </w:tblCellMar>
      </w:tblPr>
      <w:tr>
        <w:trPr>
          <w:trHeight w:val="128"/>
        </w:trPr>
        <w:tc>
          <w:tcPr>
            <w:tcW w:w="30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940" w:type="dxa"/>
            <w:vAlign w:val="bottom"/>
            <w:tcBorders>
              <w:bottom w:val="single" w:sz="8" w:color="auto"/>
            </w:tcBorders>
            <w:gridSpan w:val="3"/>
          </w:tcPr>
          <w:p>
            <w:pPr>
              <w:ind w:left="1060"/>
              <w:spacing w:after="0"/>
              <w:rPr>
                <w:sz w:val="20"/>
                <w:szCs w:val="20"/>
                <w:color w:val="auto"/>
              </w:rPr>
            </w:pPr>
            <w:r>
              <w:rPr>
                <w:rFonts w:ascii="Arial" w:cs="Arial" w:eastAsia="Arial" w:hAnsi="Arial"/>
                <w:sz w:val="10"/>
                <w:szCs w:val="10"/>
                <w:b w:val="1"/>
                <w:bCs w:val="1"/>
                <w:color w:val="auto"/>
              </w:rPr>
              <w:t>September 30, 2016</w:t>
            </w:r>
          </w:p>
        </w:tc>
      </w:tr>
      <w:tr>
        <w:trPr>
          <w:trHeight w:val="96"/>
        </w:trPr>
        <w:tc>
          <w:tcPr>
            <w:tcW w:w="3000" w:type="dxa"/>
            <w:vAlign w:val="bottom"/>
          </w:tcPr>
          <w:p>
            <w:pPr>
              <w:spacing w:after="0"/>
              <w:rPr>
                <w:sz w:val="8"/>
                <w:szCs w:val="8"/>
                <w:color w:val="auto"/>
              </w:rPr>
            </w:pPr>
          </w:p>
        </w:tc>
        <w:tc>
          <w:tcPr>
            <w:tcW w:w="80" w:type="dxa"/>
            <w:vAlign w:val="bottom"/>
          </w:tcPr>
          <w:p>
            <w:pPr>
              <w:spacing w:after="0"/>
              <w:rPr>
                <w:sz w:val="8"/>
                <w:szCs w:val="8"/>
                <w:color w:val="auto"/>
              </w:rPr>
            </w:pPr>
          </w:p>
        </w:tc>
        <w:tc>
          <w:tcPr>
            <w:tcW w:w="1440" w:type="dxa"/>
            <w:vAlign w:val="bottom"/>
          </w:tcPr>
          <w:p>
            <w:pPr>
              <w:spacing w:after="0"/>
              <w:rPr>
                <w:sz w:val="8"/>
                <w:szCs w:val="8"/>
                <w:color w:val="auto"/>
              </w:rPr>
            </w:pPr>
          </w:p>
        </w:tc>
        <w:tc>
          <w:tcPr>
            <w:tcW w:w="60" w:type="dxa"/>
            <w:vAlign w:val="bottom"/>
          </w:tcPr>
          <w:p>
            <w:pPr>
              <w:spacing w:after="0"/>
              <w:rPr>
                <w:sz w:val="8"/>
                <w:szCs w:val="8"/>
                <w:color w:val="auto"/>
              </w:rPr>
            </w:pPr>
          </w:p>
        </w:tc>
        <w:tc>
          <w:tcPr>
            <w:tcW w:w="144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5"/>
              </w:rPr>
              <w:t>Percent of Repurchase Agreement</w:t>
            </w:r>
          </w:p>
        </w:tc>
      </w:tr>
      <w:tr>
        <w:trPr>
          <w:trHeight w:val="128"/>
        </w:trPr>
        <w:tc>
          <w:tcPr>
            <w:tcW w:w="30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Counter-Party Region</w:t>
            </w:r>
          </w:p>
        </w:tc>
        <w:tc>
          <w:tcPr>
            <w:tcW w:w="80" w:type="dxa"/>
            <w:vAlign w:val="bottom"/>
            <w:tcBorders>
              <w:bottom w:val="single" w:sz="8" w:color="CCEEFF"/>
            </w:tcBorders>
          </w:tcPr>
          <w:p>
            <w:pPr>
              <w:spacing w:after="0"/>
              <w:rPr>
                <w:sz w:val="11"/>
                <w:szCs w:val="11"/>
                <w:color w:val="auto"/>
              </w:rPr>
            </w:pPr>
          </w:p>
        </w:tc>
        <w:tc>
          <w:tcPr>
            <w:tcW w:w="1440" w:type="dxa"/>
            <w:vAlign w:val="bottom"/>
            <w:tcBorders>
              <w:bottom w:val="single" w:sz="8" w:color="auto"/>
            </w:tcBorders>
          </w:tcPr>
          <w:p>
            <w:pPr>
              <w:ind w:left="140"/>
              <w:spacing w:after="0"/>
              <w:rPr>
                <w:sz w:val="20"/>
                <w:szCs w:val="20"/>
                <w:color w:val="auto"/>
              </w:rPr>
            </w:pPr>
            <w:r>
              <w:rPr>
                <w:rFonts w:ascii="Arial" w:cs="Arial" w:eastAsia="Arial" w:hAnsi="Arial"/>
                <w:sz w:val="10"/>
                <w:szCs w:val="10"/>
                <w:b w:val="1"/>
                <w:bCs w:val="1"/>
                <w:color w:val="auto"/>
              </w:rPr>
              <w:t>Number of Counter-Parties</w:t>
            </w:r>
          </w:p>
        </w:tc>
        <w:tc>
          <w:tcPr>
            <w:tcW w:w="60" w:type="dxa"/>
            <w:vAlign w:val="bottom"/>
            <w:tcBorders>
              <w:bottom w:val="single" w:sz="8" w:color="CCEEFF"/>
            </w:tcBorders>
          </w:tcPr>
          <w:p>
            <w:pPr>
              <w:spacing w:after="0"/>
              <w:rPr>
                <w:sz w:val="11"/>
                <w:szCs w:val="11"/>
                <w:color w:val="auto"/>
              </w:rPr>
            </w:pPr>
          </w:p>
        </w:tc>
        <w:tc>
          <w:tcPr>
            <w:tcW w:w="144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6"/>
              </w:rPr>
              <w:t>Funding</w:t>
            </w:r>
          </w:p>
        </w:tc>
      </w:tr>
      <w:tr>
        <w:trPr>
          <w:trHeight w:val="164"/>
        </w:trPr>
        <w:tc>
          <w:tcPr>
            <w:tcW w:w="30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North America</w:t>
            </w:r>
          </w:p>
        </w:tc>
        <w:tc>
          <w:tcPr>
            <w:tcW w:w="14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20</w:t>
            </w:r>
          </w:p>
        </w:tc>
        <w:tc>
          <w:tcPr>
            <w:tcW w:w="60" w:type="dxa"/>
            <w:vAlign w:val="bottom"/>
            <w:shd w:val="clear" w:color="auto" w:fill="CCEEFF"/>
          </w:tcPr>
          <w:p>
            <w:pPr>
              <w:spacing w:after="0"/>
              <w:rPr>
                <w:sz w:val="14"/>
                <w:szCs w:val="14"/>
                <w:color w:val="auto"/>
              </w:rPr>
            </w:pPr>
          </w:p>
        </w:tc>
        <w:tc>
          <w:tcPr>
            <w:tcW w:w="14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63%</w:t>
            </w:r>
          </w:p>
        </w:tc>
      </w:tr>
      <w:tr>
        <w:trPr>
          <w:trHeight w:val="176"/>
        </w:trPr>
        <w:tc>
          <w:tcPr>
            <w:tcW w:w="3080" w:type="dxa"/>
            <w:vAlign w:val="bottom"/>
            <w:gridSpan w:val="2"/>
          </w:tcPr>
          <w:p>
            <w:pPr>
              <w:ind w:left="20"/>
              <w:spacing w:after="0"/>
              <w:rPr>
                <w:sz w:val="20"/>
                <w:szCs w:val="20"/>
                <w:color w:val="auto"/>
              </w:rPr>
            </w:pPr>
            <w:r>
              <w:rPr>
                <w:rFonts w:ascii="Arial" w:cs="Arial" w:eastAsia="Arial" w:hAnsi="Arial"/>
                <w:sz w:val="10"/>
                <w:szCs w:val="10"/>
                <w:color w:val="auto"/>
              </w:rPr>
              <w:t>Europe</w:t>
            </w:r>
          </w:p>
        </w:tc>
        <w:tc>
          <w:tcPr>
            <w:tcW w:w="1440" w:type="dxa"/>
            <w:vAlign w:val="bottom"/>
          </w:tcPr>
          <w:p>
            <w:pPr>
              <w:jc w:val="center"/>
              <w:spacing w:after="0"/>
              <w:rPr>
                <w:sz w:val="20"/>
                <w:szCs w:val="20"/>
                <w:color w:val="auto"/>
              </w:rPr>
            </w:pPr>
            <w:r>
              <w:rPr>
                <w:rFonts w:ascii="Arial" w:cs="Arial" w:eastAsia="Arial" w:hAnsi="Arial"/>
                <w:sz w:val="10"/>
                <w:szCs w:val="10"/>
                <w:color w:val="auto"/>
                <w:w w:val="89"/>
              </w:rPr>
              <w:t>13</w:t>
            </w:r>
          </w:p>
        </w:tc>
        <w:tc>
          <w:tcPr>
            <w:tcW w:w="60" w:type="dxa"/>
            <w:vAlign w:val="bottom"/>
          </w:tcPr>
          <w:p>
            <w:pPr>
              <w:spacing w:after="0"/>
              <w:rPr>
                <w:sz w:val="15"/>
                <w:szCs w:val="15"/>
                <w:color w:val="auto"/>
              </w:rPr>
            </w:pPr>
          </w:p>
        </w:tc>
        <w:tc>
          <w:tcPr>
            <w:tcW w:w="1440" w:type="dxa"/>
            <w:vAlign w:val="bottom"/>
          </w:tcPr>
          <w:p>
            <w:pPr>
              <w:jc w:val="center"/>
              <w:spacing w:after="0"/>
              <w:rPr>
                <w:sz w:val="20"/>
                <w:szCs w:val="20"/>
                <w:color w:val="auto"/>
              </w:rPr>
            </w:pPr>
            <w:r>
              <w:rPr>
                <w:rFonts w:ascii="Arial" w:cs="Arial" w:eastAsia="Arial" w:hAnsi="Arial"/>
                <w:sz w:val="10"/>
                <w:szCs w:val="10"/>
                <w:color w:val="auto"/>
                <w:w w:val="89"/>
              </w:rPr>
              <w:t>25%</w:t>
            </w:r>
          </w:p>
        </w:tc>
      </w:tr>
      <w:tr>
        <w:trPr>
          <w:trHeight w:val="180"/>
        </w:trPr>
        <w:tc>
          <w:tcPr>
            <w:tcW w:w="30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Asia</w:t>
            </w:r>
          </w:p>
        </w:tc>
        <w:tc>
          <w:tcPr>
            <w:tcW w:w="14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rPr>
              <w:t>5</w:t>
            </w:r>
          </w:p>
        </w:tc>
        <w:tc>
          <w:tcPr>
            <w:tcW w:w="60" w:type="dxa"/>
            <w:vAlign w:val="bottom"/>
            <w:shd w:val="clear" w:color="auto" w:fill="CCEEFF"/>
          </w:tcPr>
          <w:p>
            <w:pPr>
              <w:spacing w:after="0"/>
              <w:rPr>
                <w:sz w:val="15"/>
                <w:szCs w:val="15"/>
                <w:color w:val="auto"/>
              </w:rPr>
            </w:pPr>
          </w:p>
        </w:tc>
        <w:tc>
          <w:tcPr>
            <w:tcW w:w="14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12%</w:t>
            </w:r>
          </w:p>
        </w:tc>
      </w:tr>
      <w:tr>
        <w:trPr>
          <w:trHeight w:val="162"/>
        </w:trPr>
        <w:tc>
          <w:tcPr>
            <w:tcW w:w="30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4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38</w:t>
            </w:r>
          </w:p>
        </w:tc>
        <w:tc>
          <w:tcPr>
            <w:tcW w:w="60" w:type="dxa"/>
            <w:vAlign w:val="bottom"/>
          </w:tcPr>
          <w:p>
            <w:pPr>
              <w:spacing w:after="0"/>
              <w:rPr>
                <w:sz w:val="14"/>
                <w:szCs w:val="14"/>
                <w:color w:val="auto"/>
              </w:rPr>
            </w:pPr>
          </w:p>
        </w:tc>
        <w:tc>
          <w:tcPr>
            <w:tcW w:w="144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5"/>
              </w:rPr>
              <w:t>100%</w:t>
            </w:r>
          </w:p>
        </w:tc>
      </w:tr>
    </w:tbl>
    <w:p>
      <w:pPr>
        <w:spacing w:after="0" w:line="243" w:lineRule="exact"/>
        <w:rPr>
          <w:sz w:val="20"/>
          <w:szCs w:val="20"/>
          <w:color w:val="auto"/>
        </w:rPr>
      </w:pPr>
    </w:p>
    <w:p>
      <w:pPr>
        <w:jc w:val="both"/>
        <w:ind w:firstLine="270"/>
        <w:spacing w:after="0" w:line="286" w:lineRule="auto"/>
        <w:rPr>
          <w:sz w:val="20"/>
          <w:szCs w:val="20"/>
          <w:color w:val="auto"/>
        </w:rPr>
      </w:pPr>
      <w:r>
        <w:rPr>
          <w:rFonts w:ascii="Arial" w:cs="Arial" w:eastAsia="Arial" w:hAnsi="Arial"/>
          <w:sz w:val="11"/>
          <w:szCs w:val="11"/>
          <w:color w:val="auto"/>
        </w:rPr>
        <w:t>Amounts available to be borrowed under our repurchase agreements are dependent upon lender collateral requirements and the lender's determination of the fair value of the securities pledged as collateral, which fluctuates with changes in interest rates, credit quality and liquidity conditions within the investment banking, mortgage finance and real estate industries. In addition, our counterparties apply a "haircut" to our pledged collateral, which means our collateral is valued at slightly less than market value. This haircut reflects the underlying risk of the specific collateral and protects our counterparty against a change in its value, but conversely subjects us to counterparty risk and limits the amount we can borrow against our investment securities. Our master repurchase agreements do not specify the haircut; rather haircuts are determined on an individual repurchase transaction basis. Throughout the nine months ended September 30, 2016, haircuts on our pledged collateral remained stable and, as of September 30, 2016, our weighted average haircut was approximately 5% of the value of our collateral.</w:t>
      </w:r>
    </w:p>
    <w:p>
      <w:pPr>
        <w:spacing w:after="0" w:line="75" w:lineRule="exact"/>
        <w:rPr>
          <w:sz w:val="20"/>
          <w:szCs w:val="20"/>
          <w:color w:val="auto"/>
        </w:rPr>
      </w:pPr>
    </w:p>
    <w:p>
      <w:pPr>
        <w:jc w:val="both"/>
        <w:ind w:firstLine="288"/>
        <w:spacing w:after="0" w:line="316" w:lineRule="auto"/>
        <w:rPr>
          <w:sz w:val="20"/>
          <w:szCs w:val="20"/>
          <w:color w:val="auto"/>
        </w:rPr>
      </w:pPr>
      <w:r>
        <w:rPr>
          <w:rFonts w:ascii="Arial" w:cs="Arial" w:eastAsia="Arial" w:hAnsi="Arial"/>
          <w:sz w:val="10"/>
          <w:szCs w:val="10"/>
          <w:color w:val="auto"/>
        </w:rPr>
        <w:t>Under our repurchase agreements, we may be required to pledge additional assets to the repurchase agreement counterparties in the event the estimated fair value of the existing pledged collateral under such agreements declines and such counterparties demand additional collateral (a "margin call"), which may take the form of additional securities or cash. Specifically, margin calls would result from a decline in the value of our securities securing our repurchase agreements and prepayments on the mortgages securing such securities. Similarly, if the estimated fair value of our investment securities increases due to changes in interest rates or other factors, counterparties may release collateral back to us. Our repurchase agreements generally provide that the valuations of securities securing our repurchase agreements are to be obtained from a generally recognized source agreed to by the parties. However, in certain circumstances under certain of our repurchase agreements our lenders have the sole discretion to determine their value. In such instances, our lenders are required to act in good faith in making determinations of value. Our repurchase agreements generally provide that in the event of a margin call, we must provide additional securities or cash on the same business day that a margin call is made if the lender provides us notice prior to the margin notice deadline on such day.</w:t>
      </w:r>
    </w:p>
    <w:p>
      <w:pPr>
        <w:spacing w:after="0" w:line="64"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As of September 30, 2016, we had met all of our margin requirements and we had unrestricted cash and cash equivalents of $1.3 billion and unpledged securities of approximately $2.2 billion, including securities pledged to us and unpledged interests in our consolidated VIEs, available to meet margin calls on our repurchase agreements and other funding liabilities, derivative instruments and for other corporate purposes.</w:t>
      </w:r>
    </w:p>
    <w:p>
      <w:pPr>
        <w:spacing w:after="0" w:line="79" w:lineRule="exact"/>
        <w:rPr>
          <w:sz w:val="20"/>
          <w:szCs w:val="20"/>
          <w:color w:val="auto"/>
        </w:rPr>
      </w:pPr>
    </w:p>
    <w:p>
      <w:pPr>
        <w:jc w:val="both"/>
        <w:ind w:firstLine="288"/>
        <w:spacing w:after="0" w:line="298" w:lineRule="auto"/>
        <w:rPr>
          <w:sz w:val="20"/>
          <w:szCs w:val="20"/>
          <w:color w:val="auto"/>
        </w:rPr>
      </w:pPr>
      <w:r>
        <w:rPr>
          <w:rFonts w:ascii="Arial" w:cs="Arial" w:eastAsia="Arial" w:hAnsi="Arial"/>
          <w:sz w:val="11"/>
          <w:szCs w:val="11"/>
          <w:color w:val="auto"/>
        </w:rPr>
        <w:t>Although we believe we will have adequate sources of liquidity available to us through repurchase agreement financing to execute our business strategy, there can be no assurances that repurchase agreement financing will be available to us upon the maturity of our current repurchase agreements to allow us to renew or replace our repurchase agreement financing on favorable terms or at all. If our repurchase agreement lenders default on their obligations to resell the underlying collateral back to us at the end of the term, we could incur a loss equal to the difference between the value of the collateral and the cash we originally received.</w:t>
      </w:r>
    </w:p>
    <w:p>
      <w:pPr>
        <w:spacing w:after="0" w:line="6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Our wholly-owned captive broker-dealer subsidiary, Bethesda Securities, LLC ("BES"), formed in 2015, became operational and received final membership approval to the Fixed Income Clearing Corporation ("FICC") during the third quarter of 2016, thereby providing us with access to additional repurchase agreement funding capabilities in the wholesale market. As of September 30, 2016, we had entered into $1.2 billion of repurchase agreement funding through BES and expect to continue to expand our financing activity through BES over the next several quarters.</w:t>
      </w:r>
    </w:p>
    <w:p>
      <w:pPr>
        <w:spacing w:after="0" w:line="87"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To help manage the adverse impact of interest rate changes on the value of our investment portfolio as well as our cash flows, we utilize an interest rate risk management strategy under which we use derivative financial instruments. In particular, we attempt to mitigate the risk of the cost of our variable rate liabilities increasing at a faster rate than the earnings of our long-term fixed rate assets during a period of rising interest rates. The principal derivative instruments that we use are interest rate swaps, supplemented with the use of interest rate swaptions, U.S. Treasury securities, U.S. Treasury futures contracts, TBA securities and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48</w:t>
      </w:r>
    </w:p>
    <w:p>
      <w:pPr>
        <w:sectPr>
          <w:pgSz w:w="11900" w:h="16838" w:orient="portrait"/>
          <w:cols w:equalWidth="0" w:num="1">
            <w:col w:w="11480"/>
          </w:cols>
          <w:pgMar w:left="220" w:top="545" w:right="199" w:bottom="1440" w:gutter="0" w:footer="0" w:header="0"/>
        </w:sectPr>
      </w:pPr>
    </w:p>
    <w:bookmarkStart w:id="49" w:name="page50"/>
    <w:bookmarkEnd w:id="49"/>
    <w:p>
      <w:pPr>
        <w:spacing w:after="0"/>
        <w:rPr>
          <w:sz w:val="20"/>
          <w:szCs w:val="20"/>
          <w:color w:val="auto"/>
        </w:rPr>
      </w:pPr>
      <w:r>
        <w:rPr>
          <w:rFonts w:ascii="Arial" w:cs="Arial" w:eastAsia="Arial" w:hAnsi="Arial"/>
          <w:sz w:val="12"/>
          <w:szCs w:val="12"/>
          <w:color w:val="auto"/>
        </w:rPr>
        <w:t>other instruments. Please refer to Notes 3 and 6 to our Consolidated Financial Statements in this Quarterly Report on Form 10-Q for further details regarding our use of derivative instruments.</w:t>
      </w:r>
    </w:p>
    <w:p>
      <w:pPr>
        <w:spacing w:after="0" w:line="114"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Our derivative agreements typically require that we pledge/receive collateral on such agreements to/from our counterparties in a similar manner as we are required to under our repurchase agreements. Our counterparties, or the clearing agency in the case of centrally cleared interest rate swaps, typically have the sole discretion to determine the value of the derivative instruments and the value of the collateral securing such instruments. In the event of a margin call, we must generally provide additional collateral on the same business day.</w:t>
      </w:r>
    </w:p>
    <w:p>
      <w:pPr>
        <w:spacing w:after="0" w:line="87" w:lineRule="exact"/>
        <w:rPr>
          <w:sz w:val="20"/>
          <w:szCs w:val="20"/>
          <w:color w:val="auto"/>
        </w:rPr>
      </w:pPr>
    </w:p>
    <w:p>
      <w:pPr>
        <w:jc w:val="both"/>
        <w:ind w:firstLine="288"/>
        <w:spacing w:after="0" w:line="286" w:lineRule="auto"/>
        <w:rPr>
          <w:sz w:val="20"/>
          <w:szCs w:val="20"/>
          <w:color w:val="auto"/>
        </w:rPr>
      </w:pPr>
      <w:r>
        <w:rPr>
          <w:rFonts w:ascii="Arial" w:cs="Arial" w:eastAsia="Arial" w:hAnsi="Arial"/>
          <w:sz w:val="11"/>
          <w:szCs w:val="11"/>
          <w:color w:val="auto"/>
        </w:rPr>
        <w:t>Similar to repurchase agreements, our use of derivatives exposes us to counterparty credit risk relating to potential losses that could be recognized in the event that our counterparties to these instruments fail to perform their obligations under the contracts. We minimize this risk by limiting our counterparties to major financial institutions with acceptable credit ratings and by monitoring positions with individual counterparties. Excluding centrally cleared interest rate swaps, as of September 30, 2016, our amount at risk with any counterparty related to our interest rate swap and swaption agreements was less than 1% of our stockholders' equity. In the case of centrally cleared interest rate swap contracts, we could be exposed to credit risk if the central clearing agency or a clearing member defaults on its respective obligation to perform under the contract. However, we believe that the risk is minimal due to the exchange's initial and daily mark to market margin requirements and a clearinghouse guarantee fund and other resources that are available in the event of a clearing member default.</w:t>
      </w:r>
    </w:p>
    <w:p>
      <w:pPr>
        <w:spacing w:after="0" w:line="75"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TBA Dollar Roll Transactions</w:t>
      </w:r>
    </w:p>
    <w:p>
      <w:pPr>
        <w:spacing w:after="0" w:line="114" w:lineRule="exact"/>
        <w:rPr>
          <w:sz w:val="20"/>
          <w:szCs w:val="20"/>
          <w:color w:val="auto"/>
        </w:rPr>
      </w:pPr>
    </w:p>
    <w:p>
      <w:pPr>
        <w:jc w:val="both"/>
        <w:ind w:right="20" w:firstLine="288"/>
        <w:spacing w:after="0" w:line="276" w:lineRule="auto"/>
        <w:rPr>
          <w:sz w:val="20"/>
          <w:szCs w:val="20"/>
          <w:color w:val="auto"/>
        </w:rPr>
      </w:pPr>
      <w:r>
        <w:rPr>
          <w:rFonts w:ascii="Arial" w:cs="Arial" w:eastAsia="Arial" w:hAnsi="Arial"/>
          <w:sz w:val="12"/>
          <w:szCs w:val="12"/>
          <w:color w:val="auto"/>
        </w:rPr>
        <w:t>TBA dollar roll transactions represent a form of off-balance sheet financing accounted for as derivative instruments and we may use them as a means of leveraging (or deleveraging) our investment portfolio through the use of long (or short) TBA contracts. (See Notes 3 and 6 to our Consolidated Financial Statements in this Quarterly Report on Form 10-Q).</w:t>
      </w:r>
    </w:p>
    <w:p>
      <w:pPr>
        <w:spacing w:after="0" w:line="11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2"/>
          <w:szCs w:val="12"/>
          <w:color w:val="auto"/>
        </w:rPr>
        <w:t>Under certain market conditions, it may be uneconomical for us to roll our TBA contracts into future months and we may need to take or make physical delivery of the underlying securities. If we were required to take physical delivery to settle a long TBA contract, we would have to fund our total purchase commitment with cash or other financing sources and our liquidity position could be negatively impacted. As of September 30, 2016, we had a net long TBA position with a total market value and a total cost basis of $15.6 billion and $15.5 billion, respectively, and a net carrying value of $46 million recognized in derivative assets/(liabilities), at fair value, on our Consolidated Balance Sheets in this Quarterly Report on Form 10-Q.</w:t>
      </w:r>
    </w:p>
    <w:p>
      <w:pPr>
        <w:spacing w:after="0" w:line="12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2"/>
          <w:szCs w:val="12"/>
          <w:color w:val="auto"/>
        </w:rPr>
        <w:t>Our TBA dollar roll contracts are also subject to margin requirements governed by the Mortgage-Backed Securities Division ("MBSD") of the FICC and by our prime brokerage agreements, which may establish margin levels in excess of the MBSD. Such provisions require that we establish an initial margin based on the notional value of the TBA contract, which is subject to increase if the estimated fair value of our TBA contract or the estimated fair value of our pledged collateral declines. The MBSD has the sole discretion to determine the value of our TBA contracts and of the pledged collateral securing such contracts. In the event of a margin call, we must generally provide additional collateral on the same business day.</w:t>
      </w:r>
    </w:p>
    <w:p>
      <w:pPr>
        <w:spacing w:after="0" w:line="125" w:lineRule="exact"/>
        <w:rPr>
          <w:sz w:val="20"/>
          <w:szCs w:val="20"/>
          <w:color w:val="auto"/>
        </w:rPr>
      </w:pPr>
    </w:p>
    <w:p>
      <w:pPr>
        <w:jc w:val="both"/>
        <w:ind w:firstLine="324"/>
        <w:spacing w:after="0" w:line="276" w:lineRule="auto"/>
        <w:rPr>
          <w:sz w:val="20"/>
          <w:szCs w:val="20"/>
          <w:color w:val="auto"/>
        </w:rPr>
      </w:pPr>
      <w:r>
        <w:rPr>
          <w:rFonts w:ascii="Arial" w:cs="Arial" w:eastAsia="Arial" w:hAnsi="Arial"/>
          <w:sz w:val="12"/>
          <w:szCs w:val="12"/>
          <w:color w:val="auto"/>
        </w:rPr>
        <w:t>Settlement of our TBA obligations by taking delivery of the underlying securities as well as satisfying margin requirements could negatively impact our liquidity position. However, since we do not use TBA dollar roll transactions as our primary source of financing, we believe that we will have adequate sources of liquidity to meet such obligations.</w:t>
      </w:r>
    </w:p>
    <w:p>
      <w:pPr>
        <w:spacing w:after="0" w:line="79" w:lineRule="exact"/>
        <w:rPr>
          <w:sz w:val="20"/>
          <w:szCs w:val="20"/>
          <w:color w:val="auto"/>
        </w:rPr>
      </w:pPr>
    </w:p>
    <w:p>
      <w:pPr>
        <w:ind w:left="320"/>
        <w:spacing w:after="0"/>
        <w:rPr>
          <w:sz w:val="20"/>
          <w:szCs w:val="20"/>
          <w:color w:val="auto"/>
        </w:rPr>
      </w:pPr>
      <w:r>
        <w:rPr>
          <w:rFonts w:ascii="Arial" w:cs="Arial" w:eastAsia="Arial" w:hAnsi="Arial"/>
          <w:sz w:val="12"/>
          <w:szCs w:val="12"/>
          <w:i w:val="1"/>
          <w:iCs w:val="1"/>
          <w:color w:val="auto"/>
        </w:rPr>
        <w:t>Federal Home Loan Bank Membership</w:t>
      </w:r>
    </w:p>
    <w:p>
      <w:pPr>
        <w:spacing w:after="0" w:line="150" w:lineRule="exact"/>
        <w:rPr>
          <w:sz w:val="20"/>
          <w:szCs w:val="20"/>
          <w:color w:val="auto"/>
        </w:rPr>
      </w:pPr>
    </w:p>
    <w:p>
      <w:pPr>
        <w:jc w:val="both"/>
        <w:ind w:firstLine="324"/>
        <w:spacing w:after="0" w:line="286" w:lineRule="auto"/>
        <w:rPr>
          <w:sz w:val="20"/>
          <w:szCs w:val="20"/>
          <w:color w:val="auto"/>
        </w:rPr>
      </w:pPr>
      <w:r>
        <w:rPr>
          <w:rFonts w:ascii="Arial" w:cs="Arial" w:eastAsia="Arial" w:hAnsi="Arial"/>
          <w:sz w:val="11"/>
          <w:szCs w:val="11"/>
          <w:color w:val="auto"/>
        </w:rPr>
        <w:t>In April 2015, our wholly-owned captive insurance subsidiary, Old Georgetown Insurance Co., LLC ("OGI"), was approved as a member of the FHLB of Des Moines. The FHLBs provide a variety of products and services to their members, including short and long-term secured loans, called "advances." In January 2016, the FHFA released its final rule on changes to regulations concerning FHLB membership criteria. The final rule terminates OGI's FHLB membership and requires repayment of all advances at the earlier of their contractual maturity dates or one year after the effective date of the final rule (February 2017). As of September 30, 2016, we had $3.0 billion of FHLB advances outstanding with a weighted average interest rate of 0.63% and a weighted average remaining days to maturity of 123 days up to February 2017. Termination of our FHLB membership could negatively impact our liquidity position; however, since FHLB advances do not represent our primary source of funding, we believe that we will have adequate alternative sources of funding upon such termination.</w:t>
      </w:r>
    </w:p>
    <w:p>
      <w:pPr>
        <w:spacing w:after="0" w:line="111" w:lineRule="exact"/>
        <w:rPr>
          <w:sz w:val="20"/>
          <w:szCs w:val="20"/>
          <w:color w:val="auto"/>
        </w:rPr>
      </w:pPr>
    </w:p>
    <w:p>
      <w:pPr>
        <w:jc w:val="both"/>
        <w:ind w:right="20" w:firstLine="270"/>
        <w:spacing w:after="0" w:line="263" w:lineRule="auto"/>
        <w:rPr>
          <w:sz w:val="20"/>
          <w:szCs w:val="20"/>
          <w:color w:val="auto"/>
        </w:rPr>
      </w:pPr>
      <w:r>
        <w:rPr>
          <w:rFonts w:ascii="Arial" w:cs="Arial" w:eastAsia="Arial" w:hAnsi="Arial"/>
          <w:sz w:val="12"/>
          <w:szCs w:val="12"/>
          <w:color w:val="auto"/>
        </w:rPr>
        <w:t>FHLB members may use a variety of real estate related assets, including agency MBS and non-agency securities, as collateral for advances. The ability to borrow from the FHLB during the duration of our FHLB membership is subject to our subsidiary's continued creditworthiness, pledging of sufficient eligible collateral to secure advances, and compliance with certain agreements with the FHLB. FHLB advances typically require higher effective "haircuts" than those required under our current repurchase agreements due to the combination of slightly higher haircuts implemented by the FHLB of Des Moines and the requirement to</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49</w:t>
      </w:r>
    </w:p>
    <w:p>
      <w:pPr>
        <w:sectPr>
          <w:pgSz w:w="11900" w:h="16838" w:orient="portrait"/>
          <w:cols w:equalWidth="0" w:num="1">
            <w:col w:w="11480"/>
          </w:cols>
          <w:pgMar w:left="220" w:top="545" w:right="199" w:bottom="1440" w:gutter="0" w:footer="0" w:header="0"/>
        </w:sectPr>
      </w:pPr>
    </w:p>
    <w:bookmarkStart w:id="50" w:name="page51"/>
    <w:bookmarkEnd w:id="50"/>
    <w:p>
      <w:pPr>
        <w:jc w:val="both"/>
        <w:spacing w:after="0" w:line="276" w:lineRule="auto"/>
        <w:rPr>
          <w:sz w:val="20"/>
          <w:szCs w:val="20"/>
          <w:color w:val="auto"/>
        </w:rPr>
      </w:pPr>
      <w:r>
        <w:rPr>
          <w:rFonts w:ascii="Arial" w:cs="Arial" w:eastAsia="Arial" w:hAnsi="Arial"/>
          <w:sz w:val="12"/>
          <w:szCs w:val="12"/>
          <w:color w:val="auto"/>
        </w:rPr>
        <w:t>acquire activity-based stock in the FHLB concurrent with such borrowings. The FHLBs also determine the fair value of the securities pledged as collateral and retain the right to adjust collateral haircuts over the term of the secured borrowings.</w:t>
      </w:r>
    </w:p>
    <w:p>
      <w:pPr>
        <w:spacing w:after="0" w:line="115"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Asset Sales and TBA Eligible Securities</w:t>
      </w:r>
    </w:p>
    <w:p>
      <w:pPr>
        <w:spacing w:after="0" w:line="114" w:lineRule="exact"/>
        <w:rPr>
          <w:sz w:val="20"/>
          <w:szCs w:val="20"/>
          <w:color w:val="auto"/>
        </w:rPr>
      </w:pPr>
    </w:p>
    <w:p>
      <w:pPr>
        <w:jc w:val="both"/>
        <w:ind w:firstLine="270"/>
        <w:spacing w:after="0" w:line="290" w:lineRule="auto"/>
        <w:rPr>
          <w:sz w:val="20"/>
          <w:szCs w:val="20"/>
          <w:color w:val="auto"/>
        </w:rPr>
      </w:pPr>
      <w:r>
        <w:rPr>
          <w:rFonts w:ascii="Arial" w:cs="Arial" w:eastAsia="Arial" w:hAnsi="Arial"/>
          <w:sz w:val="11"/>
          <w:szCs w:val="11"/>
          <w:color w:val="auto"/>
        </w:rPr>
        <w:t>We maintain a portfolio of highly liquid mortgage-backed securities. We may sell our agency securities through the TBA market by delivering them into TBA contracts, subject to "good delivery" provisions promulgated by Securities Industry and Financial Markets Association ("SIFMA"). We may alternatively sell agency securities that have more unique attributes on a specified basis when such securities trade at a premium over generic TBA securities or if the securities are not otherwise eligible for TBA delivery. Since the TBA market is the second most liquid market (second to the U.S. Treasury market), maintaining a significant level of agency securities eligible for TBA delivery enhances our liquidity profile and provides price support for our TBA eligible securities at or above generic TBA prices. As of September 30, 2016, approximately 86% of our fixed rate agency MBS portfolio was eligible for TBA delivery.</w:t>
      </w:r>
    </w:p>
    <w:p>
      <w:pPr>
        <w:spacing w:after="0" w:line="73"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Equity Capital</w:t>
      </w:r>
    </w:p>
    <w:p>
      <w:pPr>
        <w:spacing w:after="0" w:line="114"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To the extent we raise additional equity capital through follow-on equity offerings or under our dividend reinvestment and direct stock purchase plan, we may use cash proceeds from such transactions to purchase additional investment securities, to make scheduled payments of principal and interest on our funding liabilities and for other general corporate purposes. There can be no assurance, however, that we will be able to raise additional equity capital at any particular time or on any particular terms. Furthermore, when the trading price of our common stock is significantly less than our estimate of our current net asset value per common share, among other conditions, we may repurchase shares of our common stock.</w:t>
      </w:r>
    </w:p>
    <w:p>
      <w:pPr>
        <w:spacing w:after="0" w:line="89" w:lineRule="exact"/>
        <w:rPr>
          <w:sz w:val="20"/>
          <w:szCs w:val="20"/>
          <w:color w:val="auto"/>
        </w:rPr>
      </w:pPr>
    </w:p>
    <w:p>
      <w:pPr>
        <w:ind w:left="280"/>
        <w:spacing w:after="0"/>
        <w:rPr>
          <w:sz w:val="20"/>
          <w:szCs w:val="20"/>
          <w:color w:val="auto"/>
        </w:rPr>
      </w:pPr>
      <w:r>
        <w:rPr>
          <w:rFonts w:ascii="Arial" w:cs="Arial" w:eastAsia="Arial" w:hAnsi="Arial"/>
          <w:sz w:val="12"/>
          <w:szCs w:val="12"/>
          <w:i w:val="1"/>
          <w:iCs w:val="1"/>
          <w:color w:val="auto"/>
        </w:rPr>
        <w:t>Common Stock Repurchase Program</w:t>
      </w:r>
    </w:p>
    <w:p>
      <w:pPr>
        <w:spacing w:after="0" w:line="114" w:lineRule="exact"/>
        <w:rPr>
          <w:sz w:val="20"/>
          <w:szCs w:val="20"/>
          <w:color w:val="auto"/>
        </w:rPr>
      </w:pPr>
    </w:p>
    <w:p>
      <w:pPr>
        <w:jc w:val="both"/>
        <w:ind w:firstLine="270"/>
        <w:spacing w:after="0" w:line="257" w:lineRule="auto"/>
        <w:rPr>
          <w:sz w:val="20"/>
          <w:szCs w:val="20"/>
          <w:color w:val="auto"/>
        </w:rPr>
      </w:pPr>
      <w:r>
        <w:rPr>
          <w:rFonts w:ascii="Arial" w:cs="Arial" w:eastAsia="Arial" w:hAnsi="Arial"/>
          <w:sz w:val="12"/>
          <w:szCs w:val="12"/>
          <w:color w:val="auto"/>
        </w:rPr>
        <w:t>In October 2012, our Board of Directors adopted a program that provided for stock repurchases, which, as amended, authorized repurchases of our common stock up to $2 billion through December 31, 2016. As of September 30, 2016, the total remaining amount authorized for repurchases of our common stock was $0.6 billion. In October 2016, our Board of Directors terminated our existing stock repurchase program and replaced it with a new stock repurchase authorization. Under the new stock repurchase program, we are authorized to repurchase up to $1 billion of our outstanding shares of common stock through December 31, 2017. (See Note 9 to our Consolidated Financial Statements in this Quarterly Report on Form 10-Q for additional details). During the nine months ended September 30, 2016, we repurchased 6.5 million shares of our common stock at an average repurchase price of $17.89 per share, including expenses, totaling $116 million.</w:t>
      </w:r>
    </w:p>
    <w:p>
      <w:pPr>
        <w:spacing w:after="0" w:line="122"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OFF-BALANCE SHEET ARRANGEMENTS</w:t>
      </w:r>
    </w:p>
    <w:p>
      <w:pPr>
        <w:spacing w:after="0" w:line="154"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As of September 30, 2016, we did not maintain any relationships with unconsolidated entities or financial partnerships, such as entities often referred to as structured finance, or special purpose or variable interest entities, established for the purpose of facilitating off-balance sheet arrangements or other contractually narrow or limited purposes. Further, as of September 30, 2016, we had not guaranteed any obligations of unconsolidated entities or entered into any commitment or intent to provide funding to any such entities.</w:t>
      </w:r>
    </w:p>
    <w:p>
      <w:pPr>
        <w:spacing w:after="0" w:line="83"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FORWARD-LOOKING STATEMENTS</w:t>
      </w:r>
    </w:p>
    <w:p>
      <w:pPr>
        <w:spacing w:after="0" w:line="118" w:lineRule="exact"/>
        <w:rPr>
          <w:sz w:val="20"/>
          <w:szCs w:val="20"/>
          <w:color w:val="auto"/>
        </w:rPr>
      </w:pPr>
    </w:p>
    <w:p>
      <w:pPr>
        <w:jc w:val="both"/>
        <w:ind w:firstLine="270"/>
        <w:spacing w:after="0" w:line="290" w:lineRule="auto"/>
        <w:rPr>
          <w:sz w:val="20"/>
          <w:szCs w:val="20"/>
          <w:color w:val="auto"/>
        </w:rPr>
      </w:pPr>
      <w:r>
        <w:rPr>
          <w:rFonts w:ascii="Arial" w:cs="Arial" w:eastAsia="Arial" w:hAnsi="Arial"/>
          <w:sz w:val="11"/>
          <w:szCs w:val="11"/>
          <w:color w:val="auto"/>
        </w:rPr>
        <w:t>This document contains "forward-looking statements" (within the meaning of the Private Securities Litigation Reform Act of 1995) that inherently involve risks and uncertainties. Our actual results and liquidity can differ materially from those anticipated in these forward-looking statements because of changes in the level and composition of our investments and other factors. These factors may include, but are not limited to, changes in general economic conditions, the availability of suitable investments from both an investment return and regulatory perspective, the availability of new investment capital, fluctuations in interest rates and levels of mortgage prepayments, deterioration in credit quality and ratings, the effectiveness of risk management strategies, the impact of leverage, liquidity of secondary markets and credit markets, increases in costs and other general competitive factors.</w:t>
      </w:r>
    </w:p>
    <w:p>
      <w:pPr>
        <w:spacing w:after="0" w:line="27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50</w:t>
      </w:r>
    </w:p>
    <w:p>
      <w:pPr>
        <w:sectPr>
          <w:pgSz w:w="11900" w:h="16838" w:orient="portrait"/>
          <w:cols w:equalWidth="0" w:num="1">
            <w:col w:w="11480"/>
          </w:cols>
          <w:pgMar w:left="220" w:top="437" w:right="199" w:bottom="1440" w:gutter="0" w:footer="0" w:header="0"/>
        </w:sectPr>
      </w:pPr>
    </w:p>
    <w:bookmarkStart w:id="51" w:name="page52"/>
    <w:bookmarkEnd w:id="51"/>
    <w:p>
      <w:pPr>
        <w:spacing w:after="0"/>
        <w:rPr>
          <w:sz w:val="20"/>
          <w:szCs w:val="20"/>
          <w:color w:val="auto"/>
        </w:rPr>
      </w:pPr>
      <w:r>
        <w:rPr>
          <w:rFonts w:ascii="Arial" w:cs="Arial" w:eastAsia="Arial" w:hAnsi="Arial"/>
          <w:sz w:val="12"/>
          <w:szCs w:val="12"/>
          <w:b w:val="1"/>
          <w:bCs w:val="1"/>
          <w:color w:val="auto"/>
        </w:rPr>
        <w:t xml:space="preserve">Item 3. </w:t>
      </w:r>
      <w:r>
        <w:rPr>
          <w:rFonts w:ascii="Arial" w:cs="Arial" w:eastAsia="Arial" w:hAnsi="Arial"/>
          <w:sz w:val="12"/>
          <w:szCs w:val="12"/>
          <w:b w:val="1"/>
          <w:bCs w:val="1"/>
          <w:i w:val="1"/>
          <w:iCs w:val="1"/>
          <w:color w:val="auto"/>
        </w:rPr>
        <w:t>Quantitative and Qualitative Disclosures about Market Risk</w:t>
      </w:r>
    </w:p>
    <w:p>
      <w:pPr>
        <w:spacing w:after="0" w:line="118"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Market risk is the exposure to loss resulting from changes in market factors such as interest rates, foreign currency exchange rates, commodity prices and equity prices. The primary market risks that we are exposed to are interest rate, prepayment, spread, liquidity, extension, credit and inflation risk.</w:t>
      </w:r>
    </w:p>
    <w:p>
      <w:pPr>
        <w:spacing w:after="0" w:line="7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Interest Rate Risk</w:t>
      </w:r>
    </w:p>
    <w:p>
      <w:pPr>
        <w:spacing w:after="0" w:line="114" w:lineRule="exact"/>
        <w:rPr>
          <w:sz w:val="20"/>
          <w:szCs w:val="20"/>
          <w:color w:val="auto"/>
        </w:rPr>
      </w:pPr>
    </w:p>
    <w:p>
      <w:pPr>
        <w:ind w:left="280"/>
        <w:spacing w:after="0"/>
        <w:rPr>
          <w:sz w:val="20"/>
          <w:szCs w:val="20"/>
          <w:color w:val="auto"/>
        </w:rPr>
      </w:pPr>
      <w:r>
        <w:rPr>
          <w:rFonts w:ascii="Arial" w:cs="Arial" w:eastAsia="Arial" w:hAnsi="Arial"/>
          <w:sz w:val="12"/>
          <w:szCs w:val="12"/>
          <w:color w:val="auto"/>
        </w:rPr>
        <w:t>Interest rate risk is highly sensitive to many factors, including governmental monetary and tax policies, domestic and international economic and political considerations and other factors beyond our control.</w:t>
      </w:r>
    </w:p>
    <w:p>
      <w:pPr>
        <w:spacing w:after="0" w:line="114" w:lineRule="exact"/>
        <w:rPr>
          <w:sz w:val="20"/>
          <w:szCs w:val="20"/>
          <w:color w:val="auto"/>
        </w:rPr>
      </w:pPr>
    </w:p>
    <w:p>
      <w:pPr>
        <w:jc w:val="both"/>
        <w:ind w:firstLine="288"/>
        <w:spacing w:after="0" w:line="298" w:lineRule="auto"/>
        <w:rPr>
          <w:sz w:val="20"/>
          <w:szCs w:val="20"/>
          <w:color w:val="auto"/>
        </w:rPr>
      </w:pPr>
      <w:r>
        <w:rPr>
          <w:rFonts w:ascii="Arial" w:cs="Arial" w:eastAsia="Arial" w:hAnsi="Arial"/>
          <w:sz w:val="11"/>
          <w:szCs w:val="11"/>
          <w:color w:val="auto"/>
        </w:rPr>
        <w:t>Changes in the general level of interest rates can affect our net interest income, which is the difference between the interest income earned on interest-earning assets and the interest expense incurred in connection with our interest-bearing liabilities, by affecting the spread between our interest-earning assets and interest-bearing liabilities. Changes in the level of interest rates can also affect the rate of prepayments of our securities and the value of the mortgage securities that constitute our investment portfolio, which affects our net income and ability to realize gains from the sale of these assets and impacts our ability and the amount that we can borrow against these securities.</w:t>
      </w:r>
    </w:p>
    <w:p>
      <w:pPr>
        <w:spacing w:after="0" w:line="69"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We may utilize a variety of financial instruments in order to limit the effects of changes in interest rates on our operations. The principal instruments that we use are interest rate swaps and swaptions. We also utilize U.S. Treasury securities and U.S. Treasury futures contracts, primarily through short sales, as well as TBA contracts. We may also purchase or write put or call options on TBA securities and invest in mortgage and other types of derivative instruments, such as interest and principal-only securities. Derivative instruments may expose us to certain risks, including the risk that losses on a hedge position will reduce the funds available for payments to holders of our common stock and that the losses may exceed the amount we invested in the instruments.</w:t>
      </w:r>
    </w:p>
    <w:p>
      <w:pPr>
        <w:spacing w:after="0" w:line="89" w:lineRule="exact"/>
        <w:rPr>
          <w:sz w:val="20"/>
          <w:szCs w:val="20"/>
          <w:color w:val="auto"/>
        </w:rPr>
      </w:pPr>
    </w:p>
    <w:p>
      <w:pPr>
        <w:jc w:val="both"/>
        <w:ind w:right="20" w:firstLine="288"/>
        <w:spacing w:after="0" w:line="276" w:lineRule="auto"/>
        <w:rPr>
          <w:sz w:val="20"/>
          <w:szCs w:val="20"/>
          <w:color w:val="auto"/>
        </w:rPr>
      </w:pPr>
      <w:r>
        <w:rPr>
          <w:rFonts w:ascii="Arial" w:cs="Arial" w:eastAsia="Arial" w:hAnsi="Arial"/>
          <w:sz w:val="12"/>
          <w:szCs w:val="12"/>
          <w:color w:val="auto"/>
        </w:rPr>
        <w:t>Our profitability and the value of our investment portfolio (including derivatives used for hedging purposes) may be adversely affected during any period as a result of changing interest rates including changes in the forward yield curve.</w:t>
      </w:r>
    </w:p>
    <w:p>
      <w:pPr>
        <w:spacing w:after="0" w:line="7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Primary measures of an instrument's price sensitivity to interest rate fluctuations are its duration and convexity. Duration measures the estimated percentage change in market value of our mortgage assets or our hedge portfolio that would be caused by a parallel change in short and long-term interest rates. The duration of our investment portfolio changes with interest rates and tends to increase when interest rates rise and decrease when interest rates fall. This "negative convexity" generally increases the interest rate exposure of our investment portfolio in excess of what is measured by duration alone.</w:t>
      </w:r>
    </w:p>
    <w:p>
      <w:pPr>
        <w:spacing w:after="0" w:line="87" w:lineRule="exact"/>
        <w:rPr>
          <w:sz w:val="20"/>
          <w:szCs w:val="20"/>
          <w:color w:val="auto"/>
        </w:rPr>
      </w:pPr>
    </w:p>
    <w:p>
      <w:pPr>
        <w:jc w:val="both"/>
        <w:ind w:right="20" w:firstLine="288"/>
        <w:spacing w:after="0" w:line="276" w:lineRule="auto"/>
        <w:rPr>
          <w:sz w:val="20"/>
          <w:szCs w:val="20"/>
          <w:color w:val="auto"/>
        </w:rPr>
      </w:pPr>
      <w:r>
        <w:rPr>
          <w:rFonts w:ascii="Arial" w:cs="Arial" w:eastAsia="Arial" w:hAnsi="Arial"/>
          <w:sz w:val="12"/>
          <w:szCs w:val="12"/>
          <w:color w:val="auto"/>
        </w:rPr>
        <w:t>We estimate the duration and convexity of our portfolio using both a third-party risk management system and market data. We review the duration estimates from the third-party model and may make adjustments based on our judgment. These adjustments are intended to better reflect the unique characteristics and market trading conventions associated with certain types of securities.</w:t>
      </w:r>
    </w:p>
    <w:p>
      <w:pPr>
        <w:spacing w:after="0" w:line="79"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The table below quantifies the estimated changes in (i) net interest income (including periodic interest costs on our interest rate swaps); (ii) the fair value of our investment portfolio (including derivatives and other securities used for hedging purposes); and (iii) our net asset value as of September 30, 2016 and December 31, 2015 should interest rates go up or down by 50 and 100 basis points, assuming instantaneous parallel shifts in the yield curve and including the impact of both duration and convexity.</w:t>
      </w:r>
    </w:p>
    <w:p>
      <w:pPr>
        <w:spacing w:after="0" w:line="87"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All changes in income and value in the table below are measured as percentage changes from the base interest rate scenario. The base interest rate scenario assumes interest rates and prepayment projections as of September 30, 2016 and December 31, 2015. We apply a floor of 0% for the down rate scenarios on our interest bearing liabilities and the variable leg of our interest rate swaps, such that any hypothetical interest rate decrease would have a limited positive impact on our funding costs beyond a certain level.</w:t>
      </w:r>
    </w:p>
    <w:p>
      <w:pPr>
        <w:spacing w:after="0" w:line="87" w:lineRule="exact"/>
        <w:rPr>
          <w:sz w:val="20"/>
          <w:szCs w:val="20"/>
          <w:color w:val="auto"/>
        </w:rPr>
      </w:pPr>
    </w:p>
    <w:p>
      <w:pPr>
        <w:jc w:val="both"/>
        <w:ind w:firstLine="288"/>
        <w:spacing w:after="0" w:line="263" w:lineRule="auto"/>
        <w:rPr>
          <w:sz w:val="20"/>
          <w:szCs w:val="20"/>
          <w:color w:val="auto"/>
        </w:rPr>
      </w:pPr>
      <w:r>
        <w:rPr>
          <w:rFonts w:ascii="Arial" w:cs="Arial" w:eastAsia="Arial" w:hAnsi="Arial"/>
          <w:sz w:val="12"/>
          <w:szCs w:val="12"/>
          <w:color w:val="auto"/>
        </w:rPr>
        <w:t>Actual results could differ materially from estimates, especially in the current market environment. To the extent that these estimates or other assumptions do not hold true, which is likely in a period of high price volatility, actual results will likely differ materially from projections. Moreover, if different models were employed in the analysis, materially different projections could result. Lastly, while the table below reflects the estimated impact of interest rate changes on a static portfolio, we actively manage our portfolio and we continuously make adjustments to the size and composition of our asset and hedge portfolio.</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51</w:t>
      </w:r>
    </w:p>
    <w:p>
      <w:pPr>
        <w:sectPr>
          <w:pgSz w:w="11900" w:h="16838" w:orient="portrait"/>
          <w:cols w:equalWidth="0" w:num="1">
            <w:col w:w="11480"/>
          </w:cols>
          <w:pgMar w:left="220" w:top="541" w:right="199" w:bottom="1440" w:gutter="0" w:footer="0" w:header="0"/>
        </w:sectPr>
      </w:pPr>
    </w:p>
    <w:bookmarkStart w:id="52" w:name="page53"/>
    <w:bookmarkEnd w:id="52"/>
    <w:p>
      <w:pPr>
        <w:jc w:val="center"/>
        <w:spacing w:after="0"/>
        <w:rPr>
          <w:sz w:val="20"/>
          <w:szCs w:val="20"/>
          <w:color w:val="auto"/>
        </w:rPr>
      </w:pPr>
      <w:r>
        <w:rPr>
          <w:rFonts w:ascii="Arial" w:cs="Arial" w:eastAsia="Arial" w:hAnsi="Arial"/>
          <w:sz w:val="10"/>
          <w:szCs w:val="10"/>
          <w:b w:val="1"/>
          <w:bCs w:val="1"/>
          <w:color w:val="auto"/>
        </w:rPr>
        <w:t xml:space="preserve">Interest Rate Sensitivity </w:t>
      </w:r>
      <w:r>
        <w:rPr>
          <w:rFonts w:ascii="Arial" w:cs="Arial" w:eastAsia="Arial" w:hAnsi="Arial"/>
          <w:sz w:val="5"/>
          <w:szCs w:val="5"/>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1379220</wp:posOffset>
            </wp:positionH>
            <wp:positionV relativeFrom="paragraph">
              <wp:posOffset>10795</wp:posOffset>
            </wp:positionV>
            <wp:extent cx="4524375" cy="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4524375" cy="5715"/>
                    </a:xfrm>
                    <a:prstGeom prst="rect">
                      <a:avLst/>
                    </a:prstGeom>
                    <a:noFill/>
                  </pic:spPr>
                </pic:pic>
              </a:graphicData>
            </a:graphic>
          </wp:anchor>
        </w:drawing>
      </w:r>
    </w:p>
    <w:p>
      <w:pPr>
        <w:spacing w:after="0" w:line="54" w:lineRule="exact"/>
        <w:rPr>
          <w:sz w:val="20"/>
          <w:szCs w:val="20"/>
          <w:color w:val="auto"/>
        </w:rPr>
      </w:pPr>
    </w:p>
    <w:tbl>
      <w:tblPr>
        <w:tblLayout w:type="fixed"/>
        <w:tblInd w:w="2180" w:type="dxa"/>
        <w:tblCellMar>
          <w:top w:w="0" w:type="dxa"/>
          <w:left w:w="0" w:type="dxa"/>
          <w:bottom w:w="0" w:type="dxa"/>
          <w:right w:w="0" w:type="dxa"/>
        </w:tblCellMar>
      </w:tblPr>
      <w:tr>
        <w:trPr>
          <w:trHeight w:val="128"/>
        </w:trPr>
        <w:tc>
          <w:tcPr>
            <w:tcW w:w="34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80" w:type="dxa"/>
            <w:vAlign w:val="bottom"/>
            <w:tcBorders>
              <w:bottom w:val="single" w:sz="8" w:color="auto"/>
            </w:tcBorders>
          </w:tcPr>
          <w:p>
            <w:pPr>
              <w:spacing w:after="0"/>
              <w:rPr>
                <w:sz w:val="11"/>
                <w:szCs w:val="11"/>
                <w:color w:val="auto"/>
              </w:rPr>
            </w:pPr>
          </w:p>
        </w:tc>
        <w:tc>
          <w:tcPr>
            <w:tcW w:w="1440" w:type="dxa"/>
            <w:vAlign w:val="bottom"/>
            <w:tcBorders>
              <w:bottom w:val="single" w:sz="8" w:color="auto"/>
            </w:tcBorders>
            <w:gridSpan w:val="5"/>
          </w:tcPr>
          <w:p>
            <w:pPr>
              <w:ind w:left="40"/>
              <w:spacing w:after="0"/>
              <w:rPr>
                <w:sz w:val="20"/>
                <w:szCs w:val="20"/>
                <w:color w:val="auto"/>
              </w:rPr>
            </w:pPr>
            <w:r>
              <w:rPr>
                <w:rFonts w:ascii="Arial" w:cs="Arial" w:eastAsia="Arial" w:hAnsi="Arial"/>
                <w:sz w:val="10"/>
                <w:szCs w:val="10"/>
                <w:b w:val="1"/>
                <w:bCs w:val="1"/>
                <w:color w:val="auto"/>
                <w:w w:val="89"/>
              </w:rPr>
              <w:t>Percentage Change in Projected</w:t>
            </w:r>
          </w:p>
        </w:tc>
        <w:tc>
          <w:tcPr>
            <w:tcW w:w="1040" w:type="dxa"/>
            <w:vAlign w:val="bottom"/>
            <w:tcBorders>
              <w:bottom w:val="single" w:sz="8" w:color="auto"/>
            </w:tcBorders>
          </w:tcPr>
          <w:p>
            <w:pPr>
              <w:spacing w:after="0"/>
              <w:rPr>
                <w:sz w:val="11"/>
                <w:szCs w:val="11"/>
                <w:color w:val="auto"/>
              </w:rPr>
            </w:pPr>
          </w:p>
        </w:tc>
      </w:tr>
      <w:tr>
        <w:trPr>
          <w:trHeight w:val="96"/>
        </w:trPr>
        <w:tc>
          <w:tcPr>
            <w:tcW w:w="3480" w:type="dxa"/>
            <w:vAlign w:val="bottom"/>
          </w:tcPr>
          <w:p>
            <w:pPr>
              <w:spacing w:after="0"/>
              <w:rPr>
                <w:sz w:val="8"/>
                <w:szCs w:val="8"/>
                <w:color w:val="auto"/>
              </w:rPr>
            </w:pPr>
          </w:p>
        </w:tc>
        <w:tc>
          <w:tcPr>
            <w:tcW w:w="8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 w:type="dxa"/>
            <w:vAlign w:val="bottom"/>
          </w:tcPr>
          <w:p>
            <w:pPr>
              <w:spacing w:after="0"/>
              <w:rPr>
                <w:sz w:val="8"/>
                <w:szCs w:val="8"/>
                <w:color w:val="auto"/>
              </w:rPr>
            </w:pPr>
          </w:p>
        </w:tc>
        <w:tc>
          <w:tcPr>
            <w:tcW w:w="1240" w:type="dxa"/>
            <w:vAlign w:val="bottom"/>
            <w:gridSpan w:val="3"/>
          </w:tcPr>
          <w:p>
            <w:pPr>
              <w:jc w:val="center"/>
              <w:ind w:right="160"/>
              <w:spacing w:after="0" w:line="96" w:lineRule="exact"/>
              <w:rPr>
                <w:sz w:val="20"/>
                <w:szCs w:val="20"/>
                <w:color w:val="auto"/>
              </w:rPr>
            </w:pPr>
            <w:r>
              <w:rPr>
                <w:rFonts w:ascii="Arial" w:cs="Arial" w:eastAsia="Arial" w:hAnsi="Arial"/>
                <w:sz w:val="10"/>
                <w:szCs w:val="10"/>
                <w:b w:val="1"/>
                <w:bCs w:val="1"/>
                <w:color w:val="auto"/>
                <w:w w:val="89"/>
              </w:rPr>
              <w:t>Portfolio Market</w:t>
            </w:r>
          </w:p>
        </w:tc>
        <w:tc>
          <w:tcPr>
            <w:tcW w:w="1040" w:type="dxa"/>
            <w:vAlign w:val="bottom"/>
          </w:tcPr>
          <w:p>
            <w:pPr>
              <w:spacing w:after="0"/>
              <w:rPr>
                <w:sz w:val="8"/>
                <w:szCs w:val="8"/>
                <w:color w:val="auto"/>
              </w:rPr>
            </w:pPr>
          </w:p>
        </w:tc>
      </w:tr>
      <w:tr>
        <w:trPr>
          <w:trHeight w:val="128"/>
        </w:trPr>
        <w:tc>
          <w:tcPr>
            <w:tcW w:w="3480" w:type="dxa"/>
            <w:vAlign w:val="bottom"/>
            <w:tcBorders>
              <w:bottom w:val="single" w:sz="8" w:color="auto"/>
            </w:tcBorders>
          </w:tcPr>
          <w:p>
            <w:pPr>
              <w:spacing w:after="0"/>
              <w:rPr>
                <w:sz w:val="20"/>
                <w:szCs w:val="20"/>
                <w:color w:val="auto"/>
              </w:rPr>
            </w:pPr>
            <w:r>
              <w:rPr>
                <w:rFonts w:ascii="Arial" w:cs="Arial" w:eastAsia="Arial" w:hAnsi="Arial"/>
                <w:sz w:val="10"/>
                <w:szCs w:val="10"/>
                <w:b w:val="1"/>
                <w:bCs w:val="1"/>
                <w:color w:val="auto"/>
              </w:rPr>
              <w:t>Change in Interest Rate</w:t>
            </w:r>
          </w:p>
        </w:tc>
        <w:tc>
          <w:tcPr>
            <w:tcW w:w="80" w:type="dxa"/>
            <w:vAlign w:val="bottom"/>
            <w:tcBorders>
              <w:bottom w:val="single" w:sz="8" w:color="CCEEFF"/>
            </w:tcBorders>
          </w:tcPr>
          <w:p>
            <w:pPr>
              <w:spacing w:after="0"/>
              <w:rPr>
                <w:sz w:val="11"/>
                <w:szCs w:val="11"/>
                <w:color w:val="auto"/>
              </w:rPr>
            </w:pPr>
          </w:p>
        </w:tc>
        <w:tc>
          <w:tcPr>
            <w:tcW w:w="1080" w:type="dxa"/>
            <w:vAlign w:val="bottom"/>
            <w:tcBorders>
              <w:bottom w:val="single" w:sz="8" w:color="auto"/>
            </w:tcBorders>
          </w:tcPr>
          <w:p>
            <w:pPr>
              <w:ind w:left="180"/>
              <w:spacing w:after="0"/>
              <w:rPr>
                <w:sz w:val="20"/>
                <w:szCs w:val="20"/>
                <w:color w:val="auto"/>
              </w:rPr>
            </w:pPr>
            <w:r>
              <w:rPr>
                <w:rFonts w:ascii="Arial" w:cs="Arial" w:eastAsia="Arial" w:hAnsi="Arial"/>
                <w:sz w:val="10"/>
                <w:szCs w:val="10"/>
                <w:b w:val="1"/>
                <w:bCs w:val="1"/>
                <w:color w:val="auto"/>
                <w:w w:val="89"/>
              </w:rPr>
              <w:t xml:space="preserve">Net Interest Income </w:t>
            </w:r>
            <w:r>
              <w:rPr>
                <w:rFonts w:ascii="Arial" w:cs="Arial" w:eastAsia="Arial" w:hAnsi="Arial"/>
                <w:sz w:val="5"/>
                <w:szCs w:val="5"/>
                <w:b w:val="1"/>
                <w:bCs w:val="1"/>
                <w:color w:val="auto"/>
                <w:w w:val="89"/>
              </w:rPr>
              <w:t>2</w:t>
            </w:r>
          </w:p>
        </w:tc>
        <w:tc>
          <w:tcPr>
            <w:tcW w:w="140" w:type="dxa"/>
            <w:vAlign w:val="bottom"/>
            <w:tcBorders>
              <w:bottom w:val="single" w:sz="8" w:color="auto"/>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106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3"/>
              </w:rPr>
              <w:t xml:space="preserve">Value </w:t>
            </w:r>
            <w:r>
              <w:rPr>
                <w:rFonts w:ascii="Arial" w:cs="Arial" w:eastAsia="Arial" w:hAnsi="Arial"/>
                <w:sz w:val="5"/>
                <w:szCs w:val="5"/>
                <w:b w:val="1"/>
                <w:bCs w:val="1"/>
                <w:color w:val="auto"/>
                <w:w w:val="93"/>
              </w:rPr>
              <w:t>3,4</w:t>
            </w:r>
          </w:p>
        </w:tc>
        <w:tc>
          <w:tcPr>
            <w:tcW w:w="8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tcPr>
          <w:p>
            <w:pPr>
              <w:ind w:left="100"/>
              <w:spacing w:after="0"/>
              <w:rPr>
                <w:sz w:val="20"/>
                <w:szCs w:val="20"/>
                <w:color w:val="auto"/>
              </w:rPr>
            </w:pPr>
            <w:r>
              <w:rPr>
                <w:rFonts w:ascii="Arial" w:cs="Arial" w:eastAsia="Arial" w:hAnsi="Arial"/>
                <w:sz w:val="10"/>
                <w:szCs w:val="10"/>
                <w:b w:val="1"/>
                <w:bCs w:val="1"/>
                <w:color w:val="auto"/>
              </w:rPr>
              <w:t xml:space="preserve">Net Asset Value </w:t>
            </w:r>
            <w:r>
              <w:rPr>
                <w:rFonts w:ascii="Arial" w:cs="Arial" w:eastAsia="Arial" w:hAnsi="Arial"/>
                <w:sz w:val="5"/>
                <w:szCs w:val="5"/>
                <w:b w:val="1"/>
                <w:bCs w:val="1"/>
                <w:color w:val="auto"/>
              </w:rPr>
              <w:t>3,5</w:t>
            </w:r>
          </w:p>
        </w:tc>
      </w:tr>
      <w:tr>
        <w:trPr>
          <w:trHeight w:val="173"/>
        </w:trPr>
        <w:tc>
          <w:tcPr>
            <w:tcW w:w="3560" w:type="dxa"/>
            <w:vAlign w:val="bottom"/>
            <w:gridSpan w:val="2"/>
            <w:shd w:val="clear" w:color="auto" w:fill="CCEEFF"/>
          </w:tcPr>
          <w:p>
            <w:pPr>
              <w:spacing w:after="0"/>
              <w:rPr>
                <w:sz w:val="20"/>
                <w:szCs w:val="20"/>
                <w:color w:val="auto"/>
              </w:rPr>
            </w:pPr>
            <w:r>
              <w:rPr>
                <w:rFonts w:ascii="Arial" w:cs="Arial" w:eastAsia="Arial" w:hAnsi="Arial"/>
                <w:sz w:val="10"/>
                <w:szCs w:val="10"/>
                <w:b w:val="1"/>
                <w:bCs w:val="1"/>
                <w:color w:val="auto"/>
              </w:rPr>
              <w:t>As of September 30, 2016</w:t>
            </w:r>
          </w:p>
        </w:tc>
        <w:tc>
          <w:tcPr>
            <w:tcW w:w="108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r>
      <w:tr>
        <w:trPr>
          <w:trHeight w:val="176"/>
        </w:trPr>
        <w:tc>
          <w:tcPr>
            <w:tcW w:w="3560" w:type="dxa"/>
            <w:vAlign w:val="bottom"/>
            <w:gridSpan w:val="2"/>
          </w:tcPr>
          <w:p>
            <w:pPr>
              <w:spacing w:after="0"/>
              <w:rPr>
                <w:sz w:val="20"/>
                <w:szCs w:val="20"/>
                <w:color w:val="auto"/>
              </w:rPr>
            </w:pPr>
            <w:r>
              <w:rPr>
                <w:rFonts w:ascii="Arial" w:cs="Arial" w:eastAsia="Arial" w:hAnsi="Arial"/>
                <w:sz w:val="10"/>
                <w:szCs w:val="10"/>
                <w:color w:val="auto"/>
              </w:rPr>
              <w:t>-100 Basis Points</w:t>
            </w:r>
          </w:p>
        </w:tc>
        <w:tc>
          <w:tcPr>
            <w:tcW w:w="1080" w:type="dxa"/>
            <w:vAlign w:val="bottom"/>
          </w:tcPr>
          <w:p>
            <w:pPr>
              <w:jc w:val="center"/>
              <w:ind w:left="112"/>
              <w:spacing w:after="0"/>
              <w:rPr>
                <w:sz w:val="20"/>
                <w:szCs w:val="20"/>
                <w:color w:val="auto"/>
              </w:rPr>
            </w:pPr>
            <w:r>
              <w:rPr>
                <w:rFonts w:ascii="Arial" w:cs="Arial" w:eastAsia="Arial" w:hAnsi="Arial"/>
                <w:sz w:val="10"/>
                <w:szCs w:val="10"/>
                <w:color w:val="auto"/>
                <w:w w:val="88"/>
              </w:rPr>
              <w:t>-21.0%</w:t>
            </w:r>
          </w:p>
        </w:tc>
        <w:tc>
          <w:tcPr>
            <w:tcW w:w="1260" w:type="dxa"/>
            <w:vAlign w:val="bottom"/>
            <w:gridSpan w:val="3"/>
          </w:tcPr>
          <w:p>
            <w:pPr>
              <w:jc w:val="center"/>
              <w:ind w:left="172"/>
              <w:spacing w:after="0"/>
              <w:rPr>
                <w:sz w:val="20"/>
                <w:szCs w:val="20"/>
                <w:color w:val="auto"/>
              </w:rPr>
            </w:pPr>
            <w:r>
              <w:rPr>
                <w:rFonts w:ascii="Arial" w:cs="Arial" w:eastAsia="Arial" w:hAnsi="Arial"/>
                <w:sz w:val="10"/>
                <w:szCs w:val="10"/>
                <w:color w:val="auto"/>
                <w:w w:val="91"/>
              </w:rPr>
              <w:t>-0.6%</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jc w:val="center"/>
              <w:ind w:right="52"/>
              <w:spacing w:after="0"/>
              <w:rPr>
                <w:sz w:val="20"/>
                <w:szCs w:val="20"/>
                <w:color w:val="auto"/>
              </w:rPr>
            </w:pPr>
            <w:r>
              <w:rPr>
                <w:rFonts w:ascii="Arial" w:cs="Arial" w:eastAsia="Arial" w:hAnsi="Arial"/>
                <w:sz w:val="10"/>
                <w:szCs w:val="10"/>
                <w:color w:val="auto"/>
                <w:w w:val="84"/>
              </w:rPr>
              <w:t>-5.3%</w:t>
            </w:r>
          </w:p>
        </w:tc>
      </w:tr>
      <w:tr>
        <w:trPr>
          <w:trHeight w:val="184"/>
        </w:trPr>
        <w:tc>
          <w:tcPr>
            <w:tcW w:w="356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-50 Basis Points</w:t>
            </w:r>
          </w:p>
        </w:tc>
        <w:tc>
          <w:tcPr>
            <w:tcW w:w="1080" w:type="dxa"/>
            <w:vAlign w:val="bottom"/>
            <w:shd w:val="clear" w:color="auto" w:fill="CCEEFF"/>
          </w:tcPr>
          <w:p>
            <w:pPr>
              <w:jc w:val="center"/>
              <w:ind w:left="92"/>
              <w:spacing w:after="0"/>
              <w:rPr>
                <w:sz w:val="20"/>
                <w:szCs w:val="20"/>
                <w:color w:val="auto"/>
              </w:rPr>
            </w:pPr>
            <w:r>
              <w:rPr>
                <w:rFonts w:ascii="Arial" w:cs="Arial" w:eastAsia="Arial" w:hAnsi="Arial"/>
                <w:sz w:val="10"/>
                <w:szCs w:val="10"/>
                <w:color w:val="auto"/>
                <w:w w:val="84"/>
              </w:rPr>
              <w:t>-5.8%</w:t>
            </w:r>
          </w:p>
        </w:tc>
        <w:tc>
          <w:tcPr>
            <w:tcW w:w="1260" w:type="dxa"/>
            <w:vAlign w:val="bottom"/>
            <w:gridSpan w:val="3"/>
            <w:shd w:val="clear" w:color="auto" w:fill="CCEEFF"/>
          </w:tcPr>
          <w:p>
            <w:pPr>
              <w:jc w:val="center"/>
              <w:ind w:left="172"/>
              <w:spacing w:after="0"/>
              <w:rPr>
                <w:sz w:val="20"/>
                <w:szCs w:val="20"/>
                <w:color w:val="auto"/>
              </w:rPr>
            </w:pPr>
            <w:r>
              <w:rPr>
                <w:rFonts w:ascii="Arial" w:cs="Arial" w:eastAsia="Arial" w:hAnsi="Arial"/>
                <w:sz w:val="10"/>
                <w:szCs w:val="10"/>
                <w:color w:val="auto"/>
                <w:w w:val="91"/>
              </w:rPr>
              <w:t>-0.1%</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jc w:val="center"/>
              <w:ind w:right="52"/>
              <w:spacing w:after="0"/>
              <w:rPr>
                <w:sz w:val="20"/>
                <w:szCs w:val="20"/>
                <w:color w:val="auto"/>
              </w:rPr>
            </w:pPr>
            <w:r>
              <w:rPr>
                <w:rFonts w:ascii="Arial" w:cs="Arial" w:eastAsia="Arial" w:hAnsi="Arial"/>
                <w:sz w:val="10"/>
                <w:szCs w:val="10"/>
                <w:color w:val="auto"/>
                <w:w w:val="84"/>
              </w:rPr>
              <w:t>-0.8%</w:t>
            </w:r>
          </w:p>
        </w:tc>
      </w:tr>
      <w:tr>
        <w:trPr>
          <w:trHeight w:val="176"/>
        </w:trPr>
        <w:tc>
          <w:tcPr>
            <w:tcW w:w="3560" w:type="dxa"/>
            <w:vAlign w:val="bottom"/>
            <w:gridSpan w:val="2"/>
          </w:tcPr>
          <w:p>
            <w:pPr>
              <w:spacing w:after="0"/>
              <w:rPr>
                <w:sz w:val="20"/>
                <w:szCs w:val="20"/>
                <w:color w:val="auto"/>
              </w:rPr>
            </w:pPr>
            <w:r>
              <w:rPr>
                <w:rFonts w:ascii="Arial" w:cs="Arial" w:eastAsia="Arial" w:hAnsi="Arial"/>
                <w:sz w:val="10"/>
                <w:szCs w:val="10"/>
                <w:color w:val="auto"/>
              </w:rPr>
              <w:t>+50 Basis Points</w:t>
            </w:r>
          </w:p>
        </w:tc>
        <w:tc>
          <w:tcPr>
            <w:tcW w:w="1080" w:type="dxa"/>
            <w:vAlign w:val="bottom"/>
          </w:tcPr>
          <w:p>
            <w:pPr>
              <w:jc w:val="center"/>
              <w:ind w:left="92"/>
              <w:spacing w:after="0"/>
              <w:rPr>
                <w:sz w:val="20"/>
                <w:szCs w:val="20"/>
                <w:color w:val="auto"/>
              </w:rPr>
            </w:pPr>
            <w:r>
              <w:rPr>
                <w:rFonts w:ascii="Arial" w:cs="Arial" w:eastAsia="Arial" w:hAnsi="Arial"/>
                <w:sz w:val="10"/>
                <w:szCs w:val="10"/>
                <w:color w:val="auto"/>
                <w:w w:val="90"/>
              </w:rPr>
              <w:t>+3.7%</w:t>
            </w:r>
          </w:p>
        </w:tc>
        <w:tc>
          <w:tcPr>
            <w:tcW w:w="1260" w:type="dxa"/>
            <w:vAlign w:val="bottom"/>
            <w:gridSpan w:val="3"/>
          </w:tcPr>
          <w:p>
            <w:pPr>
              <w:jc w:val="center"/>
              <w:ind w:left="172"/>
              <w:spacing w:after="0"/>
              <w:rPr>
                <w:sz w:val="20"/>
                <w:szCs w:val="20"/>
                <w:color w:val="auto"/>
              </w:rPr>
            </w:pPr>
            <w:r>
              <w:rPr>
                <w:rFonts w:ascii="Arial" w:cs="Arial" w:eastAsia="Arial" w:hAnsi="Arial"/>
                <w:sz w:val="10"/>
                <w:szCs w:val="10"/>
                <w:color w:val="auto"/>
                <w:w w:val="91"/>
              </w:rPr>
              <w:t>-0.4%</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jc w:val="center"/>
              <w:ind w:right="52"/>
              <w:spacing w:after="0"/>
              <w:rPr>
                <w:sz w:val="20"/>
                <w:szCs w:val="20"/>
                <w:color w:val="auto"/>
              </w:rPr>
            </w:pPr>
            <w:r>
              <w:rPr>
                <w:rFonts w:ascii="Arial" w:cs="Arial" w:eastAsia="Arial" w:hAnsi="Arial"/>
                <w:sz w:val="10"/>
                <w:szCs w:val="10"/>
                <w:color w:val="auto"/>
                <w:w w:val="84"/>
              </w:rPr>
              <w:t>-3.4%</w:t>
            </w:r>
          </w:p>
        </w:tc>
      </w:tr>
      <w:tr>
        <w:trPr>
          <w:trHeight w:val="184"/>
        </w:trPr>
        <w:tc>
          <w:tcPr>
            <w:tcW w:w="356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+100 Basis Points</w:t>
            </w:r>
          </w:p>
        </w:tc>
        <w:tc>
          <w:tcPr>
            <w:tcW w:w="1080" w:type="dxa"/>
            <w:vAlign w:val="bottom"/>
            <w:shd w:val="clear" w:color="auto" w:fill="CCEEFF"/>
          </w:tcPr>
          <w:p>
            <w:pPr>
              <w:jc w:val="center"/>
              <w:ind w:left="92"/>
              <w:spacing w:after="0"/>
              <w:rPr>
                <w:sz w:val="20"/>
                <w:szCs w:val="20"/>
                <w:color w:val="auto"/>
              </w:rPr>
            </w:pPr>
            <w:r>
              <w:rPr>
                <w:rFonts w:ascii="Arial" w:cs="Arial" w:eastAsia="Arial" w:hAnsi="Arial"/>
                <w:sz w:val="10"/>
                <w:szCs w:val="10"/>
                <w:color w:val="auto"/>
                <w:w w:val="90"/>
              </w:rPr>
              <w:t>+4.9%</w:t>
            </w:r>
          </w:p>
        </w:tc>
        <w:tc>
          <w:tcPr>
            <w:tcW w:w="1260" w:type="dxa"/>
            <w:vAlign w:val="bottom"/>
            <w:gridSpan w:val="3"/>
            <w:shd w:val="clear" w:color="auto" w:fill="CCEEFF"/>
          </w:tcPr>
          <w:p>
            <w:pPr>
              <w:jc w:val="center"/>
              <w:ind w:left="172"/>
              <w:spacing w:after="0"/>
              <w:rPr>
                <w:sz w:val="20"/>
                <w:szCs w:val="20"/>
                <w:color w:val="auto"/>
              </w:rPr>
            </w:pPr>
            <w:r>
              <w:rPr>
                <w:rFonts w:ascii="Arial" w:cs="Arial" w:eastAsia="Arial" w:hAnsi="Arial"/>
                <w:sz w:val="10"/>
                <w:szCs w:val="10"/>
                <w:color w:val="auto"/>
                <w:w w:val="91"/>
              </w:rPr>
              <w:t>-1.3%</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jc w:val="center"/>
              <w:ind w:right="72"/>
              <w:spacing w:after="0"/>
              <w:rPr>
                <w:sz w:val="20"/>
                <w:szCs w:val="20"/>
                <w:color w:val="auto"/>
              </w:rPr>
            </w:pPr>
            <w:r>
              <w:rPr>
                <w:rFonts w:ascii="Arial" w:cs="Arial" w:eastAsia="Arial" w:hAnsi="Arial"/>
                <w:sz w:val="10"/>
                <w:szCs w:val="10"/>
                <w:color w:val="auto"/>
                <w:w w:val="88"/>
              </w:rPr>
              <w:t>-10.5%</w:t>
            </w:r>
          </w:p>
        </w:tc>
      </w:tr>
      <w:tr>
        <w:trPr>
          <w:trHeight w:val="216"/>
        </w:trPr>
        <w:tc>
          <w:tcPr>
            <w:tcW w:w="34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40" w:type="dxa"/>
            <w:vAlign w:val="bottom"/>
          </w:tcPr>
          <w:p>
            <w:pPr>
              <w:spacing w:after="0"/>
              <w:rPr>
                <w:sz w:val="18"/>
                <w:szCs w:val="18"/>
                <w:color w:val="auto"/>
              </w:rPr>
            </w:pPr>
          </w:p>
        </w:tc>
      </w:tr>
      <w:tr>
        <w:trPr>
          <w:trHeight w:val="180"/>
        </w:trPr>
        <w:tc>
          <w:tcPr>
            <w:tcW w:w="3560" w:type="dxa"/>
            <w:vAlign w:val="bottom"/>
            <w:gridSpan w:val="2"/>
            <w:shd w:val="clear" w:color="auto" w:fill="CCEEFF"/>
          </w:tcPr>
          <w:p>
            <w:pPr>
              <w:spacing w:after="0"/>
              <w:rPr>
                <w:sz w:val="20"/>
                <w:szCs w:val="20"/>
                <w:color w:val="auto"/>
              </w:rPr>
            </w:pPr>
            <w:r>
              <w:rPr>
                <w:rFonts w:ascii="Arial" w:cs="Arial" w:eastAsia="Arial" w:hAnsi="Arial"/>
                <w:sz w:val="10"/>
                <w:szCs w:val="10"/>
                <w:b w:val="1"/>
                <w:bCs w:val="1"/>
                <w:color w:val="auto"/>
              </w:rPr>
              <w:t>As of December 31, 2015</w:t>
            </w:r>
          </w:p>
        </w:tc>
        <w:tc>
          <w:tcPr>
            <w:tcW w:w="108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0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40" w:type="dxa"/>
            <w:vAlign w:val="bottom"/>
            <w:shd w:val="clear" w:color="auto" w:fill="CCEEFF"/>
          </w:tcPr>
          <w:p>
            <w:pPr>
              <w:spacing w:after="0"/>
              <w:rPr>
                <w:sz w:val="15"/>
                <w:szCs w:val="15"/>
                <w:color w:val="auto"/>
              </w:rPr>
            </w:pPr>
          </w:p>
        </w:tc>
      </w:tr>
      <w:tr>
        <w:trPr>
          <w:trHeight w:val="176"/>
        </w:trPr>
        <w:tc>
          <w:tcPr>
            <w:tcW w:w="3560" w:type="dxa"/>
            <w:vAlign w:val="bottom"/>
            <w:gridSpan w:val="2"/>
          </w:tcPr>
          <w:p>
            <w:pPr>
              <w:spacing w:after="0"/>
              <w:rPr>
                <w:sz w:val="20"/>
                <w:szCs w:val="20"/>
                <w:color w:val="auto"/>
              </w:rPr>
            </w:pPr>
            <w:r>
              <w:rPr>
                <w:rFonts w:ascii="Arial" w:cs="Arial" w:eastAsia="Arial" w:hAnsi="Arial"/>
                <w:sz w:val="10"/>
                <w:szCs w:val="10"/>
                <w:color w:val="auto"/>
              </w:rPr>
              <w:t>-100 Basis Points</w:t>
            </w:r>
          </w:p>
        </w:tc>
        <w:tc>
          <w:tcPr>
            <w:tcW w:w="1080" w:type="dxa"/>
            <w:vAlign w:val="bottom"/>
          </w:tcPr>
          <w:p>
            <w:pPr>
              <w:jc w:val="center"/>
              <w:ind w:left="112"/>
              <w:spacing w:after="0"/>
              <w:rPr>
                <w:sz w:val="20"/>
                <w:szCs w:val="20"/>
                <w:color w:val="auto"/>
              </w:rPr>
            </w:pPr>
            <w:r>
              <w:rPr>
                <w:rFonts w:ascii="Arial" w:cs="Arial" w:eastAsia="Arial" w:hAnsi="Arial"/>
                <w:sz w:val="10"/>
                <w:szCs w:val="10"/>
                <w:color w:val="auto"/>
                <w:w w:val="88"/>
              </w:rPr>
              <w:t>-17.3%</w:t>
            </w:r>
          </w:p>
        </w:tc>
        <w:tc>
          <w:tcPr>
            <w:tcW w:w="1260" w:type="dxa"/>
            <w:vAlign w:val="bottom"/>
            <w:gridSpan w:val="3"/>
          </w:tcPr>
          <w:p>
            <w:pPr>
              <w:jc w:val="center"/>
              <w:ind w:left="172"/>
              <w:spacing w:after="0"/>
              <w:rPr>
                <w:sz w:val="20"/>
                <w:szCs w:val="20"/>
                <w:color w:val="auto"/>
              </w:rPr>
            </w:pPr>
            <w:r>
              <w:rPr>
                <w:rFonts w:ascii="Arial" w:cs="Arial" w:eastAsia="Arial" w:hAnsi="Arial"/>
                <w:sz w:val="10"/>
                <w:szCs w:val="10"/>
                <w:color w:val="auto"/>
                <w:w w:val="91"/>
              </w:rPr>
              <w:t>-0.4%</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jc w:val="center"/>
              <w:ind w:right="52"/>
              <w:spacing w:after="0"/>
              <w:rPr>
                <w:sz w:val="20"/>
                <w:szCs w:val="20"/>
                <w:color w:val="auto"/>
              </w:rPr>
            </w:pPr>
            <w:r>
              <w:rPr>
                <w:rFonts w:ascii="Arial" w:cs="Arial" w:eastAsia="Arial" w:hAnsi="Arial"/>
                <w:sz w:val="10"/>
                <w:szCs w:val="10"/>
                <w:color w:val="auto"/>
                <w:w w:val="84"/>
              </w:rPr>
              <w:t>-2.8%</w:t>
            </w:r>
          </w:p>
        </w:tc>
      </w:tr>
      <w:tr>
        <w:trPr>
          <w:trHeight w:val="184"/>
        </w:trPr>
        <w:tc>
          <w:tcPr>
            <w:tcW w:w="356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-50 Basis Points</w:t>
            </w:r>
          </w:p>
        </w:tc>
        <w:tc>
          <w:tcPr>
            <w:tcW w:w="1080" w:type="dxa"/>
            <w:vAlign w:val="bottom"/>
            <w:shd w:val="clear" w:color="auto" w:fill="CCEEFF"/>
          </w:tcPr>
          <w:p>
            <w:pPr>
              <w:jc w:val="center"/>
              <w:ind w:left="92"/>
              <w:spacing w:after="0"/>
              <w:rPr>
                <w:sz w:val="20"/>
                <w:szCs w:val="20"/>
                <w:color w:val="auto"/>
              </w:rPr>
            </w:pPr>
            <w:r>
              <w:rPr>
                <w:rFonts w:ascii="Arial" w:cs="Arial" w:eastAsia="Arial" w:hAnsi="Arial"/>
                <w:sz w:val="10"/>
                <w:szCs w:val="10"/>
                <w:color w:val="auto"/>
                <w:w w:val="84"/>
              </w:rPr>
              <w:t>-4.2%</w:t>
            </w:r>
          </w:p>
        </w:tc>
        <w:tc>
          <w:tcPr>
            <w:tcW w:w="1260" w:type="dxa"/>
            <w:vAlign w:val="bottom"/>
            <w:gridSpan w:val="3"/>
            <w:shd w:val="clear" w:color="auto" w:fill="CCEEFF"/>
          </w:tcPr>
          <w:p>
            <w:pPr>
              <w:jc w:val="center"/>
              <w:ind w:left="172"/>
              <w:spacing w:after="0"/>
              <w:rPr>
                <w:sz w:val="20"/>
                <w:szCs w:val="20"/>
                <w:color w:val="auto"/>
              </w:rPr>
            </w:pPr>
            <w:r>
              <w:rPr>
                <w:rFonts w:ascii="Arial" w:cs="Arial" w:eastAsia="Arial" w:hAnsi="Arial"/>
                <w:sz w:val="10"/>
                <w:szCs w:val="10"/>
                <w:color w:val="auto"/>
                <w:w w:val="83"/>
              </w:rPr>
              <w:t>+0.1%</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jc w:val="center"/>
              <w:ind w:right="52"/>
              <w:spacing w:after="0"/>
              <w:rPr>
                <w:sz w:val="20"/>
                <w:szCs w:val="20"/>
                <w:color w:val="auto"/>
              </w:rPr>
            </w:pPr>
            <w:r>
              <w:rPr>
                <w:rFonts w:ascii="Arial" w:cs="Arial" w:eastAsia="Arial" w:hAnsi="Arial"/>
                <w:sz w:val="10"/>
                <w:szCs w:val="10"/>
                <w:color w:val="auto"/>
                <w:w w:val="90"/>
              </w:rPr>
              <w:t>+0.6%</w:t>
            </w:r>
          </w:p>
        </w:tc>
      </w:tr>
      <w:tr>
        <w:trPr>
          <w:trHeight w:val="176"/>
        </w:trPr>
        <w:tc>
          <w:tcPr>
            <w:tcW w:w="3560" w:type="dxa"/>
            <w:vAlign w:val="bottom"/>
            <w:gridSpan w:val="2"/>
          </w:tcPr>
          <w:p>
            <w:pPr>
              <w:spacing w:after="0"/>
              <w:rPr>
                <w:sz w:val="20"/>
                <w:szCs w:val="20"/>
                <w:color w:val="auto"/>
              </w:rPr>
            </w:pPr>
            <w:r>
              <w:rPr>
                <w:rFonts w:ascii="Arial" w:cs="Arial" w:eastAsia="Arial" w:hAnsi="Arial"/>
                <w:sz w:val="10"/>
                <w:szCs w:val="10"/>
                <w:color w:val="auto"/>
              </w:rPr>
              <w:t>+50 Basis Points</w:t>
            </w:r>
          </w:p>
        </w:tc>
        <w:tc>
          <w:tcPr>
            <w:tcW w:w="1080" w:type="dxa"/>
            <w:vAlign w:val="bottom"/>
          </w:tcPr>
          <w:p>
            <w:pPr>
              <w:jc w:val="center"/>
              <w:ind w:left="92"/>
              <w:spacing w:after="0"/>
              <w:rPr>
                <w:sz w:val="20"/>
                <w:szCs w:val="20"/>
                <w:color w:val="auto"/>
              </w:rPr>
            </w:pPr>
            <w:r>
              <w:rPr>
                <w:rFonts w:ascii="Arial" w:cs="Arial" w:eastAsia="Arial" w:hAnsi="Arial"/>
                <w:sz w:val="10"/>
                <w:szCs w:val="10"/>
                <w:color w:val="auto"/>
                <w:w w:val="90"/>
              </w:rPr>
              <w:t>+2.0%</w:t>
            </w:r>
          </w:p>
        </w:tc>
        <w:tc>
          <w:tcPr>
            <w:tcW w:w="1260" w:type="dxa"/>
            <w:vAlign w:val="bottom"/>
            <w:gridSpan w:val="3"/>
          </w:tcPr>
          <w:p>
            <w:pPr>
              <w:jc w:val="center"/>
              <w:ind w:left="172"/>
              <w:spacing w:after="0"/>
              <w:rPr>
                <w:sz w:val="20"/>
                <w:szCs w:val="20"/>
                <w:color w:val="auto"/>
              </w:rPr>
            </w:pPr>
            <w:r>
              <w:rPr>
                <w:rFonts w:ascii="Arial" w:cs="Arial" w:eastAsia="Arial" w:hAnsi="Arial"/>
                <w:sz w:val="10"/>
                <w:szCs w:val="10"/>
                <w:color w:val="auto"/>
                <w:w w:val="91"/>
              </w:rPr>
              <w:t>-0.5%</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jc w:val="center"/>
              <w:ind w:right="52"/>
              <w:spacing w:after="0"/>
              <w:rPr>
                <w:sz w:val="20"/>
                <w:szCs w:val="20"/>
                <w:color w:val="auto"/>
              </w:rPr>
            </w:pPr>
            <w:r>
              <w:rPr>
                <w:rFonts w:ascii="Arial" w:cs="Arial" w:eastAsia="Arial" w:hAnsi="Arial"/>
                <w:sz w:val="10"/>
                <w:szCs w:val="10"/>
                <w:color w:val="auto"/>
                <w:w w:val="84"/>
              </w:rPr>
              <w:t>-3.7%</w:t>
            </w:r>
          </w:p>
        </w:tc>
      </w:tr>
      <w:tr>
        <w:trPr>
          <w:trHeight w:val="184"/>
        </w:trPr>
        <w:tc>
          <w:tcPr>
            <w:tcW w:w="356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+100 Basis Points</w:t>
            </w:r>
          </w:p>
        </w:tc>
        <w:tc>
          <w:tcPr>
            <w:tcW w:w="1080" w:type="dxa"/>
            <w:vAlign w:val="bottom"/>
            <w:shd w:val="clear" w:color="auto" w:fill="CCEEFF"/>
          </w:tcPr>
          <w:p>
            <w:pPr>
              <w:jc w:val="center"/>
              <w:ind w:left="92"/>
              <w:spacing w:after="0"/>
              <w:rPr>
                <w:sz w:val="20"/>
                <w:szCs w:val="20"/>
                <w:color w:val="auto"/>
              </w:rPr>
            </w:pPr>
            <w:r>
              <w:rPr>
                <w:rFonts w:ascii="Arial" w:cs="Arial" w:eastAsia="Arial" w:hAnsi="Arial"/>
                <w:sz w:val="10"/>
                <w:szCs w:val="10"/>
                <w:color w:val="auto"/>
                <w:w w:val="90"/>
              </w:rPr>
              <w:t>+2.5%</w:t>
            </w:r>
          </w:p>
        </w:tc>
        <w:tc>
          <w:tcPr>
            <w:tcW w:w="1260" w:type="dxa"/>
            <w:vAlign w:val="bottom"/>
            <w:gridSpan w:val="3"/>
            <w:shd w:val="clear" w:color="auto" w:fill="CCEEFF"/>
          </w:tcPr>
          <w:p>
            <w:pPr>
              <w:jc w:val="center"/>
              <w:ind w:left="172"/>
              <w:spacing w:after="0"/>
              <w:rPr>
                <w:sz w:val="20"/>
                <w:szCs w:val="20"/>
                <w:color w:val="auto"/>
              </w:rPr>
            </w:pPr>
            <w:r>
              <w:rPr>
                <w:rFonts w:ascii="Arial" w:cs="Arial" w:eastAsia="Arial" w:hAnsi="Arial"/>
                <w:sz w:val="10"/>
                <w:szCs w:val="10"/>
                <w:color w:val="auto"/>
                <w:w w:val="91"/>
              </w:rPr>
              <w:t>-1.2%</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jc w:val="center"/>
              <w:ind w:right="52"/>
              <w:spacing w:after="0"/>
              <w:rPr>
                <w:sz w:val="20"/>
                <w:szCs w:val="20"/>
                <w:color w:val="auto"/>
              </w:rPr>
            </w:pPr>
            <w:r>
              <w:rPr>
                <w:rFonts w:ascii="Arial" w:cs="Arial" w:eastAsia="Arial" w:hAnsi="Arial"/>
                <w:sz w:val="10"/>
                <w:szCs w:val="10"/>
                <w:color w:val="auto"/>
                <w:w w:val="84"/>
              </w:rPr>
              <w:t>-9.4%</w:t>
            </w:r>
          </w:p>
        </w:tc>
      </w:tr>
    </w:tbl>
    <w:p>
      <w:pPr>
        <w:spacing w:after="0"/>
        <w:rPr>
          <w:sz w:val="20"/>
          <w:szCs w:val="20"/>
          <w:color w:val="auto"/>
        </w:rPr>
      </w:pPr>
      <w:r>
        <w:rPr>
          <w:rFonts w:ascii="Arial" w:cs="Arial" w:eastAsia="Arial" w:hAnsi="Arial"/>
          <w:sz w:val="12"/>
          <w:szCs w:val="12"/>
          <w:color w:val="auto"/>
        </w:rPr>
        <w:t>________________</w:t>
      </w:r>
    </w:p>
    <w:p>
      <w:pPr>
        <w:spacing w:after="0" w:line="2" w:lineRule="exact"/>
        <w:rPr>
          <w:sz w:val="20"/>
          <w:szCs w:val="20"/>
          <w:color w:val="auto"/>
        </w:rPr>
      </w:pPr>
    </w:p>
    <w:p>
      <w:pPr>
        <w:ind w:left="420" w:hanging="212"/>
        <w:spacing w:after="0"/>
        <w:tabs>
          <w:tab w:leader="none" w:pos="420" w:val="left"/>
        </w:tabs>
        <w:numPr>
          <w:ilvl w:val="0"/>
          <w:numId w:val="30"/>
        </w:numPr>
        <w:rPr>
          <w:rFonts w:ascii="Arial" w:cs="Arial" w:eastAsia="Arial" w:hAnsi="Arial"/>
          <w:sz w:val="8"/>
          <w:szCs w:val="8"/>
          <w:color w:val="auto"/>
        </w:rPr>
      </w:pPr>
      <w:r>
        <w:rPr>
          <w:rFonts w:ascii="Arial" w:cs="Arial" w:eastAsia="Arial" w:hAnsi="Arial"/>
          <w:sz w:val="8"/>
          <w:szCs w:val="8"/>
          <w:color w:val="auto"/>
        </w:rPr>
        <w:t>Interest rate sensitivity is derived from models that are dependent on inputs and assumptions provided by third parties, assumes there are no changes in mortgage spreads and assumes a static portfolio. Actual results could differ materially from these estimates.</w:t>
      </w:r>
    </w:p>
    <w:p>
      <w:pPr>
        <w:spacing w:after="0" w:line="16" w:lineRule="exact"/>
        <w:rPr>
          <w:rFonts w:ascii="Arial" w:cs="Arial" w:eastAsia="Arial" w:hAnsi="Arial"/>
          <w:sz w:val="8"/>
          <w:szCs w:val="8"/>
          <w:color w:val="auto"/>
        </w:rPr>
      </w:pPr>
    </w:p>
    <w:p>
      <w:pPr>
        <w:jc w:val="both"/>
        <w:ind w:left="420" w:hanging="212"/>
        <w:spacing w:after="0" w:line="281" w:lineRule="auto"/>
        <w:tabs>
          <w:tab w:leader="none" w:pos="420" w:val="left"/>
        </w:tabs>
        <w:numPr>
          <w:ilvl w:val="0"/>
          <w:numId w:val="30"/>
        </w:numPr>
        <w:rPr>
          <w:rFonts w:ascii="Arial" w:cs="Arial" w:eastAsia="Arial" w:hAnsi="Arial"/>
          <w:sz w:val="8"/>
          <w:szCs w:val="8"/>
          <w:color w:val="auto"/>
        </w:rPr>
      </w:pPr>
      <w:r>
        <w:rPr>
          <w:rFonts w:ascii="Arial" w:cs="Arial" w:eastAsia="Arial" w:hAnsi="Arial"/>
          <w:sz w:val="8"/>
          <w:szCs w:val="8"/>
          <w:color w:val="auto"/>
        </w:rPr>
        <w:t>Represents the estimated dollar change in net interest income expressed as a percent of net interest income based on asset yields and cost of funds as of such date. It includes the effect of periodic interest costs on our interest rate swaps, but excludes costs associated with our forward starting swaps and other supplemental hedges, such as swaptions and U.S. Treasury securities. Amounts also exclude costs associated with our TBA position and TBA dollar roll income/loss, which are accounted for as derivative instruments in accordance with GAAP. Base case scenario assumes interest rates and forecasted CPR of 11% and 8% as of September 30, 2016 and December 31, 2015, respectively. As of September 30, 2016, rate shock scenarios assume a forecasted CPR of 16%, 13%, 9% and 8% for the -100, -50, +50 and +100 basis points scenarios, respectively. As of December 31, 2015, rate shock scenarios assume a forecasted CPR of 12%, 10%, 8% and 7% for such scenarios, respectively. Estimated dollar change in net interest income does not include the impact of retroactive "catch-up" premium amortization adjustments due to changes in our forecasted CPR. Down rate scenarios assume a floor of 0% for anticipated interest rates.</w:t>
      </w:r>
    </w:p>
    <w:p>
      <w:pPr>
        <w:spacing w:after="0" w:line="1" w:lineRule="exact"/>
        <w:rPr>
          <w:rFonts w:ascii="Arial" w:cs="Arial" w:eastAsia="Arial" w:hAnsi="Arial"/>
          <w:sz w:val="8"/>
          <w:szCs w:val="8"/>
          <w:color w:val="auto"/>
        </w:rPr>
      </w:pPr>
    </w:p>
    <w:p>
      <w:pPr>
        <w:ind w:left="420" w:hanging="212"/>
        <w:spacing w:after="0" w:line="225" w:lineRule="auto"/>
        <w:tabs>
          <w:tab w:leader="none" w:pos="420" w:val="left"/>
        </w:tabs>
        <w:numPr>
          <w:ilvl w:val="0"/>
          <w:numId w:val="30"/>
        </w:numPr>
        <w:rPr>
          <w:rFonts w:ascii="Arial" w:cs="Arial" w:eastAsia="Arial" w:hAnsi="Arial"/>
          <w:sz w:val="10"/>
          <w:szCs w:val="10"/>
          <w:color w:val="auto"/>
        </w:rPr>
      </w:pPr>
      <w:r>
        <w:rPr>
          <w:rFonts w:ascii="Arial" w:cs="Arial" w:eastAsia="Arial" w:hAnsi="Arial"/>
          <w:sz w:val="10"/>
          <w:szCs w:val="10"/>
          <w:color w:val="auto"/>
        </w:rPr>
        <w:t>Includes the effect of derivatives and other securities used for hedging purposes.</w:t>
      </w:r>
    </w:p>
    <w:p>
      <w:pPr>
        <w:ind w:left="420" w:hanging="212"/>
        <w:spacing w:after="0" w:line="225" w:lineRule="auto"/>
        <w:tabs>
          <w:tab w:leader="none" w:pos="420" w:val="left"/>
        </w:tabs>
        <w:numPr>
          <w:ilvl w:val="0"/>
          <w:numId w:val="30"/>
        </w:numPr>
        <w:rPr>
          <w:rFonts w:ascii="Arial" w:cs="Arial" w:eastAsia="Arial" w:hAnsi="Arial"/>
          <w:sz w:val="10"/>
          <w:szCs w:val="10"/>
          <w:color w:val="auto"/>
        </w:rPr>
      </w:pPr>
      <w:r>
        <w:rPr>
          <w:rFonts w:ascii="Arial" w:cs="Arial" w:eastAsia="Arial" w:hAnsi="Arial"/>
          <w:sz w:val="10"/>
          <w:szCs w:val="10"/>
          <w:color w:val="auto"/>
        </w:rPr>
        <w:t>Estimated dollar change in investment portfolio value expressed as a percent of the total fair value of our investment portfolio as of such date.</w:t>
      </w:r>
    </w:p>
    <w:p>
      <w:pPr>
        <w:ind w:left="420" w:hanging="212"/>
        <w:spacing w:after="0" w:line="236" w:lineRule="auto"/>
        <w:tabs>
          <w:tab w:leader="none" w:pos="420" w:val="left"/>
        </w:tabs>
        <w:numPr>
          <w:ilvl w:val="0"/>
          <w:numId w:val="30"/>
        </w:numPr>
        <w:rPr>
          <w:rFonts w:ascii="Arial" w:cs="Arial" w:eastAsia="Arial" w:hAnsi="Arial"/>
          <w:sz w:val="10"/>
          <w:szCs w:val="10"/>
          <w:color w:val="auto"/>
        </w:rPr>
      </w:pPr>
      <w:r>
        <w:rPr>
          <w:rFonts w:ascii="Arial" w:cs="Arial" w:eastAsia="Arial" w:hAnsi="Arial"/>
          <w:sz w:val="10"/>
          <w:szCs w:val="10"/>
          <w:color w:val="auto"/>
        </w:rPr>
        <w:t>Estimated dollar change in portfolio value expressed as a percent of stockholders' equity, net of the Series A and Series B Preferred Stock liquidation preference, as of such date.</w:t>
      </w:r>
    </w:p>
    <w:p>
      <w:pPr>
        <w:spacing w:after="0" w:line="9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Prepayment Risk</w:t>
      </w:r>
    </w:p>
    <w:p>
      <w:pPr>
        <w:spacing w:after="0" w:line="114" w:lineRule="exact"/>
        <w:rPr>
          <w:sz w:val="20"/>
          <w:szCs w:val="20"/>
          <w:color w:val="auto"/>
        </w:rPr>
      </w:pPr>
    </w:p>
    <w:p>
      <w:pPr>
        <w:jc w:val="both"/>
        <w:ind w:firstLine="288"/>
        <w:spacing w:after="0" w:line="286" w:lineRule="auto"/>
        <w:rPr>
          <w:sz w:val="20"/>
          <w:szCs w:val="20"/>
          <w:color w:val="auto"/>
        </w:rPr>
      </w:pPr>
      <w:r>
        <w:rPr>
          <w:rFonts w:ascii="Arial" w:cs="Arial" w:eastAsia="Arial" w:hAnsi="Arial"/>
          <w:sz w:val="11"/>
          <w:szCs w:val="11"/>
          <w:color w:val="auto"/>
        </w:rPr>
        <w:t>Because residential borrowers have the option to prepay their mortgage loans at par at any time, we face the risk that we will experience a return of principal on our investments faster than anticipated. Various factors affect the rate at which mortgage prepayments occur, including changes in the level of and directional trends in housing prices, interest rates, general economic conditions, loan age and size, loan-to-value ratio, the location of the property and social and demographic conditions. Additionally, changes to GSE underwriting practices or other governmental programs could also significantly impact prepayment rates or expectations. Also, the pace at which the loans underlying our securities become seriously delinquent or are modified and the timing of GSE repurchases of such loans from our securities can materially impact the rate of prepayments. Generally, prepayments on residential mortgage-backed securities increase during periods of falling mortgage interest rates and decrease during periods of rising mortgage interest rates. However, this may not always be the case.</w:t>
      </w:r>
    </w:p>
    <w:p>
      <w:pPr>
        <w:spacing w:after="0" w:line="75" w:lineRule="exact"/>
        <w:rPr>
          <w:sz w:val="20"/>
          <w:szCs w:val="20"/>
          <w:color w:val="auto"/>
        </w:rPr>
      </w:pPr>
    </w:p>
    <w:p>
      <w:pPr>
        <w:jc w:val="both"/>
        <w:ind w:firstLine="288"/>
        <w:spacing w:after="0" w:line="290" w:lineRule="auto"/>
        <w:rPr>
          <w:sz w:val="20"/>
          <w:szCs w:val="20"/>
          <w:color w:val="auto"/>
        </w:rPr>
      </w:pPr>
      <w:r>
        <w:rPr>
          <w:rFonts w:ascii="Arial" w:cs="Arial" w:eastAsia="Arial" w:hAnsi="Arial"/>
          <w:sz w:val="11"/>
          <w:szCs w:val="11"/>
          <w:color w:val="auto"/>
        </w:rPr>
        <w:t>We may reinvest principal repayments at a yield that is lower or higher than the yield on the repaid investment, thus affecting our net interest income by altering the average yield on our assets. We also amortize or accrete premiums and discounts associated with the purchase of mortgage securities into interest income over the projected lives of the securities, including contractual payments and estimated prepayments using the effective interest method. Our policy for estimating prepayment speeds for calculating the effective yield is to evaluate published prepayment data for similar securities, market consensus and current market conditions. If the actual prepayment experienced differs from our estimate of prepayments, we will be required to make an adjustment to the amortization or accretion of premiums and discounts that would have an impact on future income.</w:t>
      </w:r>
    </w:p>
    <w:p>
      <w:pPr>
        <w:spacing w:after="0" w:line="73"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Spread Risk</w:t>
      </w:r>
    </w:p>
    <w:p>
      <w:pPr>
        <w:spacing w:after="0" w:line="159"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When the market spread between the yield on our investment securities and benchmark interest rates widens, our net book value could decline if the value of our investment securities fall by more than the offsetting fair value increases on our hedging instruments tied to the underlying benchmark interest rates. We refer to this as "spread risk" or "basis risk." The spread risk associated with our mortgage assets and the resulting fluctuations in fair value of these securities can occur independent of changes in benchmark interest rates and may relate to other factors impacting the mortgage and fixed income markets, such as actual or</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52</w:t>
      </w:r>
    </w:p>
    <w:p>
      <w:pPr>
        <w:sectPr>
          <w:pgSz w:w="11900" w:h="16838" w:orient="portrait"/>
          <w:cols w:equalWidth="0" w:num="1">
            <w:col w:w="11480"/>
          </w:cols>
          <w:pgMar w:left="220" w:top="647" w:right="199" w:bottom="1440" w:gutter="0" w:footer="0" w:header="0"/>
        </w:sectPr>
      </w:pPr>
    </w:p>
    <w:bookmarkStart w:id="53" w:name="page54"/>
    <w:bookmarkEnd w:id="53"/>
    <w:p>
      <w:pPr>
        <w:jc w:val="both"/>
        <w:spacing w:after="0" w:line="276" w:lineRule="auto"/>
        <w:rPr>
          <w:sz w:val="20"/>
          <w:szCs w:val="20"/>
          <w:color w:val="auto"/>
        </w:rPr>
      </w:pPr>
      <w:r>
        <w:rPr>
          <w:rFonts w:ascii="Arial" w:cs="Arial" w:eastAsia="Arial" w:hAnsi="Arial"/>
          <w:sz w:val="12"/>
          <w:szCs w:val="12"/>
          <w:color w:val="auto"/>
        </w:rPr>
        <w:t>anticipated monetary policy actions by the Federal Reserve, market liquidity, or changes in required rates of return on different assets. Consequently, while we use interest rate swaps and other supplemental hedges to attempt to protect against moves in interest rates, such instruments typically will not protect our net book value against spread risk.</w:t>
      </w:r>
    </w:p>
    <w:p>
      <w:pPr>
        <w:spacing w:after="0" w:line="79" w:lineRule="exact"/>
        <w:rPr>
          <w:sz w:val="20"/>
          <w:szCs w:val="20"/>
          <w:color w:val="auto"/>
        </w:rPr>
      </w:pPr>
    </w:p>
    <w:p>
      <w:pPr>
        <w:jc w:val="both"/>
        <w:ind w:firstLine="288"/>
        <w:spacing w:after="0" w:line="290" w:lineRule="auto"/>
        <w:rPr>
          <w:sz w:val="20"/>
          <w:szCs w:val="20"/>
          <w:color w:val="auto"/>
        </w:rPr>
      </w:pPr>
      <w:r>
        <w:rPr>
          <w:rFonts w:ascii="Arial" w:cs="Arial" w:eastAsia="Arial" w:hAnsi="Arial"/>
          <w:sz w:val="11"/>
          <w:szCs w:val="11"/>
          <w:color w:val="auto"/>
        </w:rPr>
        <w:t>The table below quantifies the estimated changes in the fair value of our investment portfolio (including derivatives and other securities used for hedging purposes) and in our net asset value as of September 30, 2016 and December 31, 2015 should spreads widen or tighten by 10 and 25 basis points. The estimated impact of changes in spreads is in addition to our interest rate shock sensitivity included in the interest rate shock table above. The table below assumes a spread duration of 4.5 years and 5.2 years as of September 30, 2016 and December 31, 2015, respectively, based on interest rates and MBS prices as of such dates. However, our portfolio's sensitivity of mortgage spread changes will vary with changes in interest rates and in the size and composition of our investment portfolio. Therefore, actual results could differ materially from our estimates.</w:t>
      </w:r>
    </w:p>
    <w:p>
      <w:pPr>
        <w:spacing w:after="0" w:line="176" w:lineRule="exact"/>
        <w:rPr>
          <w:sz w:val="20"/>
          <w:szCs w:val="20"/>
          <w:color w:val="auto"/>
        </w:rPr>
      </w:pPr>
    </w:p>
    <w:p>
      <w:pPr>
        <w:jc w:val="center"/>
        <w:spacing w:after="0"/>
        <w:rPr>
          <w:sz w:val="20"/>
          <w:szCs w:val="20"/>
          <w:color w:val="auto"/>
        </w:rPr>
      </w:pPr>
      <w:r>
        <w:rPr>
          <w:rFonts w:ascii="Arial" w:cs="Arial" w:eastAsia="Arial" w:hAnsi="Arial"/>
          <w:sz w:val="10"/>
          <w:szCs w:val="10"/>
          <w:b w:val="1"/>
          <w:bCs w:val="1"/>
          <w:color w:val="auto"/>
        </w:rPr>
        <w:t xml:space="preserve">Spread Sensitivity of Agency MBS Portfolio </w:t>
      </w:r>
      <w:r>
        <w:rPr>
          <w:rFonts w:ascii="Arial" w:cs="Arial" w:eastAsia="Arial" w:hAnsi="Arial"/>
          <w:sz w:val="5"/>
          <w:szCs w:val="5"/>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1762125</wp:posOffset>
            </wp:positionH>
            <wp:positionV relativeFrom="paragraph">
              <wp:posOffset>10795</wp:posOffset>
            </wp:positionV>
            <wp:extent cx="3757930" cy="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3757930" cy="5715"/>
                    </a:xfrm>
                    <a:prstGeom prst="rect">
                      <a:avLst/>
                    </a:prstGeom>
                    <a:noFill/>
                  </pic:spPr>
                </pic:pic>
              </a:graphicData>
            </a:graphic>
          </wp:anchor>
        </w:drawing>
      </w:r>
    </w:p>
    <w:p>
      <w:pPr>
        <w:spacing w:after="0" w:line="54" w:lineRule="exact"/>
        <w:rPr>
          <w:sz w:val="20"/>
          <w:szCs w:val="20"/>
          <w:color w:val="auto"/>
        </w:rPr>
      </w:pPr>
    </w:p>
    <w:tbl>
      <w:tblPr>
        <w:tblLayout w:type="fixed"/>
        <w:tblInd w:w="2780" w:type="dxa"/>
        <w:tblCellMar>
          <w:top w:w="0" w:type="dxa"/>
          <w:left w:w="0" w:type="dxa"/>
          <w:bottom w:w="0" w:type="dxa"/>
          <w:right w:w="0" w:type="dxa"/>
        </w:tblCellMar>
      </w:tblPr>
      <w:tr>
        <w:trPr>
          <w:trHeight w:val="128"/>
        </w:trPr>
        <w:tc>
          <w:tcPr>
            <w:tcW w:w="30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720" w:type="dxa"/>
            <w:vAlign w:val="bottom"/>
            <w:tcBorders>
              <w:bottom w:val="single" w:sz="8" w:color="auto"/>
            </w:tcBorders>
            <w:gridSpan w:val="3"/>
          </w:tcPr>
          <w:p>
            <w:pPr>
              <w:ind w:left="700"/>
              <w:spacing w:after="0"/>
              <w:rPr>
                <w:sz w:val="20"/>
                <w:szCs w:val="20"/>
                <w:color w:val="auto"/>
              </w:rPr>
            </w:pPr>
            <w:r>
              <w:rPr>
                <w:rFonts w:ascii="Arial" w:cs="Arial" w:eastAsia="Arial" w:hAnsi="Arial"/>
                <w:sz w:val="10"/>
                <w:szCs w:val="10"/>
                <w:b w:val="1"/>
                <w:bCs w:val="1"/>
                <w:color w:val="auto"/>
              </w:rPr>
              <w:t>Percentage Change in Projected</w:t>
            </w:r>
          </w:p>
        </w:tc>
      </w:tr>
      <w:tr>
        <w:trPr>
          <w:trHeight w:val="96"/>
        </w:trPr>
        <w:tc>
          <w:tcPr>
            <w:tcW w:w="30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20" w:type="dxa"/>
            <w:vAlign w:val="bottom"/>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92"/>
              </w:rPr>
              <w:t>Portfolio</w:t>
            </w:r>
          </w:p>
        </w:tc>
        <w:tc>
          <w:tcPr>
            <w:tcW w:w="1300" w:type="dxa"/>
            <w:vAlign w:val="bottom"/>
          </w:tcPr>
          <w:p>
            <w:pPr>
              <w:spacing w:after="0"/>
              <w:rPr>
                <w:sz w:val="8"/>
                <w:szCs w:val="8"/>
                <w:color w:val="auto"/>
              </w:rPr>
            </w:pPr>
          </w:p>
        </w:tc>
      </w:tr>
      <w:tr>
        <w:trPr>
          <w:trHeight w:val="99"/>
        </w:trPr>
        <w:tc>
          <w:tcPr>
            <w:tcW w:w="30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2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92"/>
              </w:rPr>
              <w:t>Market</w:t>
            </w:r>
          </w:p>
        </w:tc>
        <w:tc>
          <w:tcPr>
            <w:tcW w:w="130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2"/>
              </w:rPr>
              <w:t>Net Asset</w:t>
            </w:r>
          </w:p>
        </w:tc>
      </w:tr>
      <w:tr>
        <w:trPr>
          <w:trHeight w:val="128"/>
        </w:trPr>
        <w:tc>
          <w:tcPr>
            <w:tcW w:w="308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Change in MBS Spread</w:t>
            </w:r>
          </w:p>
        </w:tc>
        <w:tc>
          <w:tcPr>
            <w:tcW w:w="120" w:type="dxa"/>
            <w:vAlign w:val="bottom"/>
            <w:tcBorders>
              <w:bottom w:val="single" w:sz="8" w:color="CCEEFF"/>
            </w:tcBorders>
          </w:tcPr>
          <w:p>
            <w:pPr>
              <w:spacing w:after="0"/>
              <w:rPr>
                <w:sz w:val="11"/>
                <w:szCs w:val="11"/>
                <w:color w:val="auto"/>
              </w:rPr>
            </w:pPr>
          </w:p>
        </w:tc>
        <w:tc>
          <w:tcPr>
            <w:tcW w:w="13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3"/>
              </w:rPr>
              <w:t xml:space="preserve">Value </w:t>
            </w:r>
            <w:r>
              <w:rPr>
                <w:rFonts w:ascii="Arial" w:cs="Arial" w:eastAsia="Arial" w:hAnsi="Arial"/>
                <w:sz w:val="5"/>
                <w:szCs w:val="5"/>
                <w:b w:val="1"/>
                <w:bCs w:val="1"/>
                <w:color w:val="auto"/>
                <w:w w:val="93"/>
              </w:rPr>
              <w:t>2,3</w:t>
            </w:r>
          </w:p>
        </w:tc>
        <w:tc>
          <w:tcPr>
            <w:tcW w:w="120" w:type="dxa"/>
            <w:vAlign w:val="bottom"/>
            <w:tcBorders>
              <w:bottom w:val="single" w:sz="8" w:color="CCEEFF"/>
            </w:tcBorders>
          </w:tcPr>
          <w:p>
            <w:pPr>
              <w:spacing w:after="0"/>
              <w:rPr>
                <w:sz w:val="11"/>
                <w:szCs w:val="11"/>
                <w:color w:val="auto"/>
              </w:rPr>
            </w:pPr>
          </w:p>
        </w:tc>
        <w:tc>
          <w:tcPr>
            <w:tcW w:w="13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7"/>
              </w:rPr>
              <w:t xml:space="preserve">Value </w:t>
            </w:r>
            <w:r>
              <w:rPr>
                <w:rFonts w:ascii="Arial" w:cs="Arial" w:eastAsia="Arial" w:hAnsi="Arial"/>
                <w:sz w:val="5"/>
                <w:szCs w:val="5"/>
                <w:b w:val="1"/>
                <w:bCs w:val="1"/>
                <w:color w:val="auto"/>
                <w:w w:val="87"/>
              </w:rPr>
              <w:t>2,4</w:t>
            </w:r>
          </w:p>
        </w:tc>
      </w:tr>
      <w:tr>
        <w:trPr>
          <w:trHeight w:val="173"/>
        </w:trPr>
        <w:tc>
          <w:tcPr>
            <w:tcW w:w="32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As of September 30, 2016</w:t>
            </w:r>
          </w:p>
        </w:tc>
        <w:tc>
          <w:tcPr>
            <w:tcW w:w="13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300" w:type="dxa"/>
            <w:vAlign w:val="bottom"/>
            <w:shd w:val="clear" w:color="auto" w:fill="CCEEFF"/>
          </w:tcPr>
          <w:p>
            <w:pPr>
              <w:spacing w:after="0"/>
              <w:rPr>
                <w:sz w:val="15"/>
                <w:szCs w:val="15"/>
                <w:color w:val="auto"/>
              </w:rPr>
            </w:pPr>
          </w:p>
        </w:tc>
      </w:tr>
      <w:tr>
        <w:trPr>
          <w:trHeight w:val="176"/>
        </w:trPr>
        <w:tc>
          <w:tcPr>
            <w:tcW w:w="3200" w:type="dxa"/>
            <w:vAlign w:val="bottom"/>
            <w:gridSpan w:val="2"/>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90"/>
              </w:rPr>
              <w:t>+1.1%</w:t>
            </w:r>
          </w:p>
        </w:tc>
        <w:tc>
          <w:tcPr>
            <w:tcW w:w="120" w:type="dxa"/>
            <w:vAlign w:val="bottom"/>
          </w:tcPr>
          <w:p>
            <w:pPr>
              <w:spacing w:after="0"/>
              <w:rPr>
                <w:sz w:val="15"/>
                <w:szCs w:val="15"/>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90"/>
              </w:rPr>
              <w:t>+9.3%</w:t>
            </w:r>
          </w:p>
        </w:tc>
      </w:tr>
      <w:tr>
        <w:trPr>
          <w:trHeight w:val="184"/>
        </w:trPr>
        <w:tc>
          <w:tcPr>
            <w:tcW w:w="320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-10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0"/>
              </w:rPr>
              <w:t>+0.5%</w:t>
            </w:r>
          </w:p>
        </w:tc>
        <w:tc>
          <w:tcPr>
            <w:tcW w:w="120" w:type="dxa"/>
            <w:vAlign w:val="bottom"/>
            <w:shd w:val="clear" w:color="auto" w:fill="CCEEFF"/>
          </w:tcPr>
          <w:p>
            <w:pPr>
              <w:spacing w:after="0"/>
              <w:rPr>
                <w:sz w:val="16"/>
                <w:szCs w:val="16"/>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0"/>
              </w:rPr>
              <w:t>+3.7%</w:t>
            </w:r>
          </w:p>
        </w:tc>
      </w:tr>
      <w:tr>
        <w:trPr>
          <w:trHeight w:val="176"/>
        </w:trPr>
        <w:tc>
          <w:tcPr>
            <w:tcW w:w="3200" w:type="dxa"/>
            <w:vAlign w:val="bottom"/>
            <w:gridSpan w:val="2"/>
          </w:tcPr>
          <w:p>
            <w:pPr>
              <w:ind w:left="20"/>
              <w:spacing w:after="0"/>
              <w:rPr>
                <w:sz w:val="20"/>
                <w:szCs w:val="20"/>
                <w:color w:val="auto"/>
              </w:rPr>
            </w:pPr>
            <w:r>
              <w:rPr>
                <w:rFonts w:ascii="Arial" w:cs="Arial" w:eastAsia="Arial" w:hAnsi="Arial"/>
                <w:sz w:val="10"/>
                <w:szCs w:val="10"/>
                <w:color w:val="auto"/>
              </w:rPr>
              <w:t>+10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-0.5%</w:t>
            </w:r>
          </w:p>
        </w:tc>
        <w:tc>
          <w:tcPr>
            <w:tcW w:w="120" w:type="dxa"/>
            <w:vAlign w:val="bottom"/>
          </w:tcPr>
          <w:p>
            <w:pPr>
              <w:spacing w:after="0"/>
              <w:rPr>
                <w:sz w:val="15"/>
                <w:szCs w:val="15"/>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91"/>
              </w:rPr>
              <w:t>-3.7%</w:t>
            </w:r>
          </w:p>
        </w:tc>
      </w:tr>
      <w:tr>
        <w:trPr>
          <w:trHeight w:val="184"/>
        </w:trPr>
        <w:tc>
          <w:tcPr>
            <w:tcW w:w="320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-1.1%</w:t>
            </w:r>
          </w:p>
        </w:tc>
        <w:tc>
          <w:tcPr>
            <w:tcW w:w="120" w:type="dxa"/>
            <w:vAlign w:val="bottom"/>
            <w:shd w:val="clear" w:color="auto" w:fill="CCEEFF"/>
          </w:tcPr>
          <w:p>
            <w:pPr>
              <w:spacing w:after="0"/>
              <w:rPr>
                <w:sz w:val="16"/>
                <w:szCs w:val="16"/>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-9.3%</w:t>
            </w:r>
          </w:p>
        </w:tc>
      </w:tr>
      <w:tr>
        <w:trPr>
          <w:trHeight w:val="216"/>
        </w:trPr>
        <w:tc>
          <w:tcPr>
            <w:tcW w:w="30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tcPr>
          <w:p>
            <w:pPr>
              <w:spacing w:after="0"/>
              <w:rPr>
                <w:sz w:val="18"/>
                <w:szCs w:val="18"/>
                <w:color w:val="auto"/>
              </w:rPr>
            </w:pPr>
          </w:p>
        </w:tc>
      </w:tr>
      <w:tr>
        <w:trPr>
          <w:trHeight w:val="180"/>
        </w:trPr>
        <w:tc>
          <w:tcPr>
            <w:tcW w:w="3200" w:type="dxa"/>
            <w:vAlign w:val="bottom"/>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As of December 31, 2015</w:t>
            </w:r>
          </w:p>
        </w:tc>
        <w:tc>
          <w:tcPr>
            <w:tcW w:w="13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300" w:type="dxa"/>
            <w:vAlign w:val="bottom"/>
            <w:shd w:val="clear" w:color="auto" w:fill="CCEEFF"/>
          </w:tcPr>
          <w:p>
            <w:pPr>
              <w:spacing w:after="0"/>
              <w:rPr>
                <w:sz w:val="15"/>
                <w:szCs w:val="15"/>
                <w:color w:val="auto"/>
              </w:rPr>
            </w:pPr>
          </w:p>
        </w:tc>
      </w:tr>
      <w:tr>
        <w:trPr>
          <w:trHeight w:val="176"/>
        </w:trPr>
        <w:tc>
          <w:tcPr>
            <w:tcW w:w="3200" w:type="dxa"/>
            <w:vAlign w:val="bottom"/>
            <w:gridSpan w:val="2"/>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90"/>
              </w:rPr>
              <w:t>+1.3%</w:t>
            </w:r>
          </w:p>
        </w:tc>
        <w:tc>
          <w:tcPr>
            <w:tcW w:w="120" w:type="dxa"/>
            <w:vAlign w:val="bottom"/>
          </w:tcPr>
          <w:p>
            <w:pPr>
              <w:spacing w:after="0"/>
              <w:rPr>
                <w:sz w:val="15"/>
                <w:szCs w:val="15"/>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87"/>
              </w:rPr>
              <w:t>+10.2%</w:t>
            </w:r>
          </w:p>
        </w:tc>
      </w:tr>
      <w:tr>
        <w:trPr>
          <w:trHeight w:val="184"/>
        </w:trPr>
        <w:tc>
          <w:tcPr>
            <w:tcW w:w="320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-10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0"/>
              </w:rPr>
              <w:t>+0.5%</w:t>
            </w:r>
          </w:p>
        </w:tc>
        <w:tc>
          <w:tcPr>
            <w:tcW w:w="120" w:type="dxa"/>
            <w:vAlign w:val="bottom"/>
            <w:shd w:val="clear" w:color="auto" w:fill="CCEEFF"/>
          </w:tcPr>
          <w:p>
            <w:pPr>
              <w:spacing w:after="0"/>
              <w:rPr>
                <w:sz w:val="16"/>
                <w:szCs w:val="16"/>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0"/>
              </w:rPr>
              <w:t>+4.1%</w:t>
            </w:r>
          </w:p>
        </w:tc>
      </w:tr>
      <w:tr>
        <w:trPr>
          <w:trHeight w:val="172"/>
        </w:trPr>
        <w:tc>
          <w:tcPr>
            <w:tcW w:w="3200" w:type="dxa"/>
            <w:vAlign w:val="bottom"/>
            <w:gridSpan w:val="2"/>
          </w:tcPr>
          <w:p>
            <w:pPr>
              <w:ind w:left="20"/>
              <w:spacing w:after="0"/>
              <w:rPr>
                <w:sz w:val="20"/>
                <w:szCs w:val="20"/>
                <w:color w:val="auto"/>
              </w:rPr>
            </w:pPr>
            <w:r>
              <w:rPr>
                <w:rFonts w:ascii="Arial" w:cs="Arial" w:eastAsia="Arial" w:hAnsi="Arial"/>
                <w:sz w:val="10"/>
                <w:szCs w:val="10"/>
                <w:color w:val="auto"/>
              </w:rPr>
              <w:t>+10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-0.5%</w:t>
            </w:r>
          </w:p>
        </w:tc>
        <w:tc>
          <w:tcPr>
            <w:tcW w:w="12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91"/>
              </w:rPr>
              <w:t>-4.1%</w:t>
            </w:r>
          </w:p>
        </w:tc>
      </w:tr>
      <w:tr>
        <w:trPr>
          <w:trHeight w:val="180"/>
        </w:trPr>
        <w:tc>
          <w:tcPr>
            <w:tcW w:w="3200" w:type="dxa"/>
            <w:vAlign w:val="bottom"/>
            <w:gridSpan w:val="2"/>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-1.3%</w:t>
            </w:r>
          </w:p>
        </w:tc>
        <w:tc>
          <w:tcPr>
            <w:tcW w:w="120" w:type="dxa"/>
            <w:vAlign w:val="bottom"/>
          </w:tcPr>
          <w:p>
            <w:pPr>
              <w:spacing w:after="0"/>
              <w:rPr>
                <w:sz w:val="15"/>
                <w:szCs w:val="15"/>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88"/>
              </w:rPr>
              <w:t>-10.2%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1762125</wp:posOffset>
            </wp:positionH>
            <wp:positionV relativeFrom="paragraph">
              <wp:posOffset>-108585</wp:posOffset>
            </wp:positionV>
            <wp:extent cx="3757930" cy="1143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3757930" cy="114300"/>
                    </a:xfrm>
                    <a:prstGeom prst="rect">
                      <a:avLst/>
                    </a:prstGeom>
                    <a:noFill/>
                  </pic:spPr>
                </pic:pic>
              </a:graphicData>
            </a:graphic>
          </wp:anchor>
        </w:drawing>
      </w:r>
    </w:p>
    <w:p>
      <w:pPr>
        <w:spacing w:after="0" w:line="232" w:lineRule="auto"/>
        <w:rPr>
          <w:sz w:val="20"/>
          <w:szCs w:val="20"/>
          <w:color w:val="auto"/>
        </w:rPr>
      </w:pPr>
      <w:r>
        <w:rPr>
          <w:rFonts w:ascii="Arial" w:cs="Arial" w:eastAsia="Arial" w:hAnsi="Arial"/>
          <w:sz w:val="10"/>
          <w:szCs w:val="10"/>
          <w:color w:val="auto"/>
        </w:rPr>
        <w:t>________________</w:t>
      </w:r>
    </w:p>
    <w:p>
      <w:pPr>
        <w:ind w:left="420" w:hanging="212"/>
        <w:spacing w:after="0"/>
        <w:tabs>
          <w:tab w:leader="none" w:pos="420" w:val="left"/>
        </w:tabs>
        <w:numPr>
          <w:ilvl w:val="0"/>
          <w:numId w:val="31"/>
        </w:numPr>
        <w:rPr>
          <w:rFonts w:ascii="Arial" w:cs="Arial" w:eastAsia="Arial" w:hAnsi="Arial"/>
          <w:sz w:val="8"/>
          <w:szCs w:val="8"/>
          <w:color w:val="auto"/>
        </w:rPr>
      </w:pPr>
      <w:r>
        <w:rPr>
          <w:rFonts w:ascii="Arial" w:cs="Arial" w:eastAsia="Arial" w:hAnsi="Arial"/>
          <w:sz w:val="8"/>
          <w:szCs w:val="8"/>
          <w:color w:val="auto"/>
        </w:rPr>
        <w:t>Spread sensitivity is derived from models that are dependent on inputs and assumptions provided by third parties, assumes there are no changes in interest rates and assumes a static portfolio. Actual results could differ materially from these estimates.</w:t>
      </w:r>
    </w:p>
    <w:p>
      <w:pPr>
        <w:spacing w:after="0" w:line="16" w:lineRule="exact"/>
        <w:rPr>
          <w:rFonts w:ascii="Arial" w:cs="Arial" w:eastAsia="Arial" w:hAnsi="Arial"/>
          <w:sz w:val="8"/>
          <w:szCs w:val="8"/>
          <w:color w:val="auto"/>
        </w:rPr>
      </w:pPr>
    </w:p>
    <w:p>
      <w:pPr>
        <w:ind w:left="420" w:hanging="212"/>
        <w:spacing w:after="0" w:line="225" w:lineRule="auto"/>
        <w:tabs>
          <w:tab w:leader="none" w:pos="420" w:val="left"/>
        </w:tabs>
        <w:numPr>
          <w:ilvl w:val="0"/>
          <w:numId w:val="31"/>
        </w:numPr>
        <w:rPr>
          <w:rFonts w:ascii="Arial" w:cs="Arial" w:eastAsia="Arial" w:hAnsi="Arial"/>
          <w:sz w:val="10"/>
          <w:szCs w:val="10"/>
          <w:color w:val="auto"/>
        </w:rPr>
      </w:pPr>
      <w:r>
        <w:rPr>
          <w:rFonts w:ascii="Arial" w:cs="Arial" w:eastAsia="Arial" w:hAnsi="Arial"/>
          <w:sz w:val="10"/>
          <w:szCs w:val="10"/>
          <w:color w:val="auto"/>
        </w:rPr>
        <w:t>Includes the effect of derivatives and other securities used for hedging purposes.</w:t>
      </w:r>
    </w:p>
    <w:p>
      <w:pPr>
        <w:ind w:left="420" w:hanging="212"/>
        <w:spacing w:after="0" w:line="225" w:lineRule="auto"/>
        <w:tabs>
          <w:tab w:leader="none" w:pos="420" w:val="left"/>
        </w:tabs>
        <w:numPr>
          <w:ilvl w:val="0"/>
          <w:numId w:val="31"/>
        </w:numPr>
        <w:rPr>
          <w:rFonts w:ascii="Arial" w:cs="Arial" w:eastAsia="Arial" w:hAnsi="Arial"/>
          <w:sz w:val="10"/>
          <w:szCs w:val="10"/>
          <w:color w:val="auto"/>
        </w:rPr>
      </w:pPr>
      <w:r>
        <w:rPr>
          <w:rFonts w:ascii="Arial" w:cs="Arial" w:eastAsia="Arial" w:hAnsi="Arial"/>
          <w:sz w:val="10"/>
          <w:szCs w:val="10"/>
          <w:color w:val="auto"/>
        </w:rPr>
        <w:t>Estimated dollar change in investment portfolio value expressed as a percent of the total fair value of our investment portfolio as of such date.</w:t>
      </w:r>
    </w:p>
    <w:p>
      <w:pPr>
        <w:ind w:left="420" w:hanging="212"/>
        <w:spacing w:after="0" w:line="236" w:lineRule="auto"/>
        <w:tabs>
          <w:tab w:leader="none" w:pos="420" w:val="left"/>
        </w:tabs>
        <w:numPr>
          <w:ilvl w:val="0"/>
          <w:numId w:val="31"/>
        </w:numPr>
        <w:rPr>
          <w:rFonts w:ascii="Arial" w:cs="Arial" w:eastAsia="Arial" w:hAnsi="Arial"/>
          <w:sz w:val="10"/>
          <w:szCs w:val="10"/>
          <w:color w:val="auto"/>
        </w:rPr>
      </w:pPr>
      <w:r>
        <w:rPr>
          <w:rFonts w:ascii="Arial" w:cs="Arial" w:eastAsia="Arial" w:hAnsi="Arial"/>
          <w:sz w:val="10"/>
          <w:szCs w:val="10"/>
          <w:color w:val="auto"/>
        </w:rPr>
        <w:t>Estimated dollar change in portfolio value expressed as a percent of stockholders' equity, net of the Series A and Series B Preferred Stock liquidation preference, as of such date.</w:t>
      </w:r>
    </w:p>
    <w:p>
      <w:pPr>
        <w:spacing w:after="0" w:line="9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Liquidity Risk</w:t>
      </w:r>
    </w:p>
    <w:p>
      <w:pPr>
        <w:spacing w:after="0" w:line="114" w:lineRule="exact"/>
        <w:rPr>
          <w:sz w:val="20"/>
          <w:szCs w:val="20"/>
          <w:color w:val="auto"/>
        </w:rPr>
      </w:pPr>
    </w:p>
    <w:p>
      <w:pPr>
        <w:jc w:val="both"/>
        <w:ind w:firstLine="288"/>
        <w:spacing w:after="0" w:line="283" w:lineRule="auto"/>
        <w:rPr>
          <w:sz w:val="20"/>
          <w:szCs w:val="20"/>
          <w:color w:val="auto"/>
        </w:rPr>
      </w:pPr>
      <w:r>
        <w:rPr>
          <w:rFonts w:ascii="Arial" w:cs="Arial" w:eastAsia="Arial" w:hAnsi="Arial"/>
          <w:sz w:val="11"/>
          <w:szCs w:val="11"/>
          <w:color w:val="auto"/>
        </w:rPr>
        <w:t>The primary liquidity risk for us arises from financing long-term assets with shorter-term borrowings through repurchase agreements, FHLB advances and other short-term funding agreements. As of September 30, 2016, we had unrestricted cash and cash equivalents of $1.3 billion and unpledged securities of approximately $2.2 billion, including securities pledged to us and unpledged interests in our consolidated VIEs, available to meet margin calls on our funding liabilities and derivative contracts and for other corporate purposes. However, should the value of our collateral or the value of our derivative instruments suddenly decrease, margin calls relating to our funding liabilities and derivative agreements could increase, causing an adverse change in our liquidity position. Furthermore, there is no assurance that we will always be able to renew (or roll) our short-term funding liabilities. In addition, our counterparties have the option to increase our haircuts (margin requirements) on the assets we pledge against our funding liabilities, thereby reducing the amount that can be borrowed against an asset even if they agree to renew or roll such funding liabilities. Significantly higher haircuts can reduce our ability to leverage our portfolio or even force us to sell assets, especially if correlated with asset price declines or faster prepayment rates on our assets.</w:t>
      </w:r>
    </w:p>
    <w:p>
      <w:pPr>
        <w:spacing w:after="0" w:line="78"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In addition, we often utilize TBA dollar roll transactions as a means of investing in and financing agency mortgage-backed securities. Under certain economic conditions it may be uneconomical to roll our TBA dollar roll transactions prior to the settlement date and we could have to take physical delivery of the underlying securities and settle our obligations for cash, which could negatively impact our liquidity position, result in defaults or force us to sell assets under adverse conditions.</w:t>
      </w:r>
    </w:p>
    <w:p>
      <w:pPr>
        <w:spacing w:after="0" w:line="87"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Extension Risk</w:t>
      </w:r>
    </w:p>
    <w:p>
      <w:pPr>
        <w:spacing w:after="0" w:line="114" w:lineRule="exact"/>
        <w:rPr>
          <w:sz w:val="20"/>
          <w:szCs w:val="20"/>
          <w:color w:val="auto"/>
        </w:rPr>
      </w:pPr>
    </w:p>
    <w:p>
      <w:pPr>
        <w:jc w:val="both"/>
        <w:ind w:firstLine="288"/>
        <w:spacing w:after="0" w:line="276" w:lineRule="auto"/>
        <w:rPr>
          <w:sz w:val="20"/>
          <w:szCs w:val="20"/>
          <w:color w:val="auto"/>
        </w:rPr>
      </w:pPr>
      <w:r>
        <w:rPr>
          <w:rFonts w:ascii="Arial" w:cs="Arial" w:eastAsia="Arial" w:hAnsi="Arial"/>
          <w:sz w:val="12"/>
          <w:szCs w:val="12"/>
          <w:color w:val="auto"/>
        </w:rPr>
        <w:t>The projected weighted-average life and estimated duration, or interest rate sensitivity, of our investments is based on our assumptions regarding the rate at which the borrowers will prepay the underlying mortgage loans. In general, we use interest rate</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53</w:t>
      </w:r>
    </w:p>
    <w:p>
      <w:pPr>
        <w:sectPr>
          <w:pgSz w:w="11900" w:h="16838" w:orient="portrait"/>
          <w:cols w:equalWidth="0" w:num="1">
            <w:col w:w="11480"/>
          </w:cols>
          <w:pgMar w:left="220" w:top="437" w:right="199" w:bottom="1440" w:gutter="0" w:footer="0" w:header="0"/>
        </w:sectPr>
      </w:pPr>
    </w:p>
    <w:bookmarkStart w:id="54" w:name="page55"/>
    <w:bookmarkEnd w:id="54"/>
    <w:p>
      <w:pPr>
        <w:jc w:val="both"/>
        <w:spacing w:after="0" w:line="276" w:lineRule="auto"/>
        <w:rPr>
          <w:sz w:val="20"/>
          <w:szCs w:val="20"/>
          <w:color w:val="auto"/>
        </w:rPr>
      </w:pPr>
      <w:r>
        <w:rPr>
          <w:rFonts w:ascii="Arial" w:cs="Arial" w:eastAsia="Arial" w:hAnsi="Arial"/>
          <w:sz w:val="12"/>
          <w:szCs w:val="12"/>
          <w:color w:val="auto"/>
        </w:rPr>
        <w:t>swaps and swaptions to help manage our funding cost on our investments in the event that interest rates rise. These swaps (or swaptions) allow us to reduce our funding exposure on the notional amount of the swap for a specified period of time by establishing a fixed rate to pay in exchange for receiving a floating rate that generally tracks our financing costs under our funding liabilities.</w:t>
      </w:r>
    </w:p>
    <w:p>
      <w:pPr>
        <w:spacing w:after="0" w:line="79"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However, if prepayment rates decrease in a rising interest rate environment, the average life or duration of our fixed rate assets generally extends. This could have a negative impact on our results from operations, as our interest rate swap maturities are fixed and will, therefore, cover a smaller percentage of our funding exposure on our mortgage assets to the extent that their average lives increase due to slower prepayments. This situation may also cause the market value of our fixed rate securities to decline by more than otherwise would be the case while most of our hedging instruments would not receive any incremental offsetting gains. In extreme situations, we may be forced to sell assets to maintain adequate liquidity, which could cause us to incur realized losses.</w:t>
      </w:r>
    </w:p>
    <w:p>
      <w:pPr>
        <w:spacing w:after="0" w:line="8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Credit Risk</w:t>
      </w:r>
    </w:p>
    <w:p>
      <w:pPr>
        <w:spacing w:after="0" w:line="114" w:lineRule="exact"/>
        <w:rPr>
          <w:sz w:val="20"/>
          <w:szCs w:val="20"/>
          <w:color w:val="auto"/>
        </w:rPr>
      </w:pPr>
    </w:p>
    <w:p>
      <w:pPr>
        <w:jc w:val="both"/>
        <w:ind w:firstLine="288"/>
        <w:spacing w:after="0" w:line="254" w:lineRule="auto"/>
        <w:rPr>
          <w:sz w:val="20"/>
          <w:szCs w:val="20"/>
          <w:color w:val="auto"/>
        </w:rPr>
      </w:pPr>
      <w:r>
        <w:rPr>
          <w:rFonts w:ascii="Arial" w:cs="Arial" w:eastAsia="Arial" w:hAnsi="Arial"/>
          <w:sz w:val="12"/>
          <w:szCs w:val="12"/>
          <w:color w:val="auto"/>
        </w:rPr>
        <w:t>We are exposed to credit risk related to our CRT and non-agency investments, certain derivative transactions, and our collateral held by funding and derivative counterparties. We accept credit exposure at levels we deem prudent as an integral part of our investment and hedging strategy. We seek to manage this risk through prudent asset selection, pre-acquisition due diligence, post-acquisition performance monitoring, sale of assets where we have identified negative credit trends and the use of various types of credit enhancements. We may also use non-recourse financing, which limits our exposure to credit losses to the specific pool of mortgages subject to the non-recourse financing. Our overall management of credit exposure may also include the use of credit default swaps or other financial derivatives that we believe are appropriate. Additionally, we intend to vary the percentage mix of our investments in an effort to actively adjust our credit exposure and to improve the risk/return profile of our investment portfolio. Our credit risk related to certain derivative transactions is largely mitigated through daily adjustments to collateral pledged based on changes in market value and we limit our counterparties to major financial institutions with acceptable credit ratings. There is no guarantee that our efforts to manage credit risk will be successful and we could suffer losses if credit performance is worse than our expectations or if economic conditions worsen.</w:t>
      </w:r>
    </w:p>
    <w:p>
      <w:pPr>
        <w:spacing w:after="0" w:line="95"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Inflation Risk</w:t>
      </w:r>
    </w:p>
    <w:p>
      <w:pPr>
        <w:spacing w:after="0" w:line="114" w:lineRule="exact"/>
        <w:rPr>
          <w:sz w:val="20"/>
          <w:szCs w:val="20"/>
          <w:color w:val="auto"/>
        </w:rPr>
      </w:pPr>
    </w:p>
    <w:p>
      <w:pPr>
        <w:jc w:val="both"/>
        <w:ind w:firstLine="288"/>
        <w:spacing w:after="0" w:line="298" w:lineRule="auto"/>
        <w:rPr>
          <w:sz w:val="20"/>
          <w:szCs w:val="20"/>
          <w:color w:val="auto"/>
        </w:rPr>
      </w:pPr>
      <w:r>
        <w:rPr>
          <w:rFonts w:ascii="Arial" w:cs="Arial" w:eastAsia="Arial" w:hAnsi="Arial"/>
          <w:sz w:val="11"/>
          <w:szCs w:val="11"/>
          <w:color w:val="auto"/>
        </w:rPr>
        <w:t>Virtually all of our assets and liabilities are interest rate sensitive in nature. As a result, interest rates and other factors influence our performance more so than does inflation. Changes in interest rates do not necessarily correlate with inflation rates or changes in inflation rates. Further, our consolidated financial statements are prepared in accordance with GAAP and our distributions are determined by our Board of Directors based in part on our net income as calculated for income tax purposes. In each case, our activities and consolidated balance sheets are measured with reference to historical cost and/or fair market value without considering inflation.</w:t>
      </w:r>
    </w:p>
    <w:p>
      <w:pPr>
        <w:spacing w:after="0" w:line="101"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4. </w:t>
      </w:r>
      <w:r>
        <w:rPr>
          <w:rFonts w:ascii="Arial" w:cs="Arial" w:eastAsia="Arial" w:hAnsi="Arial"/>
          <w:sz w:val="12"/>
          <w:szCs w:val="12"/>
          <w:b w:val="1"/>
          <w:bCs w:val="1"/>
          <w:i w:val="1"/>
          <w:iCs w:val="1"/>
          <w:color w:val="auto"/>
        </w:rPr>
        <w:t>Controls and Procedures</w:t>
      </w:r>
    </w:p>
    <w:p>
      <w:pPr>
        <w:spacing w:after="0" w:line="64" w:lineRule="exact"/>
        <w:rPr>
          <w:sz w:val="20"/>
          <w:szCs w:val="20"/>
          <w:color w:val="auto"/>
        </w:rPr>
      </w:pPr>
    </w:p>
    <w:p>
      <w:pPr>
        <w:jc w:val="both"/>
        <w:ind w:firstLine="288"/>
        <w:spacing w:after="0" w:line="286" w:lineRule="auto"/>
        <w:rPr>
          <w:sz w:val="20"/>
          <w:szCs w:val="20"/>
          <w:color w:val="auto"/>
        </w:rPr>
      </w:pPr>
      <w:r>
        <w:rPr>
          <w:rFonts w:ascii="Arial" w:cs="Arial" w:eastAsia="Arial" w:hAnsi="Arial"/>
          <w:sz w:val="11"/>
          <w:szCs w:val="11"/>
          <w:color w:val="auto"/>
        </w:rPr>
        <w:t>We maintain disclosure controls and procedures that are designed to ensure that information required to be disclosed in our Securities Exchange Act of 1934, as amended (the "Exchange Act") reports is recorded, processed, summarized and reported within the time periods specified in the SEC's rules and forms, and that such information is accumulated and communicated to our management, including our Chief Executive Officer and Chief Financial Officer, as appropriate, to allow timely decisions regarding required disclosure based on the definition of "disclosure controls and procedures" as promulgated under the Exchange Act and the rules and regulations thereunder. In designing and evaluating the disclosure controls and procedures, management recognized that any controls and procedures, no matter how well designed and operated, can provide only reasonable assurance of achieving the desired control objectives, and management necessarily was required to apply its judgment in evaluating the cost-benefit relationship of possible controls and procedures.</w:t>
      </w:r>
    </w:p>
    <w:p>
      <w:pPr>
        <w:spacing w:after="0" w:line="21" w:lineRule="exact"/>
        <w:rPr>
          <w:sz w:val="20"/>
          <w:szCs w:val="20"/>
          <w:color w:val="auto"/>
        </w:rPr>
      </w:pPr>
    </w:p>
    <w:p>
      <w:pPr>
        <w:jc w:val="both"/>
        <w:ind w:right="20" w:firstLine="288"/>
        <w:spacing w:after="0" w:line="276" w:lineRule="auto"/>
        <w:rPr>
          <w:sz w:val="20"/>
          <w:szCs w:val="20"/>
          <w:color w:val="auto"/>
        </w:rPr>
      </w:pPr>
      <w:r>
        <w:rPr>
          <w:rFonts w:ascii="Arial" w:cs="Arial" w:eastAsia="Arial" w:hAnsi="Arial"/>
          <w:sz w:val="12"/>
          <w:szCs w:val="12"/>
          <w:color w:val="auto"/>
        </w:rPr>
        <w:t>We, including our Chief Executive Officer and Chief Financial Officer, evaluated the effectiveness of the design and operation of our disclosure controls and procedures as of September 30, 2016. Based on the foregoing, our Chief Executive Officer and Chief Financial Officer concluded that our disclosure controls and procedures were effective.</w:t>
      </w:r>
    </w:p>
    <w:p>
      <w:pPr>
        <w:spacing w:after="0" w:line="43"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Changes in Internal Control over Financial Reporting</w:t>
      </w:r>
    </w:p>
    <w:p>
      <w:pPr>
        <w:spacing w:after="0" w:line="60" w:lineRule="exact"/>
        <w:rPr>
          <w:sz w:val="20"/>
          <w:szCs w:val="20"/>
          <w:color w:val="auto"/>
        </w:rPr>
      </w:pPr>
    </w:p>
    <w:p>
      <w:pPr>
        <w:jc w:val="both"/>
        <w:ind w:firstLine="288"/>
        <w:spacing w:after="0" w:line="259" w:lineRule="auto"/>
        <w:rPr>
          <w:sz w:val="20"/>
          <w:szCs w:val="20"/>
          <w:color w:val="auto"/>
        </w:rPr>
      </w:pPr>
      <w:r>
        <w:rPr>
          <w:rFonts w:ascii="Arial" w:cs="Arial" w:eastAsia="Arial" w:hAnsi="Arial"/>
          <w:sz w:val="12"/>
          <w:szCs w:val="12"/>
          <w:color w:val="auto"/>
        </w:rPr>
        <w:t>There have been no changes in our "internal control over financial reporting" (as defined in Rule 13a-15(f) of the Exchange Act) that occurred during the last fiscal quarter that have materially affected, or are reasonably likely to materially affect, our internal control over financial reporting. As previously disclosed, we completed the acquisition of AMM on July 1, 2016. Where appropriate, we are reviewing related internal controls and making changes to align and integrate AMM into our financial control environment. This initiative is being done as a part of our integration plan and is not in response to any identified deficiency or weakness in the Company’s or AMM’s internal control over financial reporting.</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54</w:t>
      </w:r>
    </w:p>
    <w:p>
      <w:pPr>
        <w:sectPr>
          <w:pgSz w:w="11900" w:h="16838" w:orient="portrait"/>
          <w:cols w:equalWidth="0" w:num="1">
            <w:col w:w="11480"/>
          </w:cols>
          <w:pgMar w:left="220" w:top="545" w:right="199" w:bottom="1440" w:gutter="0" w:footer="0" w:header="0"/>
        </w:sectPr>
      </w:pPr>
    </w:p>
    <w:bookmarkStart w:id="55" w:name="page56"/>
    <w:bookmarkEnd w:id="55"/>
    <w:p>
      <w:pPr>
        <w:jc w:val="center"/>
        <w:ind w:right="-127"/>
        <w:spacing w:after="0"/>
        <w:rPr>
          <w:sz w:val="20"/>
          <w:szCs w:val="20"/>
          <w:color w:val="auto"/>
        </w:rPr>
      </w:pPr>
      <w:r>
        <w:rPr>
          <w:rFonts w:ascii="Arial" w:cs="Arial" w:eastAsia="Arial" w:hAnsi="Arial"/>
          <w:sz w:val="12"/>
          <w:szCs w:val="12"/>
          <w:b w:val="1"/>
          <w:bCs w:val="1"/>
          <w:color w:val="auto"/>
        </w:rPr>
        <w:t>PART II.</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 xml:space="preserve">Item 1. </w:t>
      </w:r>
      <w:r>
        <w:rPr>
          <w:rFonts w:ascii="Arial" w:cs="Arial" w:eastAsia="Arial" w:hAnsi="Arial"/>
          <w:sz w:val="12"/>
          <w:szCs w:val="12"/>
          <w:b w:val="1"/>
          <w:bCs w:val="1"/>
          <w:i w:val="1"/>
          <w:iCs w:val="1"/>
          <w:color w:val="auto"/>
        </w:rPr>
        <w:t>Legal Proceedings</w:t>
      </w:r>
    </w:p>
    <w:p>
      <w:pPr>
        <w:spacing w:after="0" w:line="73" w:lineRule="exact"/>
        <w:rPr>
          <w:sz w:val="20"/>
          <w:szCs w:val="20"/>
          <w:color w:val="auto"/>
        </w:rPr>
      </w:pPr>
    </w:p>
    <w:p>
      <w:pPr>
        <w:ind w:left="8" w:right="120" w:firstLine="288"/>
        <w:spacing w:after="0" w:line="276" w:lineRule="auto"/>
        <w:rPr>
          <w:sz w:val="20"/>
          <w:szCs w:val="20"/>
          <w:color w:val="auto"/>
        </w:rPr>
      </w:pPr>
      <w:r>
        <w:rPr>
          <w:rFonts w:ascii="Arial" w:cs="Arial" w:eastAsia="Arial" w:hAnsi="Arial"/>
          <w:sz w:val="12"/>
          <w:szCs w:val="12"/>
          <w:color w:val="auto"/>
        </w:rPr>
        <w:t>From time to time, we may be involved in various claims and legal actions arising in the ordinary course of business. Neither we, nor any of our consolidated subsidiaries, are currently subject to any material litigation nor, to our knowledge, is any material litigation threatened against us or any consolidated subsidiary.</w:t>
      </w:r>
    </w:p>
    <w:p>
      <w:pPr>
        <w:spacing w:after="0" w:line="111"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 xml:space="preserve">Item 1A. </w:t>
      </w:r>
      <w:r>
        <w:rPr>
          <w:rFonts w:ascii="Arial" w:cs="Arial" w:eastAsia="Arial" w:hAnsi="Arial"/>
          <w:sz w:val="12"/>
          <w:szCs w:val="12"/>
          <w:b w:val="1"/>
          <w:bCs w:val="1"/>
          <w:i w:val="1"/>
          <w:iCs w:val="1"/>
          <w:color w:val="auto"/>
        </w:rPr>
        <w:t>Risk Factors</w:t>
      </w:r>
    </w:p>
    <w:p>
      <w:pPr>
        <w:spacing w:after="0" w:line="163" w:lineRule="exact"/>
        <w:rPr>
          <w:sz w:val="20"/>
          <w:szCs w:val="20"/>
          <w:color w:val="auto"/>
        </w:rPr>
      </w:pPr>
    </w:p>
    <w:p>
      <w:pPr>
        <w:ind w:left="288"/>
        <w:spacing w:after="0"/>
        <w:rPr>
          <w:sz w:val="20"/>
          <w:szCs w:val="20"/>
          <w:color w:val="auto"/>
        </w:rPr>
      </w:pPr>
      <w:r>
        <w:rPr>
          <w:rFonts w:ascii="Arial" w:cs="Arial" w:eastAsia="Arial" w:hAnsi="Arial"/>
          <w:sz w:val="12"/>
          <w:szCs w:val="12"/>
          <w:color w:val="auto"/>
        </w:rPr>
        <w:t>There have been no material changes to the risk factors previously disclosed in our Annual Report on Form 10-K for the year ended December 31, 2015.</w:t>
      </w:r>
    </w:p>
    <w:p>
      <w:pPr>
        <w:spacing w:after="0" w:line="14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 xml:space="preserve">Item 2. </w:t>
      </w:r>
      <w:r>
        <w:rPr>
          <w:rFonts w:ascii="Arial" w:cs="Arial" w:eastAsia="Arial" w:hAnsi="Arial"/>
          <w:sz w:val="12"/>
          <w:szCs w:val="12"/>
          <w:b w:val="1"/>
          <w:bCs w:val="1"/>
          <w:i w:val="1"/>
          <w:iCs w:val="1"/>
          <w:color w:val="auto"/>
        </w:rPr>
        <w:t>Unregistered Sales of Equity Securities and Use of Proceeds</w:t>
      </w:r>
    </w:p>
    <w:p>
      <w:pPr>
        <w:spacing w:after="0" w:line="64" w:lineRule="exact"/>
        <w:rPr>
          <w:sz w:val="20"/>
          <w:szCs w:val="20"/>
          <w:color w:val="auto"/>
        </w:rPr>
      </w:pPr>
    </w:p>
    <w:p>
      <w:pPr>
        <w:ind w:left="288"/>
        <w:spacing w:after="0"/>
        <w:rPr>
          <w:sz w:val="20"/>
          <w:szCs w:val="20"/>
          <w:color w:val="auto"/>
        </w:rPr>
      </w:pPr>
      <w:r>
        <w:rPr>
          <w:rFonts w:ascii="Arial" w:cs="Arial" w:eastAsia="Arial" w:hAnsi="Arial"/>
          <w:sz w:val="12"/>
          <w:szCs w:val="12"/>
          <w:color w:val="auto"/>
        </w:rPr>
        <w:t>None.</w:t>
      </w:r>
    </w:p>
    <w:p>
      <w:pPr>
        <w:spacing w:after="0" w:line="14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 xml:space="preserve">Item 3. </w:t>
      </w:r>
      <w:r>
        <w:rPr>
          <w:rFonts w:ascii="Arial" w:cs="Arial" w:eastAsia="Arial" w:hAnsi="Arial"/>
          <w:sz w:val="12"/>
          <w:szCs w:val="12"/>
          <w:b w:val="1"/>
          <w:bCs w:val="1"/>
          <w:i w:val="1"/>
          <w:iCs w:val="1"/>
          <w:color w:val="auto"/>
        </w:rPr>
        <w:t>Defaults upon Senior Securities</w:t>
      </w:r>
    </w:p>
    <w:p>
      <w:pPr>
        <w:spacing w:after="0" w:line="64" w:lineRule="exact"/>
        <w:rPr>
          <w:sz w:val="20"/>
          <w:szCs w:val="20"/>
          <w:color w:val="auto"/>
        </w:rPr>
      </w:pPr>
    </w:p>
    <w:p>
      <w:pPr>
        <w:ind w:left="288"/>
        <w:spacing w:after="0"/>
        <w:rPr>
          <w:sz w:val="20"/>
          <w:szCs w:val="20"/>
          <w:color w:val="auto"/>
        </w:rPr>
      </w:pPr>
      <w:r>
        <w:rPr>
          <w:rFonts w:ascii="Arial" w:cs="Arial" w:eastAsia="Arial" w:hAnsi="Arial"/>
          <w:sz w:val="12"/>
          <w:szCs w:val="12"/>
          <w:color w:val="auto"/>
        </w:rPr>
        <w:t>None.</w:t>
      </w:r>
    </w:p>
    <w:p>
      <w:pPr>
        <w:spacing w:after="0" w:line="14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 xml:space="preserve">Item 4. </w:t>
      </w:r>
      <w:r>
        <w:rPr>
          <w:rFonts w:ascii="Arial" w:cs="Arial" w:eastAsia="Arial" w:hAnsi="Arial"/>
          <w:sz w:val="12"/>
          <w:szCs w:val="12"/>
          <w:b w:val="1"/>
          <w:bCs w:val="1"/>
          <w:i w:val="1"/>
          <w:iCs w:val="1"/>
          <w:color w:val="auto"/>
        </w:rPr>
        <w:t>Mine Safety Disclosures</w:t>
      </w:r>
    </w:p>
    <w:p>
      <w:pPr>
        <w:spacing w:after="0" w:line="64" w:lineRule="exact"/>
        <w:rPr>
          <w:sz w:val="20"/>
          <w:szCs w:val="20"/>
          <w:color w:val="auto"/>
        </w:rPr>
      </w:pPr>
    </w:p>
    <w:p>
      <w:pPr>
        <w:ind w:left="288"/>
        <w:spacing w:after="0"/>
        <w:rPr>
          <w:sz w:val="20"/>
          <w:szCs w:val="20"/>
          <w:color w:val="auto"/>
        </w:rPr>
      </w:pPr>
      <w:r>
        <w:rPr>
          <w:rFonts w:ascii="Arial" w:cs="Arial" w:eastAsia="Arial" w:hAnsi="Arial"/>
          <w:sz w:val="12"/>
          <w:szCs w:val="12"/>
          <w:color w:val="auto"/>
        </w:rPr>
        <w:t>Not applicable.</w:t>
      </w:r>
    </w:p>
    <w:p>
      <w:pPr>
        <w:spacing w:after="0" w:line="14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 xml:space="preserve">Item 5. </w:t>
      </w:r>
      <w:r>
        <w:rPr>
          <w:rFonts w:ascii="Arial" w:cs="Arial" w:eastAsia="Arial" w:hAnsi="Arial"/>
          <w:sz w:val="12"/>
          <w:szCs w:val="12"/>
          <w:b w:val="1"/>
          <w:bCs w:val="1"/>
          <w:i w:val="1"/>
          <w:iCs w:val="1"/>
          <w:color w:val="auto"/>
        </w:rPr>
        <w:t>Other Information</w:t>
      </w:r>
    </w:p>
    <w:p>
      <w:pPr>
        <w:spacing w:after="0" w:line="109" w:lineRule="exact"/>
        <w:rPr>
          <w:sz w:val="20"/>
          <w:szCs w:val="20"/>
          <w:color w:val="auto"/>
        </w:rPr>
      </w:pPr>
    </w:p>
    <w:p>
      <w:pPr>
        <w:ind w:left="288"/>
        <w:spacing w:after="0"/>
        <w:rPr>
          <w:sz w:val="20"/>
          <w:szCs w:val="20"/>
          <w:color w:val="auto"/>
        </w:rPr>
      </w:pPr>
      <w:r>
        <w:rPr>
          <w:rFonts w:ascii="Arial" w:cs="Arial" w:eastAsia="Arial" w:hAnsi="Arial"/>
          <w:sz w:val="12"/>
          <w:szCs w:val="12"/>
          <w:color w:val="auto"/>
        </w:rPr>
        <w:t>None.</w:t>
      </w:r>
    </w:p>
    <w:p>
      <w:pPr>
        <w:spacing w:after="0" w:line="146" w:lineRule="exact"/>
        <w:rPr>
          <w:sz w:val="20"/>
          <w:szCs w:val="20"/>
          <w:color w:val="auto"/>
        </w:rPr>
      </w:pPr>
    </w:p>
    <w:p>
      <w:pPr>
        <w:ind w:left="8"/>
        <w:spacing w:after="0"/>
        <w:tabs>
          <w:tab w:leader="none" w:pos="488" w:val="left"/>
        </w:tabs>
        <w:rPr>
          <w:sz w:val="20"/>
          <w:szCs w:val="20"/>
          <w:color w:val="auto"/>
        </w:rPr>
      </w:pPr>
      <w:r>
        <w:rPr>
          <w:rFonts w:ascii="Arial" w:cs="Arial" w:eastAsia="Arial" w:hAnsi="Arial"/>
          <w:sz w:val="12"/>
          <w:szCs w:val="12"/>
          <w:b w:val="1"/>
          <w:bCs w:val="1"/>
          <w:color w:val="auto"/>
        </w:rPr>
        <w:t>Item 6.</w:t>
      </w:r>
      <w:r>
        <w:rPr>
          <w:sz w:val="20"/>
          <w:szCs w:val="20"/>
          <w:color w:val="auto"/>
        </w:rPr>
        <w:tab/>
      </w:r>
      <w:r>
        <w:rPr>
          <w:rFonts w:ascii="Arial" w:cs="Arial" w:eastAsia="Arial" w:hAnsi="Arial"/>
          <w:sz w:val="10"/>
          <w:szCs w:val="10"/>
          <w:b w:val="1"/>
          <w:bCs w:val="1"/>
          <w:i w:val="1"/>
          <w:iCs w:val="1"/>
          <w:color w:val="auto"/>
        </w:rPr>
        <w:t>Exhibits and Financial Statement Schedules</w:t>
      </w:r>
    </w:p>
    <w:p>
      <w:pPr>
        <w:spacing w:after="0" w:line="118" w:lineRule="exact"/>
        <w:rPr>
          <w:sz w:val="20"/>
          <w:szCs w:val="20"/>
          <w:color w:val="auto"/>
        </w:rPr>
      </w:pPr>
    </w:p>
    <w:p>
      <w:pPr>
        <w:ind w:left="248" w:hanging="248"/>
        <w:spacing w:after="0"/>
        <w:tabs>
          <w:tab w:leader="none" w:pos="248" w:val="left"/>
        </w:tabs>
        <w:numPr>
          <w:ilvl w:val="0"/>
          <w:numId w:val="32"/>
        </w:numPr>
        <w:rPr>
          <w:rFonts w:ascii="Arial" w:cs="Arial" w:eastAsia="Arial" w:hAnsi="Arial"/>
          <w:sz w:val="12"/>
          <w:szCs w:val="12"/>
          <w:color w:val="auto"/>
        </w:rPr>
      </w:pPr>
      <w:r>
        <w:rPr>
          <w:rFonts w:ascii="Arial" w:cs="Arial" w:eastAsia="Arial" w:hAnsi="Arial"/>
          <w:sz w:val="12"/>
          <w:szCs w:val="12"/>
          <w:color w:val="auto"/>
        </w:rPr>
        <w:t>Exhibit Index</w:t>
      </w:r>
    </w:p>
    <w:p>
      <w:pPr>
        <w:spacing w:after="0" w:line="109" w:lineRule="exact"/>
        <w:rPr>
          <w:sz w:val="20"/>
          <w:szCs w:val="20"/>
          <w:color w:val="auto"/>
        </w:rPr>
      </w:pPr>
    </w:p>
    <w:p>
      <w:pPr>
        <w:ind w:left="28"/>
        <w:spacing w:after="0"/>
        <w:tabs>
          <w:tab w:leader="none" w:pos="1268" w:val="left"/>
        </w:tabs>
        <w:rPr>
          <w:sz w:val="20"/>
          <w:szCs w:val="20"/>
          <w:color w:val="auto"/>
        </w:rPr>
      </w:pPr>
      <w:r>
        <w:rPr>
          <w:rFonts w:ascii="Arial" w:cs="Arial" w:eastAsia="Arial" w:hAnsi="Arial"/>
          <w:sz w:val="10"/>
          <w:szCs w:val="10"/>
          <w:b w:val="1"/>
          <w:bCs w:val="1"/>
          <w:u w:val="single" w:color="auto"/>
          <w:color w:val="auto"/>
        </w:rPr>
        <w:t>Exhibit No.</w:t>
      </w:r>
      <w:r>
        <w:rPr>
          <w:sz w:val="20"/>
          <w:szCs w:val="20"/>
          <w:color w:val="auto"/>
        </w:rPr>
        <w:tab/>
      </w:r>
      <w:r>
        <w:rPr>
          <w:rFonts w:ascii="Arial" w:cs="Arial" w:eastAsia="Arial" w:hAnsi="Arial"/>
          <w:sz w:val="8"/>
          <w:szCs w:val="8"/>
          <w:b w:val="1"/>
          <w:bCs w:val="1"/>
          <w:u w:val="single" w:color="auto"/>
          <w:color w:val="auto"/>
        </w:rPr>
        <w:t>Description</w:t>
      </w:r>
    </w:p>
    <w:p>
      <w:pPr>
        <w:spacing w:after="0" w:line="107" w:lineRule="exact"/>
        <w:rPr>
          <w:sz w:val="20"/>
          <w:szCs w:val="20"/>
          <w:color w:val="auto"/>
        </w:rPr>
      </w:pPr>
    </w:p>
    <w:p>
      <w:pPr>
        <w:ind w:left="1008"/>
        <w:spacing w:after="0"/>
        <w:tabs>
          <w:tab w:leader="none" w:pos="1268" w:val="left"/>
        </w:tabs>
        <w:rPr>
          <w:sz w:val="20"/>
          <w:szCs w:val="20"/>
          <w:color w:val="auto"/>
        </w:rPr>
      </w:pPr>
      <w:r>
        <w:rPr>
          <w:rFonts w:ascii="Arial" w:cs="Arial" w:eastAsia="Arial" w:hAnsi="Arial"/>
          <w:sz w:val="12"/>
          <w:szCs w:val="12"/>
          <w:color w:val="auto"/>
        </w:rPr>
        <w:t>3.1</w:t>
      </w:r>
      <w:r>
        <w:rPr>
          <w:sz w:val="20"/>
          <w:szCs w:val="20"/>
          <w:color w:val="auto"/>
        </w:rPr>
        <w:tab/>
      </w:r>
      <w:r>
        <w:rPr>
          <w:rFonts w:ascii="Arial" w:cs="Arial" w:eastAsia="Arial" w:hAnsi="Arial"/>
          <w:sz w:val="10"/>
          <w:szCs w:val="10"/>
          <w:color w:val="auto"/>
        </w:rPr>
        <w:t>AGNC Investment Corp. Amended and Restated Certificate of Incorporation, effective September 30, 2016, filed herewith.</w:t>
      </w:r>
    </w:p>
    <w:p>
      <w:pPr>
        <w:spacing w:after="0" w:line="123" w:lineRule="exact"/>
        <w:rPr>
          <w:sz w:val="20"/>
          <w:szCs w:val="20"/>
          <w:color w:val="auto"/>
        </w:rPr>
      </w:pPr>
    </w:p>
    <w:p>
      <w:pPr>
        <w:ind w:left="1008"/>
        <w:spacing w:after="0"/>
        <w:tabs>
          <w:tab w:leader="none" w:pos="1268" w:val="left"/>
        </w:tabs>
        <w:rPr>
          <w:sz w:val="20"/>
          <w:szCs w:val="20"/>
          <w:color w:val="auto"/>
        </w:rPr>
      </w:pPr>
      <w:r>
        <w:rPr>
          <w:rFonts w:ascii="Arial" w:cs="Arial" w:eastAsia="Arial" w:hAnsi="Arial"/>
          <w:sz w:val="12"/>
          <w:szCs w:val="12"/>
          <w:color w:val="auto"/>
        </w:rPr>
        <w:t>3.2</w:t>
      </w:r>
      <w:r>
        <w:rPr>
          <w:sz w:val="20"/>
          <w:szCs w:val="20"/>
          <w:color w:val="auto"/>
        </w:rPr>
        <w:tab/>
      </w:r>
      <w:r>
        <w:rPr>
          <w:rFonts w:ascii="Arial" w:cs="Arial" w:eastAsia="Arial" w:hAnsi="Arial"/>
          <w:sz w:val="10"/>
          <w:szCs w:val="10"/>
          <w:color w:val="auto"/>
        </w:rPr>
        <w:t>AGNC Investment Corp. Third Amended and Restated Bylaws, effective September 30, 2016, filed herewith.</w:t>
      </w:r>
    </w:p>
    <w:p>
      <w:pPr>
        <w:spacing w:after="0" w:line="123" w:lineRule="exact"/>
        <w:rPr>
          <w:sz w:val="20"/>
          <w:szCs w:val="20"/>
          <w:color w:val="auto"/>
        </w:rPr>
      </w:pPr>
    </w:p>
    <w:p>
      <w:pPr>
        <w:ind w:left="948"/>
        <w:spacing w:after="0"/>
        <w:tabs>
          <w:tab w:leader="none" w:pos="1268" w:val="left"/>
        </w:tabs>
        <w:rPr>
          <w:sz w:val="20"/>
          <w:szCs w:val="20"/>
          <w:color w:val="auto"/>
        </w:rPr>
      </w:pPr>
      <w:r>
        <w:rPr>
          <w:rFonts w:ascii="Arial" w:cs="Arial" w:eastAsia="Arial" w:hAnsi="Arial"/>
          <w:sz w:val="12"/>
          <w:szCs w:val="12"/>
          <w:color w:val="auto"/>
        </w:rPr>
        <w:t>*3.3</w:t>
      </w:r>
      <w:r>
        <w:rPr>
          <w:sz w:val="20"/>
          <w:szCs w:val="20"/>
          <w:color w:val="auto"/>
        </w:rPr>
        <w:tab/>
      </w:r>
      <w:r>
        <w:rPr>
          <w:rFonts w:ascii="Arial" w:cs="Arial" w:eastAsia="Arial" w:hAnsi="Arial"/>
          <w:sz w:val="11"/>
          <w:szCs w:val="11"/>
          <w:color w:val="auto"/>
        </w:rPr>
        <w:t>Certificate of Designations of 8.000% Series A Cumulative Redeemable Preferred Stock, incorporated herein by reference to Exhibit 3.1 of Form 8-K (File No 001-34057), filed April 3, 2012.</w:t>
      </w:r>
    </w:p>
    <w:p>
      <w:pPr>
        <w:spacing w:after="0" w:line="123" w:lineRule="exact"/>
        <w:rPr>
          <w:sz w:val="20"/>
          <w:szCs w:val="20"/>
          <w:color w:val="auto"/>
        </w:rPr>
      </w:pPr>
    </w:p>
    <w:p>
      <w:pPr>
        <w:ind w:left="948"/>
        <w:spacing w:after="0"/>
        <w:tabs>
          <w:tab w:leader="none" w:pos="1268" w:val="left"/>
        </w:tabs>
        <w:rPr>
          <w:sz w:val="20"/>
          <w:szCs w:val="20"/>
          <w:color w:val="auto"/>
        </w:rPr>
      </w:pPr>
      <w:r>
        <w:rPr>
          <w:rFonts w:ascii="Arial" w:cs="Arial" w:eastAsia="Arial" w:hAnsi="Arial"/>
          <w:sz w:val="12"/>
          <w:szCs w:val="12"/>
          <w:color w:val="auto"/>
        </w:rPr>
        <w:t>*3.4</w:t>
      </w:r>
      <w:r>
        <w:rPr>
          <w:sz w:val="20"/>
          <w:szCs w:val="20"/>
          <w:color w:val="auto"/>
        </w:rPr>
        <w:tab/>
      </w:r>
      <w:r>
        <w:rPr>
          <w:rFonts w:ascii="Arial" w:cs="Arial" w:eastAsia="Arial" w:hAnsi="Arial"/>
          <w:sz w:val="11"/>
          <w:szCs w:val="11"/>
          <w:color w:val="auto"/>
        </w:rPr>
        <w:t>Certificate of Designations of 7.750% Series B Cumulative Redeemable Preferred Stock, incorporated herein by reference to Exhibit 3.3 of Form 8-A (File No. 001-34057), filed May 7, 2014.</w:t>
      </w:r>
    </w:p>
    <w:p>
      <w:pPr>
        <w:spacing w:after="0" w:line="123" w:lineRule="exact"/>
        <w:rPr>
          <w:sz w:val="20"/>
          <w:szCs w:val="20"/>
          <w:color w:val="auto"/>
        </w:rPr>
      </w:pPr>
    </w:p>
    <w:p>
      <w:pPr>
        <w:ind w:left="1008"/>
        <w:spacing w:after="0"/>
        <w:tabs>
          <w:tab w:leader="none" w:pos="1268" w:val="left"/>
        </w:tabs>
        <w:rPr>
          <w:sz w:val="20"/>
          <w:szCs w:val="20"/>
          <w:color w:val="auto"/>
        </w:rPr>
      </w:pPr>
      <w:r>
        <w:rPr>
          <w:rFonts w:ascii="Arial" w:cs="Arial" w:eastAsia="Arial" w:hAnsi="Arial"/>
          <w:sz w:val="12"/>
          <w:szCs w:val="12"/>
          <w:color w:val="auto"/>
        </w:rPr>
        <w:t>4.1</w:t>
      </w:r>
      <w:r>
        <w:rPr>
          <w:sz w:val="20"/>
          <w:szCs w:val="20"/>
          <w:color w:val="auto"/>
        </w:rPr>
        <w:tab/>
      </w:r>
      <w:r>
        <w:rPr>
          <w:rFonts w:ascii="Arial" w:cs="Arial" w:eastAsia="Arial" w:hAnsi="Arial"/>
          <w:sz w:val="11"/>
          <w:szCs w:val="11"/>
          <w:color w:val="auto"/>
        </w:rPr>
        <w:t>Instruments defining the rights of holders of securities: See Article IV of our Amended and Restated Certificate of Incorporation, filed herewith.</w:t>
      </w:r>
    </w:p>
    <w:p>
      <w:pPr>
        <w:spacing w:after="0" w:line="123" w:lineRule="exact"/>
        <w:rPr>
          <w:sz w:val="20"/>
          <w:szCs w:val="20"/>
          <w:color w:val="auto"/>
        </w:rPr>
      </w:pPr>
    </w:p>
    <w:p>
      <w:pPr>
        <w:ind w:left="1008"/>
        <w:spacing w:after="0"/>
        <w:tabs>
          <w:tab w:leader="none" w:pos="1268" w:val="left"/>
        </w:tabs>
        <w:rPr>
          <w:sz w:val="20"/>
          <w:szCs w:val="20"/>
          <w:color w:val="auto"/>
        </w:rPr>
      </w:pPr>
      <w:r>
        <w:rPr>
          <w:rFonts w:ascii="Arial" w:cs="Arial" w:eastAsia="Arial" w:hAnsi="Arial"/>
          <w:sz w:val="12"/>
          <w:szCs w:val="12"/>
          <w:color w:val="auto"/>
        </w:rPr>
        <w:t>4.2</w:t>
      </w:r>
      <w:r>
        <w:rPr>
          <w:sz w:val="20"/>
          <w:szCs w:val="20"/>
          <w:color w:val="auto"/>
        </w:rPr>
        <w:tab/>
      </w:r>
      <w:r>
        <w:rPr>
          <w:rFonts w:ascii="Arial" w:cs="Arial" w:eastAsia="Arial" w:hAnsi="Arial"/>
          <w:sz w:val="11"/>
          <w:szCs w:val="11"/>
          <w:color w:val="auto"/>
        </w:rPr>
        <w:t>Instruments defining the rights of holders of securities: See Article VI of our Third Amended and Restated Bylaws, filed herewith.</w:t>
      </w:r>
    </w:p>
    <w:p>
      <w:pPr>
        <w:spacing w:after="0" w:line="123" w:lineRule="exact"/>
        <w:rPr>
          <w:sz w:val="20"/>
          <w:szCs w:val="20"/>
          <w:color w:val="auto"/>
        </w:rPr>
      </w:pPr>
    </w:p>
    <w:p>
      <w:pPr>
        <w:ind w:left="1008"/>
        <w:spacing w:after="0"/>
        <w:tabs>
          <w:tab w:leader="none" w:pos="1268" w:val="left"/>
        </w:tabs>
        <w:rPr>
          <w:sz w:val="20"/>
          <w:szCs w:val="20"/>
          <w:color w:val="auto"/>
        </w:rPr>
      </w:pPr>
      <w:r>
        <w:rPr>
          <w:rFonts w:ascii="Arial" w:cs="Arial" w:eastAsia="Arial" w:hAnsi="Arial"/>
          <w:sz w:val="12"/>
          <w:szCs w:val="12"/>
          <w:color w:val="auto"/>
        </w:rPr>
        <w:t>4.3</w:t>
      </w:r>
      <w:r>
        <w:rPr>
          <w:sz w:val="20"/>
          <w:szCs w:val="20"/>
          <w:color w:val="auto"/>
        </w:rPr>
        <w:tab/>
      </w:r>
      <w:r>
        <w:rPr>
          <w:rFonts w:ascii="Arial" w:cs="Arial" w:eastAsia="Arial" w:hAnsi="Arial"/>
          <w:sz w:val="11"/>
          <w:szCs w:val="11"/>
          <w:color w:val="auto"/>
        </w:rPr>
        <w:t>Form of Certificate for Common Stock, filed herewith.</w:t>
      </w:r>
    </w:p>
    <w:p>
      <w:pPr>
        <w:spacing w:after="0" w:line="123" w:lineRule="exact"/>
        <w:rPr>
          <w:sz w:val="20"/>
          <w:szCs w:val="20"/>
          <w:color w:val="auto"/>
        </w:rPr>
      </w:pPr>
    </w:p>
    <w:p>
      <w:pPr>
        <w:ind w:left="948"/>
        <w:spacing w:after="0"/>
        <w:tabs>
          <w:tab w:leader="none" w:pos="1268" w:val="left"/>
        </w:tabs>
        <w:rPr>
          <w:sz w:val="20"/>
          <w:szCs w:val="20"/>
          <w:color w:val="auto"/>
        </w:rPr>
      </w:pPr>
      <w:r>
        <w:rPr>
          <w:rFonts w:ascii="Arial" w:cs="Arial" w:eastAsia="Arial" w:hAnsi="Arial"/>
          <w:sz w:val="12"/>
          <w:szCs w:val="12"/>
          <w:color w:val="auto"/>
        </w:rPr>
        <w:t>*4.4</w:t>
      </w:r>
      <w:r>
        <w:rPr>
          <w:sz w:val="20"/>
          <w:szCs w:val="20"/>
          <w:color w:val="auto"/>
        </w:rPr>
        <w:tab/>
      </w:r>
      <w:r>
        <w:rPr>
          <w:rFonts w:ascii="Arial" w:cs="Arial" w:eastAsia="Arial" w:hAnsi="Arial"/>
          <w:sz w:val="11"/>
          <w:szCs w:val="11"/>
          <w:color w:val="auto"/>
        </w:rPr>
        <w:t>Specimen 8.000% Series A Cumulative Redeemable Preferred Stock Certificate, incorporated herein by reference to Exhibit 4.1 of Form 8-K (File No. 001-34057), filed April 3, 2012.</w:t>
      </w:r>
    </w:p>
    <w:p>
      <w:pPr>
        <w:spacing w:after="0" w:line="123" w:lineRule="exact"/>
        <w:rPr>
          <w:sz w:val="20"/>
          <w:szCs w:val="20"/>
          <w:color w:val="auto"/>
        </w:rPr>
      </w:pPr>
    </w:p>
    <w:p>
      <w:pPr>
        <w:ind w:left="948"/>
        <w:spacing w:after="0"/>
        <w:tabs>
          <w:tab w:leader="none" w:pos="1268" w:val="left"/>
        </w:tabs>
        <w:rPr>
          <w:sz w:val="20"/>
          <w:szCs w:val="20"/>
          <w:color w:val="auto"/>
        </w:rPr>
      </w:pPr>
      <w:r>
        <w:rPr>
          <w:rFonts w:ascii="Arial" w:cs="Arial" w:eastAsia="Arial" w:hAnsi="Arial"/>
          <w:sz w:val="12"/>
          <w:szCs w:val="12"/>
          <w:color w:val="auto"/>
        </w:rPr>
        <w:t>*4.5</w:t>
      </w:r>
      <w:r>
        <w:rPr>
          <w:sz w:val="20"/>
          <w:szCs w:val="20"/>
          <w:color w:val="auto"/>
        </w:rPr>
        <w:tab/>
      </w:r>
      <w:r>
        <w:rPr>
          <w:rFonts w:ascii="Arial" w:cs="Arial" w:eastAsia="Arial" w:hAnsi="Arial"/>
          <w:sz w:val="10"/>
          <w:szCs w:val="10"/>
          <w:color w:val="auto"/>
        </w:rPr>
        <w:t>Specimen 7.750% Series B Cumulative Redeemable Preferred Stock Certificate, incorporated herein by reference to Exhibit 4.1 of Form 8-A (File No. 001-34057), filed May 7, 2014.</w:t>
      </w:r>
    </w:p>
    <w:p>
      <w:pPr>
        <w:spacing w:after="0" w:line="123" w:lineRule="exact"/>
        <w:rPr>
          <w:sz w:val="20"/>
          <w:szCs w:val="20"/>
          <w:color w:val="auto"/>
        </w:rPr>
      </w:pPr>
    </w:p>
    <w:p>
      <w:pPr>
        <w:ind w:left="948"/>
        <w:spacing w:after="0"/>
        <w:tabs>
          <w:tab w:leader="none" w:pos="1268" w:val="left"/>
        </w:tabs>
        <w:rPr>
          <w:sz w:val="20"/>
          <w:szCs w:val="20"/>
          <w:color w:val="auto"/>
        </w:rPr>
      </w:pPr>
      <w:r>
        <w:rPr>
          <w:rFonts w:ascii="Arial" w:cs="Arial" w:eastAsia="Arial" w:hAnsi="Arial"/>
          <w:sz w:val="12"/>
          <w:szCs w:val="12"/>
          <w:color w:val="auto"/>
        </w:rPr>
        <w:t>*4.6</w:t>
      </w:r>
      <w:r>
        <w:rPr>
          <w:sz w:val="20"/>
          <w:szCs w:val="20"/>
          <w:color w:val="auto"/>
        </w:rPr>
        <w:tab/>
      </w:r>
      <w:r>
        <w:rPr>
          <w:rFonts w:ascii="Arial" w:cs="Arial" w:eastAsia="Arial" w:hAnsi="Arial"/>
          <w:sz w:val="10"/>
          <w:szCs w:val="10"/>
          <w:color w:val="auto"/>
        </w:rPr>
        <w:t>Deposit Agreement, dated May 8, 2014, among American Capital Agency Corp., Computershare Inc. and Computershare Trust Company, N.A., jointly as depositary, incorporated herein by reference to Exhibit</w:t>
      </w:r>
    </w:p>
    <w:p>
      <w:pPr>
        <w:spacing w:after="0" w:line="15" w:lineRule="exact"/>
        <w:rPr>
          <w:sz w:val="20"/>
          <w:szCs w:val="20"/>
          <w:color w:val="auto"/>
        </w:rPr>
      </w:pPr>
    </w:p>
    <w:p>
      <w:pPr>
        <w:ind w:left="1288"/>
        <w:spacing w:after="0"/>
        <w:rPr>
          <w:sz w:val="20"/>
          <w:szCs w:val="20"/>
          <w:color w:val="auto"/>
        </w:rPr>
      </w:pPr>
      <w:r>
        <w:rPr>
          <w:rFonts w:ascii="Arial" w:cs="Arial" w:eastAsia="Arial" w:hAnsi="Arial"/>
          <w:sz w:val="12"/>
          <w:szCs w:val="12"/>
          <w:color w:val="auto"/>
        </w:rPr>
        <w:t>4.2 of Form 8-K (File No. 001-34067), filed May 8, 2014.</w:t>
      </w:r>
    </w:p>
    <w:p>
      <w:pPr>
        <w:spacing w:after="0" w:line="114" w:lineRule="exact"/>
        <w:rPr>
          <w:sz w:val="20"/>
          <w:szCs w:val="20"/>
          <w:color w:val="auto"/>
        </w:rPr>
      </w:pPr>
    </w:p>
    <w:p>
      <w:pPr>
        <w:ind w:left="948"/>
        <w:spacing w:after="0"/>
        <w:tabs>
          <w:tab w:leader="none" w:pos="1268" w:val="left"/>
        </w:tabs>
        <w:rPr>
          <w:sz w:val="20"/>
          <w:szCs w:val="20"/>
          <w:color w:val="auto"/>
        </w:rPr>
      </w:pPr>
      <w:r>
        <w:rPr>
          <w:rFonts w:ascii="Arial" w:cs="Arial" w:eastAsia="Arial" w:hAnsi="Arial"/>
          <w:sz w:val="12"/>
          <w:szCs w:val="12"/>
          <w:color w:val="auto"/>
        </w:rPr>
        <w:t>*4.7</w:t>
      </w:r>
      <w:r>
        <w:rPr>
          <w:sz w:val="20"/>
          <w:szCs w:val="20"/>
          <w:color w:val="auto"/>
        </w:rPr>
        <w:tab/>
      </w:r>
      <w:r>
        <w:rPr>
          <w:rFonts w:ascii="Arial" w:cs="Arial" w:eastAsia="Arial" w:hAnsi="Arial"/>
          <w:sz w:val="11"/>
          <w:szCs w:val="11"/>
          <w:color w:val="auto"/>
        </w:rPr>
        <w:t>Form of Depositary Receipt, incorporated herein by reference to Exhibit 4.3 of Form 8-K (File No. 001-34067), filed May 8, 2014.</w:t>
      </w:r>
    </w:p>
    <w:p>
      <w:pPr>
        <w:spacing w:after="0" w:line="267" w:lineRule="exact"/>
        <w:rPr>
          <w:sz w:val="20"/>
          <w:szCs w:val="20"/>
          <w:color w:val="auto"/>
        </w:rPr>
      </w:pPr>
    </w:p>
    <w:p>
      <w:pPr>
        <w:jc w:val="center"/>
        <w:ind w:right="-147"/>
        <w:spacing w:after="0"/>
        <w:rPr>
          <w:sz w:val="20"/>
          <w:szCs w:val="20"/>
          <w:color w:val="auto"/>
        </w:rPr>
      </w:pPr>
      <w:r>
        <w:rPr>
          <w:rFonts w:ascii="Arial" w:cs="Arial" w:eastAsia="Arial" w:hAnsi="Arial"/>
          <w:sz w:val="12"/>
          <w:szCs w:val="12"/>
          <w:color w:val="auto"/>
        </w:rPr>
        <w:t>55</w:t>
      </w:r>
    </w:p>
    <w:p>
      <w:pPr>
        <w:sectPr>
          <w:pgSz w:w="11900" w:h="16838" w:orient="portrait"/>
          <w:cols w:equalWidth="0" w:num="1">
            <w:col w:w="11348"/>
          </w:cols>
          <w:pgMar w:left="212" w:top="433" w:right="339" w:bottom="1440" w:gutter="0" w:footer="0" w:header="0"/>
        </w:sectPr>
      </w:pPr>
    </w:p>
    <w:bookmarkStart w:id="56" w:name="page57"/>
    <w:bookmarkEnd w:id="56"/>
    <w:tbl>
      <w:tblPr>
        <w:tblLayout w:type="fixed"/>
        <w:tblInd w:w="588" w:type="dxa"/>
        <w:tblCellMar>
          <w:top w:w="0" w:type="dxa"/>
          <w:left w:w="0" w:type="dxa"/>
          <w:bottom w:w="0" w:type="dxa"/>
          <w:right w:w="0" w:type="dxa"/>
        </w:tblCellMar>
      </w:tblPr>
      <w:tr>
        <w:trPr>
          <w:trHeight w:val="144"/>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*10.1</w:t>
            </w:r>
          </w:p>
        </w:tc>
        <w:tc>
          <w:tcPr>
            <w:tcW w:w="10200" w:type="dxa"/>
            <w:vAlign w:val="bottom"/>
          </w:tcPr>
          <w:p>
            <w:pPr>
              <w:ind w:left="60"/>
              <w:spacing w:after="0"/>
              <w:rPr>
                <w:sz w:val="20"/>
                <w:szCs w:val="20"/>
                <w:color w:val="auto"/>
              </w:rPr>
            </w:pPr>
            <w:r>
              <w:rPr>
                <w:rFonts w:ascii="Arial" w:cs="Arial" w:eastAsia="Arial" w:hAnsi="Arial"/>
                <w:sz w:val="12"/>
                <w:szCs w:val="12"/>
                <w:color w:val="auto"/>
                <w:w w:val="90"/>
              </w:rPr>
              <w:t>Employment Agreement, dated September 22, 2014, as amended on July 1, 2016, by and between American Capital Mortgage Management, LLC and Gary Kain, incorporated herein by reference to Exhibit 10.1</w:t>
            </w:r>
          </w:p>
        </w:tc>
      </w:tr>
      <w:tr>
        <w:trPr>
          <w:trHeight w:val="153"/>
        </w:trPr>
        <w:tc>
          <w:tcPr>
            <w:tcW w:w="640" w:type="dxa"/>
            <w:vAlign w:val="bottom"/>
          </w:tcPr>
          <w:p>
            <w:pPr>
              <w:spacing w:after="0"/>
              <w:rPr>
                <w:sz w:val="13"/>
                <w:szCs w:val="13"/>
                <w:color w:val="auto"/>
              </w:rPr>
            </w:pPr>
          </w:p>
        </w:tc>
        <w:tc>
          <w:tcPr>
            <w:tcW w:w="10200" w:type="dxa"/>
            <w:vAlign w:val="bottom"/>
          </w:tcPr>
          <w:p>
            <w:pPr>
              <w:ind w:left="60"/>
              <w:spacing w:after="0"/>
              <w:rPr>
                <w:sz w:val="20"/>
                <w:szCs w:val="20"/>
                <w:color w:val="auto"/>
              </w:rPr>
            </w:pPr>
            <w:r>
              <w:rPr>
                <w:rFonts w:ascii="Arial" w:cs="Arial" w:eastAsia="Arial" w:hAnsi="Arial"/>
                <w:sz w:val="12"/>
                <w:szCs w:val="12"/>
                <w:color w:val="auto"/>
              </w:rPr>
              <w:t>of Form 8-K (File No. 001-34057), filed July 8, 2016.</w:t>
            </w:r>
          </w:p>
        </w:tc>
      </w:tr>
      <w:tr>
        <w:trPr>
          <w:trHeight w:val="252"/>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*10.2</w:t>
            </w:r>
          </w:p>
        </w:tc>
        <w:tc>
          <w:tcPr>
            <w:tcW w:w="10200" w:type="dxa"/>
            <w:vAlign w:val="bottom"/>
          </w:tcPr>
          <w:p>
            <w:pPr>
              <w:ind w:left="60"/>
              <w:spacing w:after="0"/>
              <w:rPr>
                <w:sz w:val="20"/>
                <w:szCs w:val="20"/>
                <w:color w:val="auto"/>
              </w:rPr>
            </w:pPr>
            <w:r>
              <w:rPr>
                <w:rFonts w:ascii="Arial" w:cs="Arial" w:eastAsia="Arial" w:hAnsi="Arial"/>
                <w:sz w:val="12"/>
                <w:szCs w:val="12"/>
                <w:color w:val="auto"/>
                <w:w w:val="91"/>
              </w:rPr>
              <w:t>Employment Agreement, dated March 30, 2012, as amended on July 1, 2016, by and between American Capital Mortgage Management, LLC and Peter J. Federico, incorporated herein by reference to Exhibit</w:t>
            </w:r>
          </w:p>
        </w:tc>
      </w:tr>
      <w:tr>
        <w:trPr>
          <w:trHeight w:val="153"/>
        </w:trPr>
        <w:tc>
          <w:tcPr>
            <w:tcW w:w="640" w:type="dxa"/>
            <w:vAlign w:val="bottom"/>
          </w:tcPr>
          <w:p>
            <w:pPr>
              <w:spacing w:after="0"/>
              <w:rPr>
                <w:sz w:val="13"/>
                <w:szCs w:val="13"/>
                <w:color w:val="auto"/>
              </w:rPr>
            </w:pPr>
          </w:p>
        </w:tc>
        <w:tc>
          <w:tcPr>
            <w:tcW w:w="10200" w:type="dxa"/>
            <w:vAlign w:val="bottom"/>
          </w:tcPr>
          <w:p>
            <w:pPr>
              <w:ind w:left="60"/>
              <w:spacing w:after="0"/>
              <w:rPr>
                <w:sz w:val="20"/>
                <w:szCs w:val="20"/>
                <w:color w:val="auto"/>
              </w:rPr>
            </w:pPr>
            <w:r>
              <w:rPr>
                <w:rFonts w:ascii="Arial" w:cs="Arial" w:eastAsia="Arial" w:hAnsi="Arial"/>
                <w:sz w:val="12"/>
                <w:szCs w:val="12"/>
                <w:color w:val="auto"/>
              </w:rPr>
              <w:t>10.2 of Form 8-K (File No. 001-34057), filed July 8, 2016.</w:t>
            </w:r>
          </w:p>
        </w:tc>
      </w:tr>
      <w:tr>
        <w:trPr>
          <w:trHeight w:val="252"/>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*10.3</w:t>
            </w:r>
          </w:p>
        </w:tc>
        <w:tc>
          <w:tcPr>
            <w:tcW w:w="10200" w:type="dxa"/>
            <w:vAlign w:val="bottom"/>
          </w:tcPr>
          <w:p>
            <w:pPr>
              <w:ind w:left="60"/>
              <w:spacing w:after="0"/>
              <w:rPr>
                <w:sz w:val="20"/>
                <w:szCs w:val="20"/>
                <w:color w:val="auto"/>
              </w:rPr>
            </w:pPr>
            <w:r>
              <w:rPr>
                <w:rFonts w:ascii="Arial" w:cs="Arial" w:eastAsia="Arial" w:hAnsi="Arial"/>
                <w:sz w:val="12"/>
                <w:szCs w:val="12"/>
                <w:color w:val="auto"/>
                <w:w w:val="93"/>
              </w:rPr>
              <w:t>Employment Agreement, dated March 30, 2012, as amended on July 1, 2016, by and between American Capital Mortgage Management, LLC and Christopher J. Kuehl, incorporated herein by reference to</w:t>
            </w:r>
          </w:p>
        </w:tc>
      </w:tr>
      <w:tr>
        <w:trPr>
          <w:trHeight w:val="153"/>
        </w:trPr>
        <w:tc>
          <w:tcPr>
            <w:tcW w:w="640" w:type="dxa"/>
            <w:vAlign w:val="bottom"/>
          </w:tcPr>
          <w:p>
            <w:pPr>
              <w:spacing w:after="0"/>
              <w:rPr>
                <w:sz w:val="13"/>
                <w:szCs w:val="13"/>
                <w:color w:val="auto"/>
              </w:rPr>
            </w:pPr>
          </w:p>
        </w:tc>
        <w:tc>
          <w:tcPr>
            <w:tcW w:w="10200" w:type="dxa"/>
            <w:vAlign w:val="bottom"/>
          </w:tcPr>
          <w:p>
            <w:pPr>
              <w:ind w:left="60"/>
              <w:spacing w:after="0"/>
              <w:rPr>
                <w:sz w:val="20"/>
                <w:szCs w:val="20"/>
                <w:color w:val="auto"/>
              </w:rPr>
            </w:pPr>
            <w:r>
              <w:rPr>
                <w:rFonts w:ascii="Arial" w:cs="Arial" w:eastAsia="Arial" w:hAnsi="Arial"/>
                <w:sz w:val="12"/>
                <w:szCs w:val="12"/>
                <w:color w:val="auto"/>
              </w:rPr>
              <w:t>Exhibit 10.3 of Form 8-K (File No. 001-34057), filed July 8, 2016.</w:t>
            </w:r>
          </w:p>
        </w:tc>
      </w:tr>
      <w:tr>
        <w:trPr>
          <w:trHeight w:val="252"/>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*10.4</w:t>
            </w:r>
          </w:p>
        </w:tc>
        <w:tc>
          <w:tcPr>
            <w:tcW w:w="10200" w:type="dxa"/>
            <w:vAlign w:val="bottom"/>
          </w:tcPr>
          <w:p>
            <w:pPr>
              <w:ind w:left="60"/>
              <w:spacing w:after="0"/>
              <w:rPr>
                <w:sz w:val="20"/>
                <w:szCs w:val="20"/>
                <w:color w:val="auto"/>
              </w:rPr>
            </w:pPr>
            <w:r>
              <w:rPr>
                <w:rFonts w:ascii="Arial" w:cs="Arial" w:eastAsia="Arial" w:hAnsi="Arial"/>
                <w:sz w:val="12"/>
                <w:szCs w:val="12"/>
                <w:color w:val="auto"/>
                <w:w w:val="91"/>
              </w:rPr>
              <w:t>Letter Agreement, dated December 1, 2015, as amended on July 1, 2016, by and between American Capital Mortgage Management, LLC and Bernice E. Bell, incorporated herein by reference to Exhibit 10.4 of</w:t>
            </w:r>
          </w:p>
        </w:tc>
      </w:tr>
      <w:tr>
        <w:trPr>
          <w:trHeight w:val="153"/>
        </w:trPr>
        <w:tc>
          <w:tcPr>
            <w:tcW w:w="640" w:type="dxa"/>
            <w:vAlign w:val="bottom"/>
          </w:tcPr>
          <w:p>
            <w:pPr>
              <w:spacing w:after="0"/>
              <w:rPr>
                <w:sz w:val="13"/>
                <w:szCs w:val="13"/>
                <w:color w:val="auto"/>
              </w:rPr>
            </w:pPr>
          </w:p>
        </w:tc>
        <w:tc>
          <w:tcPr>
            <w:tcW w:w="10200" w:type="dxa"/>
            <w:vAlign w:val="bottom"/>
          </w:tcPr>
          <w:p>
            <w:pPr>
              <w:ind w:left="60"/>
              <w:spacing w:after="0"/>
              <w:rPr>
                <w:sz w:val="20"/>
                <w:szCs w:val="20"/>
                <w:color w:val="auto"/>
              </w:rPr>
            </w:pPr>
            <w:r>
              <w:rPr>
                <w:rFonts w:ascii="Arial" w:cs="Arial" w:eastAsia="Arial" w:hAnsi="Arial"/>
                <w:sz w:val="12"/>
                <w:szCs w:val="12"/>
                <w:color w:val="auto"/>
              </w:rPr>
              <w:t>Form 8-K (File No. 001-34057), filed July 8, 2016.</w:t>
            </w:r>
          </w:p>
        </w:tc>
      </w:tr>
      <w:tr>
        <w:trPr>
          <w:trHeight w:val="252"/>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*10.5</w:t>
            </w:r>
          </w:p>
        </w:tc>
        <w:tc>
          <w:tcPr>
            <w:tcW w:w="10200" w:type="dxa"/>
            <w:vAlign w:val="bottom"/>
          </w:tcPr>
          <w:p>
            <w:pPr>
              <w:ind w:left="60"/>
              <w:spacing w:after="0"/>
              <w:rPr>
                <w:sz w:val="20"/>
                <w:szCs w:val="20"/>
                <w:color w:val="auto"/>
              </w:rPr>
            </w:pPr>
            <w:r>
              <w:rPr>
                <w:rFonts w:ascii="Arial" w:cs="Arial" w:eastAsia="Arial" w:hAnsi="Arial"/>
                <w:sz w:val="12"/>
                <w:szCs w:val="12"/>
                <w:color w:val="auto"/>
                <w:w w:val="93"/>
              </w:rPr>
              <w:t>Retention Bonus Grant Letter, dated July 1, 2016, by and between American Capital Mortgage Management, LLC and Bernice E. Bell, incorporated herein by reference to Exhibit 10.5 of Form 8-K (File No.</w:t>
            </w:r>
          </w:p>
        </w:tc>
      </w:tr>
      <w:tr>
        <w:trPr>
          <w:trHeight w:val="153"/>
        </w:trPr>
        <w:tc>
          <w:tcPr>
            <w:tcW w:w="640" w:type="dxa"/>
            <w:vAlign w:val="bottom"/>
          </w:tcPr>
          <w:p>
            <w:pPr>
              <w:spacing w:after="0"/>
              <w:rPr>
                <w:sz w:val="13"/>
                <w:szCs w:val="13"/>
                <w:color w:val="auto"/>
              </w:rPr>
            </w:pPr>
          </w:p>
        </w:tc>
        <w:tc>
          <w:tcPr>
            <w:tcW w:w="10200" w:type="dxa"/>
            <w:vAlign w:val="bottom"/>
          </w:tcPr>
          <w:p>
            <w:pPr>
              <w:ind w:left="60"/>
              <w:spacing w:after="0"/>
              <w:rPr>
                <w:sz w:val="20"/>
                <w:szCs w:val="20"/>
                <w:color w:val="auto"/>
              </w:rPr>
            </w:pPr>
            <w:r>
              <w:rPr>
                <w:rFonts w:ascii="Arial" w:cs="Arial" w:eastAsia="Arial" w:hAnsi="Arial"/>
                <w:sz w:val="12"/>
                <w:szCs w:val="12"/>
                <w:color w:val="auto"/>
              </w:rPr>
              <w:t>001-34057), filed July 8, 2016.</w:t>
            </w:r>
          </w:p>
        </w:tc>
      </w:tr>
      <w:tr>
        <w:trPr>
          <w:trHeight w:val="252"/>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*10.6</w:t>
            </w:r>
          </w:p>
        </w:tc>
        <w:tc>
          <w:tcPr>
            <w:tcW w:w="10200" w:type="dxa"/>
            <w:vAlign w:val="bottom"/>
          </w:tcPr>
          <w:p>
            <w:pPr>
              <w:ind w:left="60"/>
              <w:spacing w:after="0"/>
              <w:rPr>
                <w:sz w:val="20"/>
                <w:szCs w:val="20"/>
                <w:color w:val="auto"/>
              </w:rPr>
            </w:pPr>
            <w:r>
              <w:rPr>
                <w:rFonts w:ascii="Arial" w:cs="Arial" w:eastAsia="Arial" w:hAnsi="Arial"/>
                <w:sz w:val="12"/>
                <w:szCs w:val="12"/>
                <w:color w:val="auto"/>
                <w:w w:val="96"/>
              </w:rPr>
              <w:t>Transition Services Agreement, dated July 1, 2016, by and among American Capital Agency Corp., American Capital, Ltd., American Capital Asset Management, LLC and American Capital Mortgage</w:t>
            </w:r>
          </w:p>
        </w:tc>
      </w:tr>
      <w:tr>
        <w:trPr>
          <w:trHeight w:val="153"/>
        </w:trPr>
        <w:tc>
          <w:tcPr>
            <w:tcW w:w="640" w:type="dxa"/>
            <w:vAlign w:val="bottom"/>
          </w:tcPr>
          <w:p>
            <w:pPr>
              <w:spacing w:after="0"/>
              <w:rPr>
                <w:sz w:val="13"/>
                <w:szCs w:val="13"/>
                <w:color w:val="auto"/>
              </w:rPr>
            </w:pPr>
          </w:p>
        </w:tc>
        <w:tc>
          <w:tcPr>
            <w:tcW w:w="10200" w:type="dxa"/>
            <w:vAlign w:val="bottom"/>
          </w:tcPr>
          <w:p>
            <w:pPr>
              <w:ind w:left="60"/>
              <w:spacing w:after="0"/>
              <w:rPr>
                <w:sz w:val="20"/>
                <w:szCs w:val="20"/>
                <w:color w:val="auto"/>
              </w:rPr>
            </w:pPr>
            <w:r>
              <w:rPr>
                <w:rFonts w:ascii="Arial" w:cs="Arial" w:eastAsia="Arial" w:hAnsi="Arial"/>
                <w:sz w:val="12"/>
                <w:szCs w:val="12"/>
                <w:color w:val="auto"/>
              </w:rPr>
              <w:t>Management, LLC, incorporated herein by reference to Exhibit 2.1 of Form 8-K (File No. 001-34057), filed July 8, 2016.</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31.1</w:t>
            </w:r>
          </w:p>
        </w:tc>
        <w:tc>
          <w:tcPr>
            <w:tcW w:w="10200" w:type="dxa"/>
            <w:vAlign w:val="bottom"/>
          </w:tcPr>
          <w:p>
            <w:pPr>
              <w:ind w:left="60"/>
              <w:spacing w:after="0"/>
              <w:rPr>
                <w:sz w:val="20"/>
                <w:szCs w:val="20"/>
                <w:color w:val="auto"/>
              </w:rPr>
            </w:pPr>
            <w:r>
              <w:rPr>
                <w:rFonts w:ascii="Arial" w:cs="Arial" w:eastAsia="Arial" w:hAnsi="Arial"/>
                <w:sz w:val="12"/>
                <w:szCs w:val="12"/>
                <w:color w:val="auto"/>
              </w:rPr>
              <w:t>Certification of CEO Pursuant to Section 302(a) of the Sarbanes-Oxley Act of 2002.</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31.2</w:t>
            </w:r>
          </w:p>
        </w:tc>
        <w:tc>
          <w:tcPr>
            <w:tcW w:w="10200" w:type="dxa"/>
            <w:vAlign w:val="bottom"/>
          </w:tcPr>
          <w:p>
            <w:pPr>
              <w:ind w:left="60"/>
              <w:spacing w:after="0"/>
              <w:rPr>
                <w:sz w:val="20"/>
                <w:szCs w:val="20"/>
                <w:color w:val="auto"/>
              </w:rPr>
            </w:pPr>
            <w:r>
              <w:rPr>
                <w:rFonts w:ascii="Arial" w:cs="Arial" w:eastAsia="Arial" w:hAnsi="Arial"/>
                <w:sz w:val="12"/>
                <w:szCs w:val="12"/>
                <w:color w:val="auto"/>
              </w:rPr>
              <w:t>Certification of CFO Pursuant to Section 302(a) of the Sarbanes-Oxley Act of 2002.</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32</w:t>
            </w:r>
          </w:p>
        </w:tc>
        <w:tc>
          <w:tcPr>
            <w:tcW w:w="10200" w:type="dxa"/>
            <w:vAlign w:val="bottom"/>
          </w:tcPr>
          <w:p>
            <w:pPr>
              <w:ind w:left="60"/>
              <w:spacing w:after="0"/>
              <w:rPr>
                <w:sz w:val="20"/>
                <w:szCs w:val="20"/>
                <w:color w:val="auto"/>
              </w:rPr>
            </w:pPr>
            <w:r>
              <w:rPr>
                <w:rFonts w:ascii="Arial" w:cs="Arial" w:eastAsia="Arial" w:hAnsi="Arial"/>
                <w:sz w:val="12"/>
                <w:szCs w:val="12"/>
                <w:color w:val="auto"/>
              </w:rPr>
              <w:t>Certification of CEO and CFO Pursuant to Section 906 of the Sarbanes-Oxley Act of 2002.</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rPr>
              <w:t>101.INS**</w:t>
            </w:r>
          </w:p>
        </w:tc>
        <w:tc>
          <w:tcPr>
            <w:tcW w:w="10200" w:type="dxa"/>
            <w:vAlign w:val="bottom"/>
          </w:tcPr>
          <w:p>
            <w:pPr>
              <w:ind w:left="60"/>
              <w:spacing w:after="0"/>
              <w:rPr>
                <w:sz w:val="20"/>
                <w:szCs w:val="20"/>
                <w:color w:val="auto"/>
              </w:rPr>
            </w:pPr>
            <w:r>
              <w:rPr>
                <w:rFonts w:ascii="Arial" w:cs="Arial" w:eastAsia="Arial" w:hAnsi="Arial"/>
                <w:sz w:val="12"/>
                <w:szCs w:val="12"/>
                <w:color w:val="auto"/>
              </w:rPr>
              <w:t>XBRL Instance Document</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w w:val="92"/>
              </w:rPr>
              <w:t>101.SCH**</w:t>
            </w:r>
          </w:p>
        </w:tc>
        <w:tc>
          <w:tcPr>
            <w:tcW w:w="10200" w:type="dxa"/>
            <w:vAlign w:val="bottom"/>
          </w:tcPr>
          <w:p>
            <w:pPr>
              <w:ind w:left="60"/>
              <w:spacing w:after="0"/>
              <w:rPr>
                <w:sz w:val="20"/>
                <w:szCs w:val="20"/>
                <w:color w:val="auto"/>
              </w:rPr>
            </w:pPr>
            <w:r>
              <w:rPr>
                <w:rFonts w:ascii="Arial" w:cs="Arial" w:eastAsia="Arial" w:hAnsi="Arial"/>
                <w:sz w:val="12"/>
                <w:szCs w:val="12"/>
                <w:color w:val="auto"/>
              </w:rPr>
              <w:t>XBRL Taxonomy Extension Schema Document</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w w:val="96"/>
              </w:rPr>
              <w:t>101.CAL**</w:t>
            </w:r>
          </w:p>
        </w:tc>
        <w:tc>
          <w:tcPr>
            <w:tcW w:w="10200" w:type="dxa"/>
            <w:vAlign w:val="bottom"/>
          </w:tcPr>
          <w:p>
            <w:pPr>
              <w:ind w:left="60"/>
              <w:spacing w:after="0"/>
              <w:rPr>
                <w:sz w:val="20"/>
                <w:szCs w:val="20"/>
                <w:color w:val="auto"/>
              </w:rPr>
            </w:pPr>
            <w:r>
              <w:rPr>
                <w:rFonts w:ascii="Arial" w:cs="Arial" w:eastAsia="Arial" w:hAnsi="Arial"/>
                <w:sz w:val="12"/>
                <w:szCs w:val="12"/>
                <w:color w:val="auto"/>
              </w:rPr>
              <w:t>XBRL Taxonomy Extension Calculation Linkbase Document</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w w:val="97"/>
              </w:rPr>
              <w:t>101.LAB**</w:t>
            </w:r>
          </w:p>
        </w:tc>
        <w:tc>
          <w:tcPr>
            <w:tcW w:w="10200" w:type="dxa"/>
            <w:vAlign w:val="bottom"/>
          </w:tcPr>
          <w:p>
            <w:pPr>
              <w:ind w:left="60"/>
              <w:spacing w:after="0"/>
              <w:rPr>
                <w:sz w:val="20"/>
                <w:szCs w:val="20"/>
                <w:color w:val="auto"/>
              </w:rPr>
            </w:pPr>
            <w:r>
              <w:rPr>
                <w:rFonts w:ascii="Arial" w:cs="Arial" w:eastAsia="Arial" w:hAnsi="Arial"/>
                <w:sz w:val="12"/>
                <w:szCs w:val="12"/>
                <w:color w:val="auto"/>
              </w:rPr>
              <w:t>XBRL Taxonomy Extension Labels Linkbase Document</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w w:val="94"/>
              </w:rPr>
              <w:t>101.PRE**</w:t>
            </w:r>
          </w:p>
        </w:tc>
        <w:tc>
          <w:tcPr>
            <w:tcW w:w="10200" w:type="dxa"/>
            <w:vAlign w:val="bottom"/>
          </w:tcPr>
          <w:p>
            <w:pPr>
              <w:ind w:left="60"/>
              <w:spacing w:after="0"/>
              <w:rPr>
                <w:sz w:val="20"/>
                <w:szCs w:val="20"/>
                <w:color w:val="auto"/>
              </w:rPr>
            </w:pPr>
            <w:r>
              <w:rPr>
                <w:rFonts w:ascii="Arial" w:cs="Arial" w:eastAsia="Arial" w:hAnsi="Arial"/>
                <w:sz w:val="12"/>
                <w:szCs w:val="12"/>
                <w:color w:val="auto"/>
              </w:rPr>
              <w:t>XBRL Taxonomy Extension Presentation Linkbase Document</w:t>
            </w:r>
          </w:p>
        </w:tc>
      </w:tr>
      <w:tr>
        <w:trPr>
          <w:trHeight w:val="261"/>
        </w:trPr>
        <w:tc>
          <w:tcPr>
            <w:tcW w:w="640" w:type="dxa"/>
            <w:vAlign w:val="bottom"/>
          </w:tcPr>
          <w:p>
            <w:pPr>
              <w:jc w:val="right"/>
              <w:ind w:right="20"/>
              <w:spacing w:after="0"/>
              <w:rPr>
                <w:sz w:val="20"/>
                <w:szCs w:val="20"/>
                <w:color w:val="auto"/>
              </w:rPr>
            </w:pPr>
            <w:r>
              <w:rPr>
                <w:rFonts w:ascii="Arial" w:cs="Arial" w:eastAsia="Arial" w:hAnsi="Arial"/>
                <w:sz w:val="12"/>
                <w:szCs w:val="12"/>
                <w:color w:val="auto"/>
                <w:w w:val="95"/>
              </w:rPr>
              <w:t>101.DEF**</w:t>
            </w:r>
          </w:p>
        </w:tc>
        <w:tc>
          <w:tcPr>
            <w:tcW w:w="10200" w:type="dxa"/>
            <w:vAlign w:val="bottom"/>
          </w:tcPr>
          <w:p>
            <w:pPr>
              <w:ind w:left="60"/>
              <w:spacing w:after="0"/>
              <w:rPr>
                <w:sz w:val="20"/>
                <w:szCs w:val="20"/>
                <w:color w:val="auto"/>
              </w:rPr>
            </w:pPr>
            <w:r>
              <w:rPr>
                <w:rFonts w:ascii="Arial" w:cs="Arial" w:eastAsia="Arial" w:hAnsi="Arial"/>
                <w:sz w:val="12"/>
                <w:szCs w:val="12"/>
                <w:color w:val="auto"/>
              </w:rPr>
              <w:t>XBRL Taxonomy Extension Definition Linkbase Document</w:t>
            </w:r>
          </w:p>
        </w:tc>
      </w:tr>
    </w:tbl>
    <w:p>
      <w:pPr>
        <w:spacing w:after="0" w:line="9" w:lineRule="exact"/>
        <w:rPr>
          <w:sz w:val="20"/>
          <w:szCs w:val="20"/>
          <w:color w:val="auto"/>
        </w:rPr>
      </w:pPr>
    </w:p>
    <w:p>
      <w:pPr>
        <w:ind w:left="8"/>
        <w:spacing w:after="0"/>
        <w:rPr>
          <w:sz w:val="20"/>
          <w:szCs w:val="20"/>
          <w:color w:val="auto"/>
        </w:rPr>
      </w:pPr>
      <w:r>
        <w:rPr>
          <w:rFonts w:ascii="Arial" w:cs="Arial" w:eastAsia="Arial" w:hAnsi="Arial"/>
          <w:sz w:val="12"/>
          <w:szCs w:val="12"/>
          <w:color w:val="auto"/>
        </w:rPr>
        <w:t>______________________</w:t>
      </w:r>
    </w:p>
    <w:p>
      <w:pPr>
        <w:spacing w:after="0" w:line="15" w:lineRule="exact"/>
        <w:rPr>
          <w:sz w:val="20"/>
          <w:szCs w:val="20"/>
          <w:color w:val="auto"/>
        </w:rPr>
      </w:pPr>
    </w:p>
    <w:p>
      <w:pPr>
        <w:ind w:left="188" w:hanging="188"/>
        <w:spacing w:after="0"/>
        <w:tabs>
          <w:tab w:leader="none" w:pos="188" w:val="left"/>
        </w:tabs>
        <w:numPr>
          <w:ilvl w:val="0"/>
          <w:numId w:val="33"/>
        </w:numPr>
        <w:rPr>
          <w:rFonts w:ascii="Arial" w:cs="Arial" w:eastAsia="Arial" w:hAnsi="Arial"/>
          <w:sz w:val="12"/>
          <w:szCs w:val="12"/>
          <w:color w:val="auto"/>
        </w:rPr>
      </w:pPr>
      <w:r>
        <w:rPr>
          <w:rFonts w:ascii="Arial" w:cs="Arial" w:eastAsia="Arial" w:hAnsi="Arial"/>
          <w:sz w:val="12"/>
          <w:szCs w:val="12"/>
          <w:color w:val="auto"/>
        </w:rPr>
        <w:t>Previously filed</w:t>
      </w:r>
    </w:p>
    <w:p>
      <w:pPr>
        <w:spacing w:after="0" w:line="6" w:lineRule="exact"/>
        <w:rPr>
          <w:sz w:val="20"/>
          <w:szCs w:val="20"/>
          <w:color w:val="auto"/>
        </w:rPr>
      </w:pPr>
    </w:p>
    <w:p>
      <w:pPr>
        <w:ind w:left="428" w:hanging="428"/>
        <w:spacing w:after="0"/>
        <w:tabs>
          <w:tab w:leader="none" w:pos="428" w:val="left"/>
        </w:tabs>
        <w:numPr>
          <w:ilvl w:val="0"/>
          <w:numId w:val="34"/>
        </w:numPr>
        <w:rPr>
          <w:rFonts w:ascii="Arial" w:cs="Arial" w:eastAsia="Arial" w:hAnsi="Arial"/>
          <w:sz w:val="12"/>
          <w:szCs w:val="12"/>
          <w:color w:val="auto"/>
        </w:rPr>
      </w:pPr>
      <w:r>
        <w:rPr>
          <w:rFonts w:ascii="Arial" w:cs="Arial" w:eastAsia="Arial" w:hAnsi="Arial"/>
          <w:sz w:val="12"/>
          <w:szCs w:val="12"/>
          <w:color w:val="auto"/>
        </w:rPr>
        <w:t>This exhibit is being furnished rather than filed, and shall not be deemed incorporated by reference into any filing, in accordance with Item 601 of Regulation S-K</w:t>
      </w:r>
    </w:p>
    <w:p>
      <w:pPr>
        <w:spacing w:after="0" w:line="141" w:lineRule="exact"/>
        <w:rPr>
          <w:rFonts w:ascii="Arial" w:cs="Arial" w:eastAsia="Arial" w:hAnsi="Arial"/>
          <w:sz w:val="12"/>
          <w:szCs w:val="12"/>
          <w:color w:val="auto"/>
        </w:rPr>
      </w:pPr>
    </w:p>
    <w:p>
      <w:pPr>
        <w:ind w:left="568" w:hanging="298"/>
        <w:spacing w:after="0"/>
        <w:tabs>
          <w:tab w:leader="none" w:pos="568" w:val="left"/>
        </w:tabs>
        <w:numPr>
          <w:ilvl w:val="1"/>
          <w:numId w:val="34"/>
        </w:numPr>
        <w:rPr>
          <w:rFonts w:ascii="Arial" w:cs="Arial" w:eastAsia="Arial" w:hAnsi="Arial"/>
          <w:sz w:val="12"/>
          <w:szCs w:val="12"/>
          <w:color w:val="auto"/>
        </w:rPr>
      </w:pPr>
      <w:r>
        <w:rPr>
          <w:rFonts w:ascii="Arial" w:cs="Arial" w:eastAsia="Arial" w:hAnsi="Arial"/>
          <w:sz w:val="12"/>
          <w:szCs w:val="12"/>
          <w:color w:val="auto"/>
        </w:rPr>
        <w:t>Exhibits</w:t>
      </w:r>
    </w:p>
    <w:p>
      <w:pPr>
        <w:spacing w:after="0" w:line="14" w:lineRule="exact"/>
        <w:rPr>
          <w:rFonts w:ascii="Arial" w:cs="Arial" w:eastAsia="Arial" w:hAnsi="Arial"/>
          <w:sz w:val="12"/>
          <w:szCs w:val="12"/>
          <w:color w:val="auto"/>
        </w:rPr>
      </w:pPr>
    </w:p>
    <w:p>
      <w:pPr>
        <w:ind w:left="568"/>
        <w:spacing w:after="0"/>
        <w:rPr>
          <w:rFonts w:ascii="Arial" w:cs="Arial" w:eastAsia="Arial" w:hAnsi="Arial"/>
          <w:sz w:val="12"/>
          <w:szCs w:val="12"/>
          <w:color w:val="auto"/>
        </w:rPr>
      </w:pPr>
      <w:r>
        <w:rPr>
          <w:rFonts w:ascii="Arial" w:cs="Arial" w:eastAsia="Arial" w:hAnsi="Arial"/>
          <w:sz w:val="12"/>
          <w:szCs w:val="12"/>
          <w:color w:val="auto"/>
        </w:rPr>
        <w:t>See the exhibits filed herewith.</w:t>
      </w:r>
    </w:p>
    <w:p>
      <w:pPr>
        <w:spacing w:after="0" w:line="141" w:lineRule="exact"/>
        <w:rPr>
          <w:rFonts w:ascii="Arial" w:cs="Arial" w:eastAsia="Arial" w:hAnsi="Arial"/>
          <w:sz w:val="12"/>
          <w:szCs w:val="12"/>
          <w:color w:val="auto"/>
        </w:rPr>
      </w:pPr>
    </w:p>
    <w:p>
      <w:pPr>
        <w:ind w:left="568" w:right="8900" w:hanging="298"/>
        <w:spacing w:after="0" w:line="276" w:lineRule="auto"/>
        <w:tabs>
          <w:tab w:leader="none" w:pos="568" w:val="left"/>
        </w:tabs>
        <w:numPr>
          <w:ilvl w:val="1"/>
          <w:numId w:val="34"/>
        </w:numPr>
        <w:rPr>
          <w:rFonts w:ascii="Arial" w:cs="Arial" w:eastAsia="Arial" w:hAnsi="Arial"/>
          <w:sz w:val="12"/>
          <w:szCs w:val="12"/>
          <w:color w:val="auto"/>
        </w:rPr>
      </w:pPr>
      <w:r>
        <w:rPr>
          <w:rFonts w:ascii="Arial" w:cs="Arial" w:eastAsia="Arial" w:hAnsi="Arial"/>
          <w:sz w:val="12"/>
          <w:szCs w:val="12"/>
          <w:color w:val="auto"/>
        </w:rPr>
        <w:t>Additional financial statement schedules None.</w:t>
      </w:r>
    </w:p>
    <w:p>
      <w:pPr>
        <w:spacing w:after="0" w:line="133" w:lineRule="exact"/>
        <w:rPr>
          <w:sz w:val="20"/>
          <w:szCs w:val="20"/>
          <w:color w:val="auto"/>
        </w:rPr>
      </w:pPr>
    </w:p>
    <w:p>
      <w:pPr>
        <w:jc w:val="center"/>
        <w:ind w:right="-47"/>
        <w:spacing w:after="0"/>
        <w:rPr>
          <w:sz w:val="20"/>
          <w:szCs w:val="20"/>
          <w:color w:val="auto"/>
        </w:rPr>
      </w:pPr>
      <w:r>
        <w:rPr>
          <w:rFonts w:ascii="Arial" w:cs="Arial" w:eastAsia="Arial" w:hAnsi="Arial"/>
          <w:sz w:val="12"/>
          <w:szCs w:val="12"/>
          <w:color w:val="auto"/>
        </w:rPr>
        <w:t>56</w:t>
      </w:r>
    </w:p>
    <w:p>
      <w:pPr>
        <w:sectPr>
          <w:pgSz w:w="11900" w:h="16838" w:orient="portrait"/>
          <w:cols w:equalWidth="0" w:num="1">
            <w:col w:w="11428"/>
          </w:cols>
          <w:pgMar w:left="212" w:top="545" w:right="259" w:bottom="1440" w:gutter="0" w:footer="0" w:header="0"/>
        </w:sectPr>
      </w:pPr>
    </w:p>
    <w:bookmarkStart w:id="57" w:name="page58"/>
    <w:bookmarkEnd w:id="57"/>
    <w:p>
      <w:pPr>
        <w:ind w:left="5320"/>
        <w:spacing w:after="0"/>
        <w:rPr>
          <w:sz w:val="20"/>
          <w:szCs w:val="20"/>
          <w:color w:val="auto"/>
        </w:rPr>
      </w:pPr>
      <w:r>
        <w:rPr>
          <w:rFonts w:ascii="Arial" w:cs="Arial" w:eastAsia="Arial" w:hAnsi="Arial"/>
          <w:sz w:val="12"/>
          <w:szCs w:val="12"/>
          <w:b w:val="1"/>
          <w:bCs w:val="1"/>
          <w:color w:val="auto"/>
        </w:rPr>
        <w:t>SIGNATURES</w:t>
      </w:r>
    </w:p>
    <w:p>
      <w:pPr>
        <w:spacing w:after="0" w:line="118" w:lineRule="exact"/>
        <w:rPr>
          <w:sz w:val="20"/>
          <w:szCs w:val="20"/>
          <w:color w:val="auto"/>
        </w:rPr>
      </w:pPr>
    </w:p>
    <w:p>
      <w:pPr>
        <w:ind w:left="260"/>
        <w:spacing w:after="0"/>
        <w:rPr>
          <w:sz w:val="20"/>
          <w:szCs w:val="20"/>
          <w:color w:val="auto"/>
        </w:rPr>
      </w:pPr>
      <w:r>
        <w:rPr>
          <w:rFonts w:ascii="Arial" w:cs="Arial" w:eastAsia="Arial" w:hAnsi="Arial"/>
          <w:sz w:val="12"/>
          <w:szCs w:val="12"/>
          <w:color w:val="auto"/>
        </w:rPr>
        <w:t>Pursuant to the requirements of Section 13 or 15(d) of the Securities Exchange Act of 1934, the Company has duly caused this report to be signed on its behalf by the undersigned, thereunto duly authorized.</w:t>
      </w:r>
    </w:p>
    <w:p>
      <w:pPr>
        <w:spacing w:after="0" w:line="240"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400" w:type="dxa"/>
            <w:vAlign w:val="bottom"/>
          </w:tcPr>
          <w:p>
            <w:pPr>
              <w:spacing w:after="0"/>
              <w:rPr>
                <w:sz w:val="13"/>
                <w:szCs w:val="13"/>
                <w:color w:val="auto"/>
              </w:rPr>
            </w:pPr>
          </w:p>
        </w:tc>
        <w:tc>
          <w:tcPr>
            <w:tcW w:w="6920" w:type="dxa"/>
            <w:vAlign w:val="bottom"/>
            <w:gridSpan w:val="2"/>
          </w:tcPr>
          <w:p>
            <w:pPr>
              <w:ind w:left="5220"/>
              <w:spacing w:after="0"/>
              <w:rPr>
                <w:sz w:val="20"/>
                <w:szCs w:val="20"/>
                <w:color w:val="auto"/>
              </w:rPr>
            </w:pPr>
            <w:r>
              <w:rPr>
                <w:rFonts w:ascii="Arial" w:cs="Arial" w:eastAsia="Arial" w:hAnsi="Arial"/>
                <w:sz w:val="12"/>
                <w:szCs w:val="12"/>
                <w:color w:val="auto"/>
              </w:rPr>
              <w:t>AGNC I</w:t>
            </w:r>
            <w:r>
              <w:rPr>
                <w:rFonts w:ascii="Arial" w:cs="Arial" w:eastAsia="Arial" w:hAnsi="Arial"/>
                <w:sz w:val="9"/>
                <w:szCs w:val="9"/>
                <w:color w:val="auto"/>
              </w:rPr>
              <w:t>NVESTMENT</w:t>
            </w:r>
            <w:r>
              <w:rPr>
                <w:rFonts w:ascii="Arial" w:cs="Arial" w:eastAsia="Arial" w:hAnsi="Arial"/>
                <w:sz w:val="12"/>
                <w:szCs w:val="12"/>
                <w:color w:val="auto"/>
              </w:rPr>
              <w:t xml:space="preserve"> C</w:t>
            </w:r>
            <w:r>
              <w:rPr>
                <w:rFonts w:ascii="Arial" w:cs="Arial" w:eastAsia="Arial" w:hAnsi="Arial"/>
                <w:sz w:val="9"/>
                <w:szCs w:val="9"/>
                <w:color w:val="auto"/>
              </w:rPr>
              <w:t>ORP</w:t>
            </w:r>
            <w:r>
              <w:rPr>
                <w:rFonts w:ascii="Arial" w:cs="Arial" w:eastAsia="Arial" w:hAnsi="Arial"/>
                <w:sz w:val="12"/>
                <w:szCs w:val="12"/>
                <w:color w:val="auto"/>
              </w:rPr>
              <w:t>.</w:t>
            </w:r>
          </w:p>
        </w:tc>
        <w:tc>
          <w:tcPr>
            <w:tcW w:w="4140" w:type="dxa"/>
            <w:vAlign w:val="bottom"/>
          </w:tcPr>
          <w:p>
            <w:pPr>
              <w:spacing w:after="0"/>
              <w:rPr>
                <w:sz w:val="13"/>
                <w:szCs w:val="13"/>
                <w:color w:val="auto"/>
              </w:rPr>
            </w:pPr>
          </w:p>
        </w:tc>
      </w:tr>
      <w:tr>
        <w:trPr>
          <w:trHeight w:val="270"/>
        </w:trPr>
        <w:tc>
          <w:tcPr>
            <w:tcW w:w="400" w:type="dxa"/>
            <w:vAlign w:val="bottom"/>
          </w:tcPr>
          <w:p>
            <w:pPr>
              <w:spacing w:after="0"/>
              <w:rPr>
                <w:sz w:val="23"/>
                <w:szCs w:val="23"/>
                <w:color w:val="auto"/>
              </w:rPr>
            </w:pPr>
          </w:p>
        </w:tc>
        <w:tc>
          <w:tcPr>
            <w:tcW w:w="6920" w:type="dxa"/>
            <w:vAlign w:val="bottom"/>
            <w:gridSpan w:val="2"/>
          </w:tcPr>
          <w:p>
            <w:pPr>
              <w:ind w:left="5220"/>
              <w:spacing w:after="0"/>
              <w:rPr>
                <w:sz w:val="20"/>
                <w:szCs w:val="20"/>
                <w:color w:val="auto"/>
              </w:rPr>
            </w:pPr>
            <w:r>
              <w:rPr>
                <w:rFonts w:ascii="Arial" w:cs="Arial" w:eastAsia="Arial" w:hAnsi="Arial"/>
                <w:sz w:val="12"/>
                <w:szCs w:val="12"/>
                <w:color w:val="auto"/>
              </w:rPr>
              <w:t>By:</w:t>
            </w:r>
          </w:p>
        </w:tc>
        <w:tc>
          <w:tcPr>
            <w:tcW w:w="4140" w:type="dxa"/>
            <w:vAlign w:val="bottom"/>
          </w:tcPr>
          <w:p>
            <w:pPr>
              <w:jc w:val="center"/>
              <w:ind w:right="1089"/>
              <w:spacing w:after="0"/>
              <w:rPr>
                <w:sz w:val="20"/>
                <w:szCs w:val="20"/>
                <w:color w:val="auto"/>
              </w:rPr>
            </w:pPr>
            <w:r>
              <w:rPr>
                <w:rFonts w:ascii="Arial" w:cs="Arial" w:eastAsia="Arial" w:hAnsi="Arial"/>
                <w:sz w:val="12"/>
                <w:szCs w:val="12"/>
                <w:color w:val="auto"/>
              </w:rPr>
              <w:t>/s/  P</w:t>
            </w:r>
            <w:r>
              <w:rPr>
                <w:rFonts w:ascii="Arial" w:cs="Arial" w:eastAsia="Arial" w:hAnsi="Arial"/>
                <w:sz w:val="9"/>
                <w:szCs w:val="9"/>
                <w:color w:val="auto"/>
              </w:rPr>
              <w:t>ETER</w:t>
            </w:r>
            <w:r>
              <w:rPr>
                <w:rFonts w:ascii="Arial" w:cs="Arial" w:eastAsia="Arial" w:hAnsi="Arial"/>
                <w:sz w:val="12"/>
                <w:szCs w:val="12"/>
                <w:color w:val="auto"/>
              </w:rPr>
              <w:t xml:space="preserve"> F</w:t>
            </w:r>
            <w:r>
              <w:rPr>
                <w:rFonts w:ascii="Arial" w:cs="Arial" w:eastAsia="Arial" w:hAnsi="Arial"/>
                <w:sz w:val="9"/>
                <w:szCs w:val="9"/>
                <w:color w:val="auto"/>
              </w:rPr>
              <w:t>EDERICO</w:t>
            </w:r>
          </w:p>
        </w:tc>
      </w:tr>
      <w:tr>
        <w:trPr>
          <w:trHeight w:val="101"/>
        </w:trPr>
        <w:tc>
          <w:tcPr>
            <w:tcW w:w="400" w:type="dxa"/>
            <w:vAlign w:val="bottom"/>
          </w:tcPr>
          <w:p>
            <w:pPr>
              <w:spacing w:after="0"/>
              <w:rPr>
                <w:sz w:val="8"/>
                <w:szCs w:val="8"/>
                <w:color w:val="auto"/>
              </w:rPr>
            </w:pPr>
          </w:p>
        </w:tc>
        <w:tc>
          <w:tcPr>
            <w:tcW w:w="5780" w:type="dxa"/>
            <w:vAlign w:val="bottom"/>
          </w:tcPr>
          <w:p>
            <w:pPr>
              <w:spacing w:after="0"/>
              <w:rPr>
                <w:sz w:val="8"/>
                <w:szCs w:val="8"/>
                <w:color w:val="auto"/>
              </w:rPr>
            </w:pPr>
          </w:p>
        </w:tc>
        <w:tc>
          <w:tcPr>
            <w:tcW w:w="1140" w:type="dxa"/>
            <w:vAlign w:val="bottom"/>
            <w:tcBorders>
              <w:top w:val="single" w:sz="8" w:color="auto"/>
            </w:tcBorders>
          </w:tcPr>
          <w:p>
            <w:pPr>
              <w:spacing w:after="0"/>
              <w:rPr>
                <w:sz w:val="8"/>
                <w:szCs w:val="8"/>
                <w:color w:val="auto"/>
              </w:rPr>
            </w:pPr>
          </w:p>
        </w:tc>
        <w:tc>
          <w:tcPr>
            <w:tcW w:w="4140" w:type="dxa"/>
            <w:vAlign w:val="bottom"/>
            <w:tcBorders>
              <w:top w:val="single" w:sz="8" w:color="auto"/>
            </w:tcBorders>
          </w:tcPr>
          <w:p>
            <w:pPr>
              <w:jc w:val="center"/>
              <w:ind w:right="1089"/>
              <w:spacing w:after="0" w:line="101" w:lineRule="exact"/>
              <w:rPr>
                <w:sz w:val="20"/>
                <w:szCs w:val="20"/>
                <w:color w:val="auto"/>
              </w:rPr>
            </w:pPr>
            <w:r>
              <w:rPr>
                <w:rFonts w:ascii="Arial" w:cs="Arial" w:eastAsia="Arial" w:hAnsi="Arial"/>
                <w:sz w:val="10"/>
                <w:szCs w:val="10"/>
                <w:b w:val="1"/>
                <w:bCs w:val="1"/>
                <w:color w:val="auto"/>
                <w:w w:val="86"/>
              </w:rPr>
              <w:t>Peter Federico</w:t>
            </w:r>
          </w:p>
        </w:tc>
      </w:tr>
      <w:tr>
        <w:trPr>
          <w:trHeight w:val="99"/>
        </w:trPr>
        <w:tc>
          <w:tcPr>
            <w:tcW w:w="400" w:type="dxa"/>
            <w:vAlign w:val="bottom"/>
          </w:tcPr>
          <w:p>
            <w:pPr>
              <w:spacing w:after="0"/>
              <w:rPr>
                <w:sz w:val="8"/>
                <w:szCs w:val="8"/>
                <w:color w:val="auto"/>
              </w:rPr>
            </w:pPr>
          </w:p>
        </w:tc>
        <w:tc>
          <w:tcPr>
            <w:tcW w:w="5780" w:type="dxa"/>
            <w:vAlign w:val="bottom"/>
          </w:tcPr>
          <w:p>
            <w:pPr>
              <w:spacing w:after="0"/>
              <w:rPr>
                <w:sz w:val="8"/>
                <w:szCs w:val="8"/>
                <w:color w:val="auto"/>
              </w:rPr>
            </w:pPr>
          </w:p>
        </w:tc>
        <w:tc>
          <w:tcPr>
            <w:tcW w:w="1140" w:type="dxa"/>
            <w:vAlign w:val="bottom"/>
          </w:tcPr>
          <w:p>
            <w:pPr>
              <w:spacing w:after="0"/>
              <w:rPr>
                <w:sz w:val="8"/>
                <w:szCs w:val="8"/>
                <w:color w:val="auto"/>
              </w:rPr>
            </w:pPr>
          </w:p>
        </w:tc>
        <w:tc>
          <w:tcPr>
            <w:tcW w:w="4140" w:type="dxa"/>
            <w:vAlign w:val="bottom"/>
          </w:tcPr>
          <w:p>
            <w:pPr>
              <w:jc w:val="center"/>
              <w:ind w:right="1089"/>
              <w:spacing w:after="0" w:line="99" w:lineRule="exact"/>
              <w:rPr>
                <w:sz w:val="20"/>
                <w:szCs w:val="20"/>
                <w:color w:val="auto"/>
              </w:rPr>
            </w:pPr>
            <w:r>
              <w:rPr>
                <w:rFonts w:ascii="Arial" w:cs="Arial" w:eastAsia="Arial" w:hAnsi="Arial"/>
                <w:sz w:val="10"/>
                <w:szCs w:val="10"/>
                <w:b w:val="1"/>
                <w:bCs w:val="1"/>
                <w:color w:val="auto"/>
                <w:w w:val="88"/>
              </w:rPr>
              <w:t>Chief Financial Officer and</w:t>
            </w:r>
          </w:p>
        </w:tc>
      </w:tr>
      <w:tr>
        <w:trPr>
          <w:trHeight w:val="124"/>
        </w:trPr>
        <w:tc>
          <w:tcPr>
            <w:tcW w:w="400" w:type="dxa"/>
            <w:vAlign w:val="bottom"/>
          </w:tcPr>
          <w:p>
            <w:pPr>
              <w:spacing w:after="0"/>
              <w:rPr>
                <w:sz w:val="10"/>
                <w:szCs w:val="10"/>
                <w:color w:val="auto"/>
              </w:rPr>
            </w:pPr>
          </w:p>
        </w:tc>
        <w:tc>
          <w:tcPr>
            <w:tcW w:w="578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4140" w:type="dxa"/>
            <w:vAlign w:val="bottom"/>
          </w:tcPr>
          <w:p>
            <w:pPr>
              <w:jc w:val="center"/>
              <w:ind w:right="1089"/>
              <w:spacing w:after="0"/>
              <w:rPr>
                <w:sz w:val="20"/>
                <w:szCs w:val="20"/>
                <w:color w:val="auto"/>
              </w:rPr>
            </w:pPr>
            <w:r>
              <w:rPr>
                <w:rFonts w:ascii="Arial" w:cs="Arial" w:eastAsia="Arial" w:hAnsi="Arial"/>
                <w:sz w:val="10"/>
                <w:szCs w:val="10"/>
                <w:b w:val="1"/>
                <w:bCs w:val="1"/>
                <w:color w:val="auto"/>
                <w:w w:val="87"/>
              </w:rPr>
              <w:t>Executive Vice President (Principal Financial Officer)</w:t>
            </w:r>
          </w:p>
        </w:tc>
      </w:tr>
      <w:tr>
        <w:trPr>
          <w:trHeight w:val="170"/>
        </w:trPr>
        <w:tc>
          <w:tcPr>
            <w:tcW w:w="400" w:type="dxa"/>
            <w:vAlign w:val="bottom"/>
          </w:tcPr>
          <w:p>
            <w:pPr>
              <w:spacing w:after="0"/>
              <w:rPr>
                <w:sz w:val="20"/>
                <w:szCs w:val="20"/>
                <w:color w:val="auto"/>
              </w:rPr>
            </w:pPr>
            <w:r>
              <w:rPr>
                <w:rFonts w:ascii="Arial" w:cs="Arial" w:eastAsia="Arial" w:hAnsi="Arial"/>
                <w:sz w:val="12"/>
                <w:szCs w:val="12"/>
                <w:color w:val="auto"/>
              </w:rPr>
              <w:t>Date:</w:t>
            </w:r>
          </w:p>
        </w:tc>
        <w:tc>
          <w:tcPr>
            <w:tcW w:w="6920" w:type="dxa"/>
            <w:vAlign w:val="bottom"/>
            <w:gridSpan w:val="2"/>
          </w:tcPr>
          <w:p>
            <w:pPr>
              <w:ind w:left="160"/>
              <w:spacing w:after="0"/>
              <w:rPr>
                <w:sz w:val="20"/>
                <w:szCs w:val="20"/>
                <w:color w:val="auto"/>
              </w:rPr>
            </w:pPr>
            <w:r>
              <w:rPr>
                <w:rFonts w:ascii="Arial" w:cs="Arial" w:eastAsia="Arial" w:hAnsi="Arial"/>
                <w:sz w:val="12"/>
                <w:szCs w:val="12"/>
                <w:color w:val="auto"/>
              </w:rPr>
              <w:t>November 7, 2016</w:t>
            </w:r>
          </w:p>
        </w:tc>
        <w:tc>
          <w:tcPr>
            <w:tcW w:w="4140" w:type="dxa"/>
            <w:vAlign w:val="bottom"/>
          </w:tcPr>
          <w:p>
            <w:pPr>
              <w:spacing w:after="0"/>
              <w:rPr>
                <w:sz w:val="14"/>
                <w:szCs w:val="14"/>
                <w:color w:val="auto"/>
              </w:rPr>
            </w:pPr>
          </w:p>
        </w:tc>
      </w:tr>
      <w:tr>
        <w:trPr>
          <w:trHeight w:val="351"/>
        </w:trPr>
        <w:tc>
          <w:tcPr>
            <w:tcW w:w="400" w:type="dxa"/>
            <w:vAlign w:val="bottom"/>
          </w:tcPr>
          <w:p>
            <w:pPr>
              <w:spacing w:after="0"/>
              <w:rPr>
                <w:sz w:val="24"/>
                <w:szCs w:val="24"/>
                <w:color w:val="auto"/>
              </w:rPr>
            </w:pPr>
          </w:p>
        </w:tc>
        <w:tc>
          <w:tcPr>
            <w:tcW w:w="5780" w:type="dxa"/>
            <w:vAlign w:val="bottom"/>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4140" w:type="dxa"/>
            <w:vAlign w:val="bottom"/>
            <w:tcBorders>
              <w:bottom w:val="single" w:sz="8" w:color="auto"/>
            </w:tcBorders>
          </w:tcPr>
          <w:p>
            <w:pPr>
              <w:jc w:val="center"/>
              <w:ind w:right="1089"/>
              <w:spacing w:after="0"/>
              <w:rPr>
                <w:sz w:val="20"/>
                <w:szCs w:val="20"/>
                <w:color w:val="auto"/>
              </w:rPr>
            </w:pPr>
            <w:r>
              <w:rPr>
                <w:rFonts w:ascii="Arial" w:cs="Arial" w:eastAsia="Arial" w:hAnsi="Arial"/>
                <w:sz w:val="12"/>
                <w:szCs w:val="12"/>
                <w:color w:val="auto"/>
              </w:rPr>
              <w:t>/s/  G</w:t>
            </w:r>
            <w:r>
              <w:rPr>
                <w:rFonts w:ascii="Arial" w:cs="Arial" w:eastAsia="Arial" w:hAnsi="Arial"/>
                <w:sz w:val="9"/>
                <w:szCs w:val="9"/>
                <w:color w:val="auto"/>
              </w:rPr>
              <w:t>ARY</w:t>
            </w:r>
            <w:r>
              <w:rPr>
                <w:rFonts w:ascii="Arial" w:cs="Arial" w:eastAsia="Arial" w:hAnsi="Arial"/>
                <w:sz w:val="12"/>
                <w:szCs w:val="12"/>
                <w:color w:val="auto"/>
              </w:rPr>
              <w:t xml:space="preserve"> K</w:t>
            </w:r>
            <w:r>
              <w:rPr>
                <w:rFonts w:ascii="Arial" w:cs="Arial" w:eastAsia="Arial" w:hAnsi="Arial"/>
                <w:sz w:val="9"/>
                <w:szCs w:val="9"/>
                <w:color w:val="auto"/>
              </w:rPr>
              <w:t>AIN</w:t>
            </w:r>
          </w:p>
        </w:tc>
      </w:tr>
      <w:tr>
        <w:trPr>
          <w:trHeight w:val="101"/>
        </w:trPr>
        <w:tc>
          <w:tcPr>
            <w:tcW w:w="400" w:type="dxa"/>
            <w:vAlign w:val="bottom"/>
          </w:tcPr>
          <w:p>
            <w:pPr>
              <w:spacing w:after="0"/>
              <w:rPr>
                <w:sz w:val="8"/>
                <w:szCs w:val="8"/>
                <w:color w:val="auto"/>
              </w:rPr>
            </w:pPr>
          </w:p>
        </w:tc>
        <w:tc>
          <w:tcPr>
            <w:tcW w:w="5780" w:type="dxa"/>
            <w:vAlign w:val="bottom"/>
          </w:tcPr>
          <w:p>
            <w:pPr>
              <w:spacing w:after="0"/>
              <w:rPr>
                <w:sz w:val="8"/>
                <w:szCs w:val="8"/>
                <w:color w:val="auto"/>
              </w:rPr>
            </w:pPr>
          </w:p>
        </w:tc>
        <w:tc>
          <w:tcPr>
            <w:tcW w:w="1140" w:type="dxa"/>
            <w:vAlign w:val="bottom"/>
          </w:tcPr>
          <w:p>
            <w:pPr>
              <w:spacing w:after="0"/>
              <w:rPr>
                <w:sz w:val="8"/>
                <w:szCs w:val="8"/>
                <w:color w:val="auto"/>
              </w:rPr>
            </w:pPr>
          </w:p>
        </w:tc>
        <w:tc>
          <w:tcPr>
            <w:tcW w:w="4140" w:type="dxa"/>
            <w:vAlign w:val="bottom"/>
          </w:tcPr>
          <w:p>
            <w:pPr>
              <w:jc w:val="center"/>
              <w:ind w:right="1089"/>
              <w:spacing w:after="0" w:line="101" w:lineRule="exact"/>
              <w:rPr>
                <w:sz w:val="20"/>
                <w:szCs w:val="20"/>
                <w:color w:val="auto"/>
              </w:rPr>
            </w:pPr>
            <w:r>
              <w:rPr>
                <w:rFonts w:ascii="Arial" w:cs="Arial" w:eastAsia="Arial" w:hAnsi="Arial"/>
                <w:sz w:val="10"/>
                <w:szCs w:val="10"/>
                <w:b w:val="1"/>
                <w:bCs w:val="1"/>
                <w:color w:val="auto"/>
                <w:w w:val="93"/>
              </w:rPr>
              <w:t>Gary Kain</w:t>
            </w:r>
          </w:p>
        </w:tc>
      </w:tr>
      <w:tr>
        <w:trPr>
          <w:trHeight w:val="99"/>
        </w:trPr>
        <w:tc>
          <w:tcPr>
            <w:tcW w:w="400" w:type="dxa"/>
            <w:vAlign w:val="bottom"/>
          </w:tcPr>
          <w:p>
            <w:pPr>
              <w:spacing w:after="0"/>
              <w:rPr>
                <w:sz w:val="8"/>
                <w:szCs w:val="8"/>
                <w:color w:val="auto"/>
              </w:rPr>
            </w:pPr>
          </w:p>
        </w:tc>
        <w:tc>
          <w:tcPr>
            <w:tcW w:w="5780" w:type="dxa"/>
            <w:vAlign w:val="bottom"/>
          </w:tcPr>
          <w:p>
            <w:pPr>
              <w:spacing w:after="0"/>
              <w:rPr>
                <w:sz w:val="8"/>
                <w:szCs w:val="8"/>
                <w:color w:val="auto"/>
              </w:rPr>
            </w:pPr>
          </w:p>
        </w:tc>
        <w:tc>
          <w:tcPr>
            <w:tcW w:w="1140" w:type="dxa"/>
            <w:vAlign w:val="bottom"/>
          </w:tcPr>
          <w:p>
            <w:pPr>
              <w:spacing w:after="0"/>
              <w:rPr>
                <w:sz w:val="8"/>
                <w:szCs w:val="8"/>
                <w:color w:val="auto"/>
              </w:rPr>
            </w:pPr>
          </w:p>
        </w:tc>
        <w:tc>
          <w:tcPr>
            <w:tcW w:w="4140" w:type="dxa"/>
            <w:vAlign w:val="bottom"/>
          </w:tcPr>
          <w:p>
            <w:pPr>
              <w:jc w:val="center"/>
              <w:ind w:right="1089"/>
              <w:spacing w:after="0" w:line="99" w:lineRule="exact"/>
              <w:rPr>
                <w:sz w:val="20"/>
                <w:szCs w:val="20"/>
                <w:color w:val="auto"/>
              </w:rPr>
            </w:pPr>
            <w:r>
              <w:rPr>
                <w:rFonts w:ascii="Arial" w:cs="Arial" w:eastAsia="Arial" w:hAnsi="Arial"/>
                <w:sz w:val="10"/>
                <w:szCs w:val="10"/>
                <w:b w:val="1"/>
                <w:bCs w:val="1"/>
                <w:color w:val="auto"/>
                <w:w w:val="86"/>
              </w:rPr>
              <w:t>Chief Executive Officer, President and</w:t>
            </w:r>
          </w:p>
        </w:tc>
      </w:tr>
      <w:tr>
        <w:trPr>
          <w:trHeight w:val="124"/>
        </w:trPr>
        <w:tc>
          <w:tcPr>
            <w:tcW w:w="400" w:type="dxa"/>
            <w:vAlign w:val="bottom"/>
          </w:tcPr>
          <w:p>
            <w:pPr>
              <w:spacing w:after="0"/>
              <w:rPr>
                <w:sz w:val="10"/>
                <w:szCs w:val="10"/>
                <w:color w:val="auto"/>
              </w:rPr>
            </w:pPr>
          </w:p>
        </w:tc>
        <w:tc>
          <w:tcPr>
            <w:tcW w:w="578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4140" w:type="dxa"/>
            <w:vAlign w:val="bottom"/>
          </w:tcPr>
          <w:p>
            <w:pPr>
              <w:jc w:val="center"/>
              <w:ind w:right="1089"/>
              <w:spacing w:after="0"/>
              <w:rPr>
                <w:sz w:val="20"/>
                <w:szCs w:val="20"/>
                <w:color w:val="auto"/>
              </w:rPr>
            </w:pPr>
            <w:r>
              <w:rPr>
                <w:rFonts w:ascii="Arial" w:cs="Arial" w:eastAsia="Arial" w:hAnsi="Arial"/>
                <w:sz w:val="10"/>
                <w:szCs w:val="10"/>
                <w:b w:val="1"/>
                <w:bCs w:val="1"/>
                <w:color w:val="auto"/>
                <w:w w:val="88"/>
              </w:rPr>
              <w:t>Chief Investment Officer (Principal Executive Officer)</w:t>
            </w:r>
          </w:p>
        </w:tc>
      </w:tr>
      <w:tr>
        <w:trPr>
          <w:trHeight w:val="170"/>
        </w:trPr>
        <w:tc>
          <w:tcPr>
            <w:tcW w:w="400" w:type="dxa"/>
            <w:vAlign w:val="bottom"/>
          </w:tcPr>
          <w:p>
            <w:pPr>
              <w:spacing w:after="0"/>
              <w:rPr>
                <w:sz w:val="20"/>
                <w:szCs w:val="20"/>
                <w:color w:val="auto"/>
              </w:rPr>
            </w:pPr>
            <w:r>
              <w:rPr>
                <w:rFonts w:ascii="Arial" w:cs="Arial" w:eastAsia="Arial" w:hAnsi="Arial"/>
                <w:sz w:val="12"/>
                <w:szCs w:val="12"/>
                <w:color w:val="auto"/>
              </w:rPr>
              <w:t>Date:</w:t>
            </w:r>
          </w:p>
        </w:tc>
        <w:tc>
          <w:tcPr>
            <w:tcW w:w="6920" w:type="dxa"/>
            <w:vAlign w:val="bottom"/>
            <w:gridSpan w:val="2"/>
          </w:tcPr>
          <w:p>
            <w:pPr>
              <w:ind w:left="160"/>
              <w:spacing w:after="0"/>
              <w:rPr>
                <w:sz w:val="20"/>
                <w:szCs w:val="20"/>
                <w:color w:val="auto"/>
              </w:rPr>
            </w:pPr>
            <w:r>
              <w:rPr>
                <w:rFonts w:ascii="Arial" w:cs="Arial" w:eastAsia="Arial" w:hAnsi="Arial"/>
                <w:sz w:val="12"/>
                <w:szCs w:val="12"/>
                <w:color w:val="auto"/>
              </w:rPr>
              <w:t>November 7, 2016</w:t>
            </w:r>
          </w:p>
        </w:tc>
        <w:tc>
          <w:tcPr>
            <w:tcW w:w="4140" w:type="dxa"/>
            <w:vAlign w:val="bottom"/>
          </w:tcPr>
          <w:p>
            <w:pPr>
              <w:spacing w:after="0"/>
              <w:rPr>
                <w:sz w:val="14"/>
                <w:szCs w:val="14"/>
                <w:color w:val="auto"/>
              </w:rPr>
            </w:pPr>
          </w:p>
        </w:tc>
      </w:tr>
      <w:tr>
        <w:trPr>
          <w:trHeight w:val="324"/>
        </w:trPr>
        <w:tc>
          <w:tcPr>
            <w:tcW w:w="400" w:type="dxa"/>
            <w:vAlign w:val="bottom"/>
          </w:tcPr>
          <w:p>
            <w:pPr>
              <w:spacing w:after="0"/>
              <w:rPr>
                <w:sz w:val="24"/>
                <w:szCs w:val="24"/>
                <w:color w:val="auto"/>
              </w:rPr>
            </w:pPr>
          </w:p>
        </w:tc>
        <w:tc>
          <w:tcPr>
            <w:tcW w:w="5780" w:type="dxa"/>
            <w:vAlign w:val="bottom"/>
          </w:tcPr>
          <w:p>
            <w:pPr>
              <w:ind w:left="5260"/>
              <w:spacing w:after="0"/>
              <w:rPr>
                <w:sz w:val="20"/>
                <w:szCs w:val="20"/>
                <w:color w:val="auto"/>
              </w:rPr>
            </w:pPr>
            <w:r>
              <w:rPr>
                <w:rFonts w:ascii="Arial" w:cs="Arial" w:eastAsia="Arial" w:hAnsi="Arial"/>
                <w:sz w:val="12"/>
                <w:szCs w:val="12"/>
                <w:color w:val="auto"/>
              </w:rPr>
              <w:t>57</w:t>
            </w:r>
          </w:p>
        </w:tc>
        <w:tc>
          <w:tcPr>
            <w:tcW w:w="1140" w:type="dxa"/>
            <w:vAlign w:val="bottom"/>
          </w:tcPr>
          <w:p>
            <w:pPr>
              <w:spacing w:after="0"/>
              <w:rPr>
                <w:sz w:val="24"/>
                <w:szCs w:val="24"/>
                <w:color w:val="auto"/>
              </w:rPr>
            </w:pPr>
          </w:p>
        </w:tc>
        <w:tc>
          <w:tcPr>
            <w:tcW w:w="4140" w:type="dxa"/>
            <w:vAlign w:val="bottom"/>
          </w:tcPr>
          <w:p>
            <w:pPr>
              <w:spacing w:after="0"/>
              <w:rPr>
                <w:sz w:val="24"/>
                <w:szCs w:val="24"/>
                <w:color w:val="auto"/>
              </w:rPr>
            </w:pPr>
          </w:p>
        </w:tc>
      </w:tr>
    </w:tbl>
    <w:p>
      <w:pPr>
        <w:sectPr>
          <w:pgSz w:w="11900" w:h="16838" w:orient="portrait"/>
          <w:cols w:equalWidth="0" w:num="1">
            <w:col w:w="11460"/>
          </w:cols>
          <w:pgMar w:left="240" w:top="433" w:right="199" w:bottom="1440" w:gutter="0" w:footer="0" w:header="0"/>
        </w:sectPr>
      </w:pPr>
    </w:p>
    <w:bookmarkStart w:id="58" w:name="page59"/>
    <w:bookmarkEnd w:id="58"/>
    <w:p>
      <w:pPr>
        <w:jc w:val="right"/>
        <w:spacing w:after="0"/>
        <w:rPr>
          <w:sz w:val="20"/>
          <w:szCs w:val="20"/>
          <w:color w:val="auto"/>
        </w:rPr>
      </w:pPr>
      <w:r>
        <w:rPr>
          <w:rFonts w:ascii="Arial" w:cs="Arial" w:eastAsia="Arial" w:hAnsi="Arial"/>
          <w:sz w:val="12"/>
          <w:szCs w:val="12"/>
          <w:color w:val="auto"/>
        </w:rPr>
        <w:t>Exhibit 3.1</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AMENDED AND RESTATED</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CERTIFICATE OF INCORPORATION</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OF</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AGNC INVESTMENT CORP.</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As amended and in effect through September 30, 2016</w:t>
      </w:r>
    </w:p>
    <w:p>
      <w:pPr>
        <w:spacing w:after="0" w:line="287"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I</w:t>
      </w:r>
    </w:p>
    <w:p>
      <w:pPr>
        <w:spacing w:after="0" w:line="200" w:lineRule="exact"/>
        <w:rPr>
          <w:sz w:val="20"/>
          <w:szCs w:val="20"/>
          <w:color w:val="auto"/>
        </w:rPr>
      </w:pPr>
    </w:p>
    <w:p>
      <w:pPr>
        <w:spacing w:after="0" w:line="242"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NAME</w:t>
      </w:r>
    </w:p>
    <w:p>
      <w:pPr>
        <w:spacing w:after="0" w:line="226" w:lineRule="exact"/>
        <w:rPr>
          <w:sz w:val="20"/>
          <w:szCs w:val="20"/>
          <w:color w:val="auto"/>
        </w:rPr>
      </w:pPr>
    </w:p>
    <w:p>
      <w:pPr>
        <w:ind w:left="860"/>
        <w:spacing w:after="0"/>
        <w:rPr>
          <w:sz w:val="20"/>
          <w:szCs w:val="20"/>
          <w:color w:val="auto"/>
        </w:rPr>
      </w:pPr>
      <w:r>
        <w:rPr>
          <w:rFonts w:ascii="Arial" w:cs="Arial" w:eastAsia="Arial" w:hAnsi="Arial"/>
          <w:sz w:val="14"/>
          <w:szCs w:val="14"/>
          <w:color w:val="auto"/>
        </w:rPr>
        <w:t>The name of the Corporation is AGNC Investment Corp.</w:t>
      </w:r>
    </w:p>
    <w:p>
      <w:pPr>
        <w:spacing w:after="0" w:line="226"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II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ADDRESS OF REGISTERED OFFICE; NAME OF REGISTERED AGENT</w:t>
      </w:r>
    </w:p>
    <w:p>
      <w:pPr>
        <w:spacing w:after="0" w:line="226" w:lineRule="exact"/>
        <w:rPr>
          <w:sz w:val="20"/>
          <w:szCs w:val="20"/>
          <w:color w:val="auto"/>
        </w:rPr>
      </w:pPr>
    </w:p>
    <w:p>
      <w:pPr>
        <w:ind w:right="280" w:firstLine="865"/>
        <w:spacing w:after="0" w:line="287" w:lineRule="auto"/>
        <w:rPr>
          <w:sz w:val="20"/>
          <w:szCs w:val="20"/>
          <w:color w:val="auto"/>
        </w:rPr>
      </w:pPr>
      <w:r>
        <w:rPr>
          <w:rFonts w:ascii="Arial" w:cs="Arial" w:eastAsia="Arial" w:hAnsi="Arial"/>
          <w:sz w:val="14"/>
          <w:szCs w:val="14"/>
          <w:color w:val="auto"/>
        </w:rPr>
        <w:t>The address of the registered office of the Corporation in the State of Delaware is 1209 Orange Street, in the City of Wilmington, County of New Castle. The name of its registered agent at that address is The Corporation Trust Company.</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III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PURPOSE AND POWER</w:t>
      </w:r>
    </w:p>
    <w:p>
      <w:pPr>
        <w:spacing w:after="0" w:line="226" w:lineRule="exact"/>
        <w:rPr>
          <w:sz w:val="20"/>
          <w:szCs w:val="20"/>
          <w:color w:val="auto"/>
        </w:rPr>
      </w:pPr>
    </w:p>
    <w:p>
      <w:pPr>
        <w:ind w:left="860"/>
        <w:spacing w:after="0"/>
        <w:rPr>
          <w:sz w:val="20"/>
          <w:szCs w:val="20"/>
          <w:color w:val="auto"/>
        </w:rPr>
      </w:pPr>
      <w:r>
        <w:rPr>
          <w:rFonts w:ascii="Arial" w:cs="Arial" w:eastAsia="Arial" w:hAnsi="Arial"/>
          <w:sz w:val="14"/>
          <w:szCs w:val="14"/>
          <w:color w:val="auto"/>
        </w:rPr>
        <w:t>The purpose of the Corporation is to engage in any lawful act or activity for which a corporation may be organized under the General Corporation Law.</w:t>
      </w:r>
    </w:p>
    <w:p>
      <w:pPr>
        <w:spacing w:after="0" w:line="226"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IV</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CAPITAL STOCK</w:t>
      </w:r>
    </w:p>
    <w:p>
      <w:pPr>
        <w:spacing w:after="0" w:line="154" w:lineRule="exact"/>
        <w:rPr>
          <w:sz w:val="20"/>
          <w:szCs w:val="20"/>
          <w:color w:val="auto"/>
        </w:rPr>
      </w:pPr>
    </w:p>
    <w:p>
      <w:pPr>
        <w:ind w:left="40" w:right="20" w:firstLine="802"/>
        <w:spacing w:after="0" w:line="270" w:lineRule="auto"/>
        <w:rPr>
          <w:sz w:val="20"/>
          <w:szCs w:val="20"/>
          <w:color w:val="auto"/>
        </w:rPr>
      </w:pPr>
      <w:r>
        <w:rPr>
          <w:rFonts w:ascii="Arial" w:cs="Arial" w:eastAsia="Arial" w:hAnsi="Arial"/>
          <w:sz w:val="14"/>
          <w:szCs w:val="14"/>
          <w:color w:val="auto"/>
        </w:rPr>
        <w:t xml:space="preserve">Section 4.1. </w:t>
      </w:r>
      <w:r>
        <w:rPr>
          <w:rFonts w:ascii="Arial" w:cs="Arial" w:eastAsia="Arial" w:hAnsi="Arial"/>
          <w:sz w:val="14"/>
          <w:szCs w:val="14"/>
          <w:u w:val="single" w:color="auto"/>
          <w:color w:val="auto"/>
        </w:rPr>
        <w:t>Total Number of Shares of Capital Stock.</w:t>
      </w:r>
      <w:r>
        <w:rPr>
          <w:rFonts w:ascii="Arial" w:cs="Arial" w:eastAsia="Arial" w:hAnsi="Arial"/>
          <w:sz w:val="14"/>
          <w:szCs w:val="14"/>
          <w:color w:val="auto"/>
        </w:rPr>
        <w:t xml:space="preserve"> The total number of shares of capital stock of all classes that the Corporation shall have authority to issue is 610,000,000 shares. The authorized stock is divided into 10,000,000 shares of preferred stock, with the par value of $0.01 each (the “Preferred Stock”), and 600,000,000 shares of common stock, with the par value of $0.01 each (the “Common Stock”). The Board of Directors of the Corporation (the “Board of Directors”) may classify any unissued shares of stock and reclassify any previously classified but unissued shares of stock from time to time, in one or more classes or series of stock</w:t>
      </w:r>
      <w:r>
        <w:rPr>
          <w:rFonts w:ascii="Arial" w:cs="Arial" w:eastAsia="Arial" w:hAnsi="Arial"/>
          <w:sz w:val="12"/>
          <w:szCs w:val="12"/>
          <w:color w:val="auto"/>
        </w:rPr>
        <w:t>.</w:t>
      </w:r>
    </w:p>
    <w:p>
      <w:pPr>
        <w:spacing w:after="0" w:line="194" w:lineRule="exact"/>
        <w:rPr>
          <w:sz w:val="20"/>
          <w:szCs w:val="20"/>
          <w:color w:val="auto"/>
        </w:rPr>
      </w:pPr>
    </w:p>
    <w:p>
      <w:pPr>
        <w:ind w:right="20" w:firstLine="865"/>
        <w:spacing w:after="0" w:line="266" w:lineRule="auto"/>
        <w:rPr>
          <w:sz w:val="20"/>
          <w:szCs w:val="20"/>
          <w:color w:val="auto"/>
        </w:rPr>
      </w:pPr>
      <w:r>
        <w:rPr>
          <w:rFonts w:ascii="Arial" w:cs="Arial" w:eastAsia="Arial" w:hAnsi="Arial"/>
          <w:sz w:val="14"/>
          <w:szCs w:val="14"/>
          <w:color w:val="auto"/>
        </w:rPr>
        <w:t xml:space="preserve">Section 4.2 </w:t>
      </w:r>
      <w:r>
        <w:rPr>
          <w:rFonts w:ascii="Arial" w:cs="Arial" w:eastAsia="Arial" w:hAnsi="Arial"/>
          <w:sz w:val="14"/>
          <w:szCs w:val="14"/>
          <w:u w:val="single" w:color="auto"/>
          <w:color w:val="auto"/>
        </w:rPr>
        <w:t>Preferred Stock.</w:t>
      </w:r>
      <w:r>
        <w:rPr>
          <w:rFonts w:ascii="Arial" w:cs="Arial" w:eastAsia="Arial" w:hAnsi="Arial"/>
          <w:sz w:val="14"/>
          <w:szCs w:val="14"/>
          <w:color w:val="auto"/>
        </w:rPr>
        <w:t xml:space="preserve"> Authority is hereby expressly granted to the Board of Directors of the Corporation (the "Board of Directors"), subject to the provisions of this Article IV and to the limitations prescribed by the General Corporation Law, to authorize the issue of one or more classes of Preferred Stock and, with respect to each such class, to fix by resolution or resolutions providing for the issue of such class the voting powers, full or limited, if any, of the shares of such class, the designations, preferences and relative, participating, optional or other special rights, and qualifications, limitations or restrictions thereof. The authority of the Board of Directors with respect to each class thereof shall include, but not be limited to, the determination or fixing of the following:</w:t>
      </w:r>
    </w:p>
    <w:p>
      <w:pPr>
        <w:spacing w:after="0" w:line="117" w:lineRule="exact"/>
        <w:rPr>
          <w:sz w:val="20"/>
          <w:szCs w:val="20"/>
          <w:color w:val="auto"/>
        </w:rPr>
      </w:pPr>
    </w:p>
    <w:p>
      <w:pPr>
        <w:ind w:left="860"/>
        <w:spacing w:after="0"/>
        <w:tabs>
          <w:tab w:leader="none" w:pos="1120" w:val="left"/>
        </w:tabs>
        <w:rPr>
          <w:sz w:val="20"/>
          <w:szCs w:val="20"/>
          <w:color w:val="auto"/>
        </w:rPr>
      </w:pPr>
      <w:r>
        <w:rPr>
          <w:rFonts w:ascii="Arial" w:cs="Arial" w:eastAsia="Arial" w:hAnsi="Arial"/>
          <w:sz w:val="14"/>
          <w:szCs w:val="14"/>
          <w:color w:val="auto"/>
        </w:rPr>
        <w:t>(a)</w:t>
      </w:r>
      <w:r>
        <w:rPr>
          <w:sz w:val="20"/>
          <w:szCs w:val="20"/>
          <w:color w:val="auto"/>
        </w:rPr>
        <w:tab/>
      </w:r>
      <w:r>
        <w:rPr>
          <w:rFonts w:ascii="Arial" w:cs="Arial" w:eastAsia="Arial" w:hAnsi="Arial"/>
          <w:sz w:val="12"/>
          <w:szCs w:val="12"/>
          <w:color w:val="auto"/>
        </w:rPr>
        <w:t>the designation of such class;</w:t>
      </w:r>
    </w:p>
    <w:p>
      <w:pPr>
        <w:sectPr>
          <w:pgSz w:w="11900" w:h="16838" w:orient="portrait"/>
          <w:cols w:equalWidth="0" w:num="1">
            <w:col w:w="11480"/>
          </w:cols>
          <w:pgMar w:left="220" w:top="437" w:right="199" w:bottom="1440" w:gutter="0" w:footer="0" w:header="0"/>
        </w:sectPr>
      </w:pPr>
    </w:p>
    <w:bookmarkStart w:id="59" w:name="page60"/>
    <w:bookmarkEnd w:id="59"/>
    <w:p>
      <w:pPr>
        <w:ind w:right="80" w:firstLine="857"/>
        <w:spacing w:after="0" w:line="300" w:lineRule="auto"/>
        <w:tabs>
          <w:tab w:leader="none" w:pos="1153" w:val="left"/>
        </w:tabs>
        <w:numPr>
          <w:ilvl w:val="0"/>
          <w:numId w:val="35"/>
        </w:numPr>
        <w:rPr>
          <w:rFonts w:ascii="Arial" w:cs="Arial" w:eastAsia="Arial" w:hAnsi="Arial"/>
          <w:sz w:val="14"/>
          <w:szCs w:val="14"/>
          <w:color w:val="auto"/>
        </w:rPr>
      </w:pPr>
      <w:r>
        <w:rPr>
          <w:rFonts w:ascii="Arial" w:cs="Arial" w:eastAsia="Arial" w:hAnsi="Arial"/>
          <w:sz w:val="14"/>
          <w:szCs w:val="14"/>
          <w:color w:val="auto"/>
        </w:rPr>
        <w:t>the number of shares to compose such class, which number the Board of Directors may thereafter (except where otherwise provided in a resolution designating a particular class) increase (but not above the total number of authorized shares of the class) or decrease (but not below the number of shares thereof then outstanding);</w:t>
      </w:r>
    </w:p>
    <w:p>
      <w:pPr>
        <w:spacing w:after="0" w:line="92" w:lineRule="exact"/>
        <w:rPr>
          <w:rFonts w:ascii="Arial" w:cs="Arial" w:eastAsia="Arial" w:hAnsi="Arial"/>
          <w:sz w:val="14"/>
          <w:szCs w:val="14"/>
          <w:color w:val="auto"/>
        </w:rPr>
      </w:pPr>
    </w:p>
    <w:p>
      <w:pPr>
        <w:ind w:right="80" w:firstLine="857"/>
        <w:spacing w:after="0" w:line="300" w:lineRule="auto"/>
        <w:tabs>
          <w:tab w:leader="none" w:pos="1145" w:val="left"/>
        </w:tabs>
        <w:numPr>
          <w:ilvl w:val="0"/>
          <w:numId w:val="35"/>
        </w:numPr>
        <w:rPr>
          <w:rFonts w:ascii="Arial" w:cs="Arial" w:eastAsia="Arial" w:hAnsi="Arial"/>
          <w:sz w:val="14"/>
          <w:szCs w:val="14"/>
          <w:color w:val="auto"/>
        </w:rPr>
      </w:pPr>
      <w:r>
        <w:rPr>
          <w:rFonts w:ascii="Arial" w:cs="Arial" w:eastAsia="Arial" w:hAnsi="Arial"/>
          <w:sz w:val="14"/>
          <w:szCs w:val="14"/>
          <w:color w:val="auto"/>
        </w:rPr>
        <w:t>the dividend rate of such class, the conditions and dates upon which such dividends shall be payable, the relation which such dividends shall bear to the dividends payable on any other class or classes of capital stock of the Corporation and whether such dividends shall be cumulative or noncumulative;</w:t>
      </w:r>
    </w:p>
    <w:p>
      <w:pPr>
        <w:spacing w:after="0" w:line="92" w:lineRule="exact"/>
        <w:rPr>
          <w:rFonts w:ascii="Arial" w:cs="Arial" w:eastAsia="Arial" w:hAnsi="Arial"/>
          <w:sz w:val="14"/>
          <w:szCs w:val="14"/>
          <w:color w:val="auto"/>
        </w:rPr>
      </w:pPr>
    </w:p>
    <w:p>
      <w:pPr>
        <w:ind w:left="1140" w:hanging="283"/>
        <w:spacing w:after="0"/>
        <w:tabs>
          <w:tab w:leader="none" w:pos="1140" w:val="left"/>
        </w:tabs>
        <w:numPr>
          <w:ilvl w:val="0"/>
          <w:numId w:val="35"/>
        </w:numPr>
        <w:rPr>
          <w:rFonts w:ascii="Arial" w:cs="Arial" w:eastAsia="Arial" w:hAnsi="Arial"/>
          <w:sz w:val="13"/>
          <w:szCs w:val="13"/>
          <w:color w:val="auto"/>
        </w:rPr>
      </w:pPr>
      <w:r>
        <w:rPr>
          <w:rFonts w:ascii="Arial" w:cs="Arial" w:eastAsia="Arial" w:hAnsi="Arial"/>
          <w:sz w:val="13"/>
          <w:szCs w:val="13"/>
          <w:color w:val="auto"/>
        </w:rPr>
        <w:t>whether the shares of such class shall be subject to redemption by the Corporation and, if made subject to such redemption, the times, prices and other terms and conditions of</w:t>
      </w:r>
    </w:p>
    <w:p>
      <w:pPr>
        <w:spacing w:after="0" w:line="32" w:lineRule="exact"/>
        <w:rPr>
          <w:rFonts w:ascii="Arial" w:cs="Arial" w:eastAsia="Arial" w:hAnsi="Arial"/>
          <w:sz w:val="13"/>
          <w:szCs w:val="13"/>
          <w:color w:val="auto"/>
        </w:rPr>
      </w:pPr>
    </w:p>
    <w:p>
      <w:pPr>
        <w:spacing w:after="0"/>
        <w:rPr>
          <w:rFonts w:ascii="Arial" w:cs="Arial" w:eastAsia="Arial" w:hAnsi="Arial"/>
          <w:sz w:val="13"/>
          <w:szCs w:val="13"/>
          <w:color w:val="auto"/>
        </w:rPr>
      </w:pPr>
      <w:r>
        <w:rPr>
          <w:rFonts w:ascii="Arial" w:cs="Arial" w:eastAsia="Arial" w:hAnsi="Arial"/>
          <w:sz w:val="14"/>
          <w:szCs w:val="14"/>
          <w:color w:val="auto"/>
        </w:rPr>
        <w:t>such redemption;</w:t>
      </w:r>
    </w:p>
    <w:p>
      <w:pPr>
        <w:spacing w:after="0" w:line="151" w:lineRule="exact"/>
        <w:rPr>
          <w:rFonts w:ascii="Arial" w:cs="Arial" w:eastAsia="Arial" w:hAnsi="Arial"/>
          <w:sz w:val="13"/>
          <w:szCs w:val="13"/>
          <w:color w:val="auto"/>
        </w:rPr>
      </w:pPr>
    </w:p>
    <w:p>
      <w:pPr>
        <w:ind w:left="1140" w:hanging="283"/>
        <w:spacing w:after="0"/>
        <w:tabs>
          <w:tab w:leader="none" w:pos="1140" w:val="left"/>
        </w:tabs>
        <w:numPr>
          <w:ilvl w:val="0"/>
          <w:numId w:val="35"/>
        </w:numPr>
        <w:rPr>
          <w:rFonts w:ascii="Arial" w:cs="Arial" w:eastAsia="Arial" w:hAnsi="Arial"/>
          <w:sz w:val="14"/>
          <w:szCs w:val="14"/>
          <w:color w:val="auto"/>
        </w:rPr>
      </w:pPr>
      <w:r>
        <w:rPr>
          <w:rFonts w:ascii="Arial" w:cs="Arial" w:eastAsia="Arial" w:hAnsi="Arial"/>
          <w:sz w:val="14"/>
          <w:szCs w:val="14"/>
          <w:color w:val="auto"/>
        </w:rPr>
        <w:t>the terms and amount of any sinking fund provided for the purchase or redemption of the shares of such class;</w:t>
      </w:r>
    </w:p>
    <w:p>
      <w:pPr>
        <w:spacing w:after="0" w:line="163" w:lineRule="exact"/>
        <w:rPr>
          <w:rFonts w:ascii="Arial" w:cs="Arial" w:eastAsia="Arial" w:hAnsi="Arial"/>
          <w:sz w:val="14"/>
          <w:szCs w:val="14"/>
          <w:color w:val="auto"/>
        </w:rPr>
      </w:pPr>
    </w:p>
    <w:p>
      <w:pPr>
        <w:ind w:right="240" w:firstLine="857"/>
        <w:spacing w:after="0" w:line="300" w:lineRule="auto"/>
        <w:tabs>
          <w:tab w:leader="none" w:pos="1129" w:val="left"/>
        </w:tabs>
        <w:numPr>
          <w:ilvl w:val="0"/>
          <w:numId w:val="35"/>
        </w:numPr>
        <w:rPr>
          <w:rFonts w:ascii="Arial" w:cs="Arial" w:eastAsia="Arial" w:hAnsi="Arial"/>
          <w:sz w:val="14"/>
          <w:szCs w:val="14"/>
          <w:color w:val="auto"/>
        </w:rPr>
      </w:pPr>
      <w:r>
        <w:rPr>
          <w:rFonts w:ascii="Arial" w:cs="Arial" w:eastAsia="Arial" w:hAnsi="Arial"/>
          <w:sz w:val="14"/>
          <w:szCs w:val="14"/>
          <w:color w:val="auto"/>
        </w:rPr>
        <w:t>whether the shares of such class shall be convertible into or exchangeable for shares of any other class or classes of any capital stock or any other securities of the Corporation, and, if provision is made for conversion or exchange, the times, prices, rates, adjustments and other terms and conditions of such conversion or exchange;</w:t>
      </w:r>
    </w:p>
    <w:p>
      <w:pPr>
        <w:spacing w:after="0" w:line="92" w:lineRule="exact"/>
        <w:rPr>
          <w:rFonts w:ascii="Arial" w:cs="Arial" w:eastAsia="Arial" w:hAnsi="Arial"/>
          <w:sz w:val="14"/>
          <w:szCs w:val="14"/>
          <w:color w:val="auto"/>
        </w:rPr>
      </w:pPr>
    </w:p>
    <w:p>
      <w:pPr>
        <w:ind w:left="1140" w:hanging="283"/>
        <w:spacing w:after="0"/>
        <w:tabs>
          <w:tab w:leader="none" w:pos="1140" w:val="left"/>
        </w:tabs>
        <w:numPr>
          <w:ilvl w:val="0"/>
          <w:numId w:val="35"/>
        </w:numPr>
        <w:rPr>
          <w:rFonts w:ascii="Arial" w:cs="Arial" w:eastAsia="Arial" w:hAnsi="Arial"/>
          <w:sz w:val="14"/>
          <w:szCs w:val="14"/>
          <w:color w:val="auto"/>
        </w:rPr>
      </w:pPr>
      <w:r>
        <w:rPr>
          <w:rFonts w:ascii="Arial" w:cs="Arial" w:eastAsia="Arial" w:hAnsi="Arial"/>
          <w:sz w:val="14"/>
          <w:szCs w:val="14"/>
          <w:color w:val="auto"/>
        </w:rPr>
        <w:t>the extent, if any, to which the holders of shares of such class shall be entitled to vote with respect to the election of directors or otherwise;</w:t>
      </w:r>
    </w:p>
    <w:p>
      <w:pPr>
        <w:spacing w:after="0" w:line="163" w:lineRule="exact"/>
        <w:rPr>
          <w:rFonts w:ascii="Arial" w:cs="Arial" w:eastAsia="Arial" w:hAnsi="Arial"/>
          <w:sz w:val="14"/>
          <w:szCs w:val="14"/>
          <w:color w:val="auto"/>
        </w:rPr>
      </w:pPr>
    </w:p>
    <w:p>
      <w:pPr>
        <w:ind w:left="1140" w:hanging="283"/>
        <w:spacing w:after="0"/>
        <w:tabs>
          <w:tab w:leader="none" w:pos="1140" w:val="left"/>
        </w:tabs>
        <w:numPr>
          <w:ilvl w:val="0"/>
          <w:numId w:val="35"/>
        </w:numPr>
        <w:rPr>
          <w:rFonts w:ascii="Arial" w:cs="Arial" w:eastAsia="Arial" w:hAnsi="Arial"/>
          <w:sz w:val="14"/>
          <w:szCs w:val="14"/>
          <w:color w:val="auto"/>
        </w:rPr>
      </w:pPr>
      <w:r>
        <w:rPr>
          <w:rFonts w:ascii="Arial" w:cs="Arial" w:eastAsia="Arial" w:hAnsi="Arial"/>
          <w:sz w:val="14"/>
          <w:szCs w:val="14"/>
          <w:color w:val="auto"/>
        </w:rPr>
        <w:t>the restrictions, if any, on the issue or reissue of any additional Preferred Stock;</w:t>
      </w:r>
    </w:p>
    <w:p>
      <w:pPr>
        <w:spacing w:after="0" w:line="163" w:lineRule="exact"/>
        <w:rPr>
          <w:rFonts w:ascii="Arial" w:cs="Arial" w:eastAsia="Arial" w:hAnsi="Arial"/>
          <w:sz w:val="14"/>
          <w:szCs w:val="14"/>
          <w:color w:val="auto"/>
        </w:rPr>
      </w:pPr>
    </w:p>
    <w:p>
      <w:pPr>
        <w:ind w:left="1120" w:hanging="263"/>
        <w:spacing w:after="0"/>
        <w:tabs>
          <w:tab w:leader="none" w:pos="1120" w:val="left"/>
        </w:tabs>
        <w:numPr>
          <w:ilvl w:val="0"/>
          <w:numId w:val="35"/>
        </w:numPr>
        <w:rPr>
          <w:rFonts w:ascii="Arial" w:cs="Arial" w:eastAsia="Arial" w:hAnsi="Arial"/>
          <w:sz w:val="13"/>
          <w:szCs w:val="13"/>
          <w:color w:val="auto"/>
        </w:rPr>
      </w:pPr>
      <w:r>
        <w:rPr>
          <w:rFonts w:ascii="Arial" w:cs="Arial" w:eastAsia="Arial" w:hAnsi="Arial"/>
          <w:sz w:val="13"/>
          <w:szCs w:val="13"/>
          <w:color w:val="auto"/>
        </w:rPr>
        <w:t>the rights of the holders of the shares of such class upon the dissolution of, voluntary or involuntary liquidation, winding up or upon the distribution of assets of the Corporation;</w:t>
      </w:r>
    </w:p>
    <w:p>
      <w:pPr>
        <w:spacing w:after="0" w:line="32" w:lineRule="exact"/>
        <w:rPr>
          <w:rFonts w:ascii="Arial" w:cs="Arial" w:eastAsia="Arial" w:hAnsi="Arial"/>
          <w:sz w:val="13"/>
          <w:szCs w:val="13"/>
          <w:color w:val="auto"/>
        </w:rPr>
      </w:pPr>
    </w:p>
    <w:p>
      <w:pPr>
        <w:spacing w:after="0"/>
        <w:rPr>
          <w:rFonts w:ascii="Arial" w:cs="Arial" w:eastAsia="Arial" w:hAnsi="Arial"/>
          <w:sz w:val="13"/>
          <w:szCs w:val="13"/>
          <w:color w:val="auto"/>
        </w:rPr>
      </w:pPr>
      <w:r>
        <w:rPr>
          <w:rFonts w:ascii="Arial" w:cs="Arial" w:eastAsia="Arial" w:hAnsi="Arial"/>
          <w:sz w:val="14"/>
          <w:szCs w:val="14"/>
          <w:color w:val="auto"/>
        </w:rPr>
        <w:t>and</w:t>
      </w:r>
    </w:p>
    <w:p>
      <w:pPr>
        <w:spacing w:after="0" w:line="151" w:lineRule="exact"/>
        <w:rPr>
          <w:rFonts w:ascii="Arial" w:cs="Arial" w:eastAsia="Arial" w:hAnsi="Arial"/>
          <w:sz w:val="13"/>
          <w:szCs w:val="13"/>
          <w:color w:val="auto"/>
        </w:rPr>
      </w:pPr>
    </w:p>
    <w:p>
      <w:pPr>
        <w:ind w:right="620" w:firstLine="857"/>
        <w:spacing w:after="0" w:line="300" w:lineRule="auto"/>
        <w:tabs>
          <w:tab w:leader="none" w:pos="1121" w:val="left"/>
        </w:tabs>
        <w:numPr>
          <w:ilvl w:val="0"/>
          <w:numId w:val="35"/>
        </w:numPr>
        <w:rPr>
          <w:rFonts w:ascii="Arial" w:cs="Arial" w:eastAsia="Arial" w:hAnsi="Arial"/>
          <w:sz w:val="14"/>
          <w:szCs w:val="14"/>
          <w:color w:val="auto"/>
        </w:rPr>
      </w:pPr>
      <w:r>
        <w:rPr>
          <w:rFonts w:ascii="Arial" w:cs="Arial" w:eastAsia="Arial" w:hAnsi="Arial"/>
          <w:sz w:val="14"/>
          <w:szCs w:val="14"/>
          <w:color w:val="auto"/>
        </w:rPr>
        <w:t>the manner in which any facts ascertainable outside the resolution or resolutions providing for the issue of such class shall operate upon the voting powers, designations, preferences, rights and qualifications, limitations or restrictions of such class.</w:t>
      </w:r>
    </w:p>
    <w:p>
      <w:pPr>
        <w:spacing w:after="0" w:line="93" w:lineRule="exact"/>
        <w:rPr>
          <w:sz w:val="20"/>
          <w:szCs w:val="20"/>
          <w:color w:val="auto"/>
        </w:rPr>
      </w:pPr>
    </w:p>
    <w:p>
      <w:pPr>
        <w:ind w:right="40" w:firstLine="865"/>
        <w:spacing w:after="0" w:line="277" w:lineRule="auto"/>
        <w:rPr>
          <w:sz w:val="20"/>
          <w:szCs w:val="20"/>
          <w:color w:val="auto"/>
        </w:rPr>
      </w:pPr>
      <w:r>
        <w:rPr>
          <w:rFonts w:ascii="Arial" w:cs="Arial" w:eastAsia="Arial" w:hAnsi="Arial"/>
          <w:sz w:val="14"/>
          <w:szCs w:val="14"/>
          <w:color w:val="auto"/>
        </w:rPr>
        <w:t xml:space="preserve">Section 4.3 </w:t>
      </w:r>
      <w:r>
        <w:rPr>
          <w:rFonts w:ascii="Arial" w:cs="Arial" w:eastAsia="Arial" w:hAnsi="Arial"/>
          <w:sz w:val="14"/>
          <w:szCs w:val="14"/>
          <w:u w:val="single" w:color="auto"/>
          <w:color w:val="auto"/>
        </w:rPr>
        <w:t>Common Stock.</w:t>
      </w:r>
      <w:r>
        <w:rPr>
          <w:rFonts w:ascii="Arial" w:cs="Arial" w:eastAsia="Arial" w:hAnsi="Arial"/>
          <w:sz w:val="14"/>
          <w:szCs w:val="14"/>
          <w:color w:val="auto"/>
        </w:rPr>
        <w:t xml:space="preserve"> (a) Subject to all of the rights of the holders of Preferred Stock provided for by resolution or resolutions of the Board of Directors pursuant to this Article IV or by the General Corporation Law, each holder of Common Stock shall have one vote per share of Common Stock held by such holder on all matters on which holders of Common Stock are entitled to vote and shall have the right to receive notice of and to vote at all meetings of the stockholders of the Corporation.</w:t>
      </w:r>
    </w:p>
    <w:p>
      <w:pPr>
        <w:spacing w:after="0" w:line="109" w:lineRule="exact"/>
        <w:rPr>
          <w:sz w:val="20"/>
          <w:szCs w:val="20"/>
          <w:color w:val="auto"/>
        </w:rPr>
      </w:pPr>
    </w:p>
    <w:p>
      <w:pPr>
        <w:ind w:right="80" w:firstLine="857"/>
        <w:spacing w:after="0" w:line="271" w:lineRule="auto"/>
        <w:tabs>
          <w:tab w:leader="none" w:pos="1069" w:val="left"/>
        </w:tabs>
        <w:numPr>
          <w:ilvl w:val="0"/>
          <w:numId w:val="36"/>
        </w:numPr>
        <w:rPr>
          <w:rFonts w:ascii="Arial" w:cs="Arial" w:eastAsia="Arial" w:hAnsi="Arial"/>
          <w:sz w:val="14"/>
          <w:szCs w:val="14"/>
          <w:color w:val="auto"/>
        </w:rPr>
      </w:pPr>
      <w:r>
        <w:rPr>
          <w:rFonts w:ascii="Arial" w:cs="Arial" w:eastAsia="Arial" w:hAnsi="Arial"/>
          <w:sz w:val="14"/>
          <w:szCs w:val="14"/>
          <w:color w:val="auto"/>
        </w:rPr>
        <w:t>The holders of Common Stock shall have the right to receive dividends as and when declared by the Board of Directors in its sole discretion, subject to any limitations on the declaring of dividends imposed by the General Corporation Law or the rights of holders of Preferred Stock provided for by resolution or resolutions of the Board of Directors pursuant to this Article IV.</w:t>
      </w:r>
    </w:p>
    <w:p>
      <w:pPr>
        <w:spacing w:after="0" w:line="112" w:lineRule="exact"/>
        <w:rPr>
          <w:rFonts w:ascii="Arial" w:cs="Arial" w:eastAsia="Arial" w:hAnsi="Arial"/>
          <w:sz w:val="14"/>
          <w:szCs w:val="14"/>
          <w:color w:val="auto"/>
        </w:rPr>
      </w:pPr>
    </w:p>
    <w:p>
      <w:pPr>
        <w:ind w:left="1060" w:hanging="203"/>
        <w:spacing w:after="0"/>
        <w:tabs>
          <w:tab w:leader="none" w:pos="1060" w:val="left"/>
        </w:tabs>
        <w:numPr>
          <w:ilvl w:val="0"/>
          <w:numId w:val="36"/>
        </w:numPr>
        <w:rPr>
          <w:rFonts w:ascii="Arial" w:cs="Arial" w:eastAsia="Arial" w:hAnsi="Arial"/>
          <w:sz w:val="14"/>
          <w:szCs w:val="14"/>
          <w:color w:val="auto"/>
        </w:rPr>
      </w:pPr>
      <w:r>
        <w:rPr>
          <w:rFonts w:ascii="Arial" w:cs="Arial" w:eastAsia="Arial" w:hAnsi="Arial"/>
          <w:sz w:val="14"/>
          <w:szCs w:val="14"/>
          <w:color w:val="auto"/>
        </w:rPr>
        <w:t>Stockholders shall not have preemptive rights to acquire additional shares of stock of any class which the Corporation may elect to issue or sell.</w:t>
      </w:r>
    </w:p>
    <w:p>
      <w:pPr>
        <w:spacing w:after="0" w:line="154" w:lineRule="exact"/>
        <w:rPr>
          <w:sz w:val="20"/>
          <w:szCs w:val="20"/>
          <w:color w:val="auto"/>
        </w:rPr>
      </w:pPr>
    </w:p>
    <w:p>
      <w:pPr>
        <w:ind w:firstLine="865"/>
        <w:spacing w:after="0" w:line="266" w:lineRule="auto"/>
        <w:rPr>
          <w:sz w:val="20"/>
          <w:szCs w:val="20"/>
          <w:color w:val="auto"/>
        </w:rPr>
      </w:pPr>
      <w:r>
        <w:rPr>
          <w:rFonts w:ascii="Arial" w:cs="Arial" w:eastAsia="Arial" w:hAnsi="Arial"/>
          <w:sz w:val="14"/>
          <w:szCs w:val="14"/>
          <w:color w:val="auto"/>
        </w:rPr>
        <w:t xml:space="preserve">Section 4.4 </w:t>
      </w:r>
      <w:r>
        <w:rPr>
          <w:rFonts w:ascii="Arial" w:cs="Arial" w:eastAsia="Arial" w:hAnsi="Arial"/>
          <w:sz w:val="14"/>
          <w:szCs w:val="14"/>
          <w:u w:val="single" w:color="auto"/>
          <w:color w:val="auto"/>
        </w:rPr>
        <w:t>Issuance of Rights to Purchase Securities and Other Property.</w:t>
      </w:r>
      <w:r>
        <w:rPr>
          <w:rFonts w:ascii="Arial" w:cs="Arial" w:eastAsia="Arial" w:hAnsi="Arial"/>
          <w:sz w:val="14"/>
          <w:szCs w:val="14"/>
          <w:color w:val="auto"/>
        </w:rPr>
        <w:t xml:space="preserve"> Subject to all of the rights of the holders of Preferred Stock provided for by resolution or resolutions of the Board of Directors pursuant to this Article IV or by the General Corporation Law, the Board of Directors is hereby authorized to create and to authorize and direct the issuance (on either a pro rata or a non-pro rata basis) by the Corporation of rights, options and warrants for the purchase of shares of capital stock of the Corporation, other securities of the Corporation or shares or other securities of any successor in interest of the Corporation (a "Successor"), at such times, in such amounts, to such persons, for such consideration, with such form and content (including without limitation the consideration for which any shares of capital</w:t>
      </w:r>
    </w:p>
    <w:p>
      <w:pPr>
        <w:sectPr>
          <w:pgSz w:w="11900" w:h="16838" w:orient="portrait"/>
          <w:cols w:equalWidth="0" w:num="1">
            <w:col w:w="11460"/>
          </w:cols>
          <w:pgMar w:left="220" w:top="513" w:right="219" w:bottom="1440" w:gutter="0" w:footer="0" w:header="0"/>
        </w:sectPr>
      </w:pPr>
    </w:p>
    <w:bookmarkStart w:id="60" w:name="page61"/>
    <w:bookmarkEnd w:id="60"/>
    <w:p>
      <w:pPr>
        <w:ind w:right="40"/>
        <w:spacing w:after="0" w:line="327" w:lineRule="auto"/>
        <w:rPr>
          <w:sz w:val="20"/>
          <w:szCs w:val="20"/>
          <w:color w:val="auto"/>
        </w:rPr>
      </w:pPr>
      <w:r>
        <w:rPr>
          <w:rFonts w:ascii="Arial" w:cs="Arial" w:eastAsia="Arial" w:hAnsi="Arial"/>
          <w:sz w:val="13"/>
          <w:szCs w:val="13"/>
          <w:color w:val="auto"/>
        </w:rPr>
        <w:t>stock of the Corporation, other securities of the Corporation or shares or other securities of any Successor are to be issued) and upon such terms and conditions as it may from time to time determine, subject only to the restrictions, limitations, conditions and requirements imposed by the General Corporation Law, other applicable laws and this Certificate of Incorporation.</w:t>
      </w:r>
    </w:p>
    <w:p>
      <w:pPr>
        <w:spacing w:after="0" w:line="79" w:lineRule="exact"/>
        <w:rPr>
          <w:sz w:val="20"/>
          <w:szCs w:val="20"/>
          <w:color w:val="auto"/>
        </w:rPr>
      </w:pPr>
    </w:p>
    <w:p>
      <w:pPr>
        <w:ind w:right="340" w:firstLine="865"/>
        <w:spacing w:after="0" w:line="300" w:lineRule="auto"/>
        <w:rPr>
          <w:sz w:val="20"/>
          <w:szCs w:val="20"/>
          <w:color w:val="auto"/>
        </w:rPr>
      </w:pPr>
      <w:r>
        <w:rPr>
          <w:rFonts w:ascii="Arial" w:cs="Arial" w:eastAsia="Arial" w:hAnsi="Arial"/>
          <w:sz w:val="14"/>
          <w:szCs w:val="14"/>
          <w:color w:val="auto"/>
        </w:rPr>
        <w:t xml:space="preserve">Section 4.5 </w:t>
      </w:r>
      <w:r>
        <w:rPr>
          <w:rFonts w:ascii="Arial" w:cs="Arial" w:eastAsia="Arial" w:hAnsi="Arial"/>
          <w:sz w:val="14"/>
          <w:szCs w:val="14"/>
          <w:u w:val="single" w:color="auto"/>
          <w:color w:val="auto"/>
        </w:rPr>
        <w:t>Certificate of Incorporation and By-laws.</w:t>
      </w:r>
      <w:r>
        <w:rPr>
          <w:rFonts w:ascii="Arial" w:cs="Arial" w:eastAsia="Arial" w:hAnsi="Arial"/>
          <w:sz w:val="14"/>
          <w:szCs w:val="14"/>
          <w:color w:val="auto"/>
        </w:rPr>
        <w:t xml:space="preserve"> All persons who shall acquire stock in the Corporation shall acquire the same subject to the provisions of the Certificate of Incorporation and the By-laws of the Corporation (the "By-laws").</w:t>
      </w:r>
    </w:p>
    <w:p>
      <w:pPr>
        <w:spacing w:after="0" w:line="165"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V</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BOARD OF DIRECTORS</w:t>
      </w:r>
    </w:p>
    <w:p>
      <w:pPr>
        <w:spacing w:after="0" w:line="226" w:lineRule="exact"/>
        <w:rPr>
          <w:sz w:val="20"/>
          <w:szCs w:val="20"/>
          <w:color w:val="auto"/>
        </w:rPr>
      </w:pPr>
    </w:p>
    <w:p>
      <w:pPr>
        <w:ind w:right="80" w:firstLine="865"/>
        <w:spacing w:after="0" w:line="300" w:lineRule="auto"/>
        <w:rPr>
          <w:sz w:val="20"/>
          <w:szCs w:val="20"/>
          <w:color w:val="auto"/>
        </w:rPr>
      </w:pPr>
      <w:r>
        <w:rPr>
          <w:rFonts w:ascii="Arial" w:cs="Arial" w:eastAsia="Arial" w:hAnsi="Arial"/>
          <w:sz w:val="14"/>
          <w:szCs w:val="14"/>
          <w:color w:val="auto"/>
        </w:rPr>
        <w:t xml:space="preserve">Section 5.1 </w:t>
      </w:r>
      <w:r>
        <w:rPr>
          <w:rFonts w:ascii="Arial" w:cs="Arial" w:eastAsia="Arial" w:hAnsi="Arial"/>
          <w:sz w:val="14"/>
          <w:szCs w:val="14"/>
          <w:u w:val="single" w:color="auto"/>
          <w:color w:val="auto"/>
        </w:rPr>
        <w:t>Power of the Board of Directors.</w:t>
      </w:r>
      <w:r>
        <w:rPr>
          <w:rFonts w:ascii="Arial" w:cs="Arial" w:eastAsia="Arial" w:hAnsi="Arial"/>
          <w:sz w:val="14"/>
          <w:szCs w:val="14"/>
          <w:color w:val="auto"/>
        </w:rPr>
        <w:t xml:space="preserve"> The business and affairs of the Corporation shall be managed by or under the direction of its Board of Directors. In furtherance, and not in limitation, of the powers conferred by the General Corporation Law, the Board of Directors is expressly authorized to:</w:t>
      </w:r>
    </w:p>
    <w:p>
      <w:pPr>
        <w:spacing w:after="0" w:line="93" w:lineRule="exact"/>
        <w:rPr>
          <w:sz w:val="20"/>
          <w:szCs w:val="20"/>
          <w:color w:val="auto"/>
        </w:rPr>
      </w:pPr>
    </w:p>
    <w:p>
      <w:pPr>
        <w:ind w:left="1060" w:hanging="203"/>
        <w:spacing w:after="0"/>
        <w:tabs>
          <w:tab w:leader="none" w:pos="1060" w:val="left"/>
        </w:tabs>
        <w:numPr>
          <w:ilvl w:val="0"/>
          <w:numId w:val="37"/>
        </w:numPr>
        <w:rPr>
          <w:rFonts w:ascii="Arial" w:cs="Arial" w:eastAsia="Arial" w:hAnsi="Arial"/>
          <w:sz w:val="13"/>
          <w:szCs w:val="13"/>
          <w:color w:val="auto"/>
        </w:rPr>
      </w:pPr>
      <w:r>
        <w:rPr>
          <w:rFonts w:ascii="Arial" w:cs="Arial" w:eastAsia="Arial" w:hAnsi="Arial"/>
          <w:sz w:val="13"/>
          <w:szCs w:val="13"/>
          <w:color w:val="auto"/>
        </w:rPr>
        <w:t>adopt, amend, alter, change or repeal the By-laws; provided, however, that no By-laws hereafter adopted shall invalidate any prior act of the directors that was valid at the time such</w:t>
      </w:r>
    </w:p>
    <w:p>
      <w:pPr>
        <w:spacing w:after="0" w:line="32" w:lineRule="exact"/>
        <w:rPr>
          <w:rFonts w:ascii="Arial" w:cs="Arial" w:eastAsia="Arial" w:hAnsi="Arial"/>
          <w:sz w:val="13"/>
          <w:szCs w:val="13"/>
          <w:color w:val="auto"/>
        </w:rPr>
      </w:pPr>
    </w:p>
    <w:p>
      <w:pPr>
        <w:spacing w:after="0"/>
        <w:rPr>
          <w:rFonts w:ascii="Arial" w:cs="Arial" w:eastAsia="Arial" w:hAnsi="Arial"/>
          <w:sz w:val="13"/>
          <w:szCs w:val="13"/>
          <w:color w:val="auto"/>
        </w:rPr>
      </w:pPr>
      <w:r>
        <w:rPr>
          <w:rFonts w:ascii="Arial" w:cs="Arial" w:eastAsia="Arial" w:hAnsi="Arial"/>
          <w:sz w:val="14"/>
          <w:szCs w:val="14"/>
          <w:color w:val="auto"/>
        </w:rPr>
        <w:t>action was taken;</w:t>
      </w:r>
    </w:p>
    <w:p>
      <w:pPr>
        <w:spacing w:after="0" w:line="142" w:lineRule="exact"/>
        <w:rPr>
          <w:rFonts w:ascii="Arial" w:cs="Arial" w:eastAsia="Arial" w:hAnsi="Arial"/>
          <w:sz w:val="13"/>
          <w:szCs w:val="13"/>
          <w:color w:val="auto"/>
        </w:rPr>
      </w:pPr>
    </w:p>
    <w:p>
      <w:pPr>
        <w:jc w:val="both"/>
        <w:ind w:right="40" w:firstLine="857"/>
        <w:spacing w:after="0" w:line="271" w:lineRule="auto"/>
        <w:tabs>
          <w:tab w:leader="none" w:pos="1069" w:val="left"/>
        </w:tabs>
        <w:numPr>
          <w:ilvl w:val="0"/>
          <w:numId w:val="37"/>
        </w:numPr>
        <w:rPr>
          <w:rFonts w:ascii="Arial" w:cs="Arial" w:eastAsia="Arial" w:hAnsi="Arial"/>
          <w:sz w:val="14"/>
          <w:szCs w:val="14"/>
          <w:color w:val="auto"/>
        </w:rPr>
      </w:pPr>
      <w:r>
        <w:rPr>
          <w:rFonts w:ascii="Arial" w:cs="Arial" w:eastAsia="Arial" w:hAnsi="Arial"/>
          <w:sz w:val="14"/>
          <w:szCs w:val="14"/>
          <w:color w:val="auto"/>
        </w:rPr>
        <w:t>determine the rights, powers, duties, rules and procedures that affect the power of the Board of Directors to manage and direct the business and affairs of the Corporation, including the power to designate and empower committees of the Board of Directors to elect, appoint and empower the officers and other agents of the Corporation, and to determine the time and place of, and the notice requirements for, Board meetings, as well as quorum and voting requirements for, and the manner of taking, Board action; and</w:t>
      </w:r>
    </w:p>
    <w:p>
      <w:pPr>
        <w:spacing w:after="0" w:line="112" w:lineRule="exact"/>
        <w:rPr>
          <w:rFonts w:ascii="Arial" w:cs="Arial" w:eastAsia="Arial" w:hAnsi="Arial"/>
          <w:sz w:val="14"/>
          <w:szCs w:val="14"/>
          <w:color w:val="auto"/>
        </w:rPr>
      </w:pPr>
    </w:p>
    <w:p>
      <w:pPr>
        <w:ind w:right="620" w:firstLine="857"/>
        <w:spacing w:after="0" w:line="287" w:lineRule="auto"/>
        <w:tabs>
          <w:tab w:leader="none" w:pos="1061" w:val="left"/>
        </w:tabs>
        <w:numPr>
          <w:ilvl w:val="0"/>
          <w:numId w:val="37"/>
        </w:numPr>
        <w:rPr>
          <w:rFonts w:ascii="Arial" w:cs="Arial" w:eastAsia="Arial" w:hAnsi="Arial"/>
          <w:sz w:val="14"/>
          <w:szCs w:val="14"/>
          <w:color w:val="auto"/>
        </w:rPr>
      </w:pPr>
      <w:r>
        <w:rPr>
          <w:rFonts w:ascii="Arial" w:cs="Arial" w:eastAsia="Arial" w:hAnsi="Arial"/>
          <w:sz w:val="14"/>
          <w:szCs w:val="14"/>
          <w:color w:val="auto"/>
        </w:rPr>
        <w:t>exercise all such powers and do all such acts as may be exercised or done by the Corporation, subject to the provisions of the General Corporation Law, this Certificate of Incorporation and the By-laws.</w:t>
      </w:r>
    </w:p>
    <w:p>
      <w:pPr>
        <w:spacing w:after="0" w:line="101" w:lineRule="exact"/>
        <w:rPr>
          <w:sz w:val="20"/>
          <w:szCs w:val="20"/>
          <w:color w:val="auto"/>
        </w:rPr>
      </w:pPr>
    </w:p>
    <w:p>
      <w:pPr>
        <w:ind w:left="860"/>
        <w:spacing w:after="0"/>
        <w:tabs>
          <w:tab w:leader="none" w:pos="1600" w:val="left"/>
        </w:tabs>
        <w:rPr>
          <w:sz w:val="20"/>
          <w:szCs w:val="20"/>
          <w:color w:val="auto"/>
        </w:rPr>
      </w:pPr>
      <w:r>
        <w:rPr>
          <w:rFonts w:ascii="Arial" w:cs="Arial" w:eastAsia="Arial" w:hAnsi="Arial"/>
          <w:sz w:val="14"/>
          <w:szCs w:val="14"/>
          <w:color w:val="auto"/>
        </w:rPr>
        <w:t>Section 5.2</w:t>
      </w:r>
      <w:r>
        <w:rPr>
          <w:sz w:val="20"/>
          <w:szCs w:val="20"/>
          <w:color w:val="auto"/>
        </w:rPr>
        <w:tab/>
      </w:r>
      <w:r>
        <w:rPr>
          <w:rFonts w:ascii="Arial" w:cs="Arial" w:eastAsia="Arial" w:hAnsi="Arial"/>
          <w:sz w:val="13"/>
          <w:szCs w:val="13"/>
          <w:u w:val="single" w:color="auto"/>
          <w:color w:val="auto"/>
        </w:rPr>
        <w:t xml:space="preserve">Number of Directors. </w:t>
      </w:r>
      <w:r>
        <w:rPr>
          <w:rFonts w:ascii="Arial" w:cs="Arial" w:eastAsia="Arial" w:hAnsi="Arial"/>
          <w:sz w:val="13"/>
          <w:szCs w:val="13"/>
          <w:color w:val="auto"/>
        </w:rPr>
        <w:t>The number of directors constituting the Board of Directors shall be as specified in the By-laws of the Corporation.</w:t>
      </w:r>
    </w:p>
    <w:p>
      <w:pPr>
        <w:spacing w:after="0" w:line="163" w:lineRule="exact"/>
        <w:rPr>
          <w:sz w:val="20"/>
          <w:szCs w:val="20"/>
          <w:color w:val="auto"/>
        </w:rPr>
      </w:pPr>
    </w:p>
    <w:p>
      <w:pPr>
        <w:ind w:right="80" w:firstLine="865"/>
        <w:spacing w:after="0" w:line="277" w:lineRule="auto"/>
        <w:rPr>
          <w:sz w:val="20"/>
          <w:szCs w:val="20"/>
          <w:color w:val="auto"/>
        </w:rPr>
      </w:pPr>
      <w:r>
        <w:rPr>
          <w:rFonts w:ascii="Arial" w:cs="Arial" w:eastAsia="Arial" w:hAnsi="Arial"/>
          <w:sz w:val="14"/>
          <w:szCs w:val="14"/>
          <w:color w:val="auto"/>
        </w:rPr>
        <w:t xml:space="preserve">Section 5.3 </w:t>
      </w:r>
      <w:r>
        <w:rPr>
          <w:rFonts w:ascii="Arial" w:cs="Arial" w:eastAsia="Arial" w:hAnsi="Arial"/>
          <w:sz w:val="14"/>
          <w:szCs w:val="14"/>
          <w:u w:val="single" w:color="auto"/>
          <w:color w:val="auto"/>
        </w:rPr>
        <w:t>Classes, Election and Term.</w:t>
      </w:r>
      <w:r>
        <w:rPr>
          <w:rFonts w:ascii="Arial" w:cs="Arial" w:eastAsia="Arial" w:hAnsi="Arial"/>
          <w:sz w:val="14"/>
          <w:szCs w:val="14"/>
          <w:color w:val="auto"/>
        </w:rPr>
        <w:t xml:space="preserve"> The directors shall be elected by the stockholders at each annual meeting of the stockholders for a one-year term. The term of all current directors will end at the 2009 annual meeting of stockholders. Commencing with the 2009 annual meeting of stockholders, each director shall hold office for a one-year term and until such director's successor shall have been duly elected and qualified.</w:t>
      </w:r>
    </w:p>
    <w:p>
      <w:pPr>
        <w:spacing w:after="0" w:line="109" w:lineRule="exact"/>
        <w:rPr>
          <w:sz w:val="20"/>
          <w:szCs w:val="20"/>
          <w:color w:val="auto"/>
        </w:rPr>
      </w:pPr>
    </w:p>
    <w:p>
      <w:pPr>
        <w:ind w:right="40" w:firstLine="865"/>
        <w:spacing w:after="0" w:line="277" w:lineRule="auto"/>
        <w:rPr>
          <w:sz w:val="20"/>
          <w:szCs w:val="20"/>
          <w:color w:val="auto"/>
        </w:rPr>
      </w:pPr>
      <w:r>
        <w:rPr>
          <w:rFonts w:ascii="Arial" w:cs="Arial" w:eastAsia="Arial" w:hAnsi="Arial"/>
          <w:sz w:val="14"/>
          <w:szCs w:val="14"/>
          <w:color w:val="auto"/>
        </w:rPr>
        <w:t xml:space="preserve">Section 5.4 </w:t>
      </w:r>
      <w:r>
        <w:rPr>
          <w:rFonts w:ascii="Arial" w:cs="Arial" w:eastAsia="Arial" w:hAnsi="Arial"/>
          <w:sz w:val="14"/>
          <w:szCs w:val="14"/>
          <w:u w:val="single" w:color="auto"/>
          <w:color w:val="auto"/>
        </w:rPr>
        <w:t>Vacancies.</w:t>
      </w:r>
      <w:r>
        <w:rPr>
          <w:rFonts w:ascii="Arial" w:cs="Arial" w:eastAsia="Arial" w:hAnsi="Arial"/>
          <w:sz w:val="14"/>
          <w:szCs w:val="14"/>
          <w:color w:val="auto"/>
        </w:rPr>
        <w:t xml:space="preserve"> Any vacancies in the Board of Directors for any reason and any newly created directorships resulting by reason of any increase in the number of directors may be filled only by the Board of Directors, acting by a majority of the remaining directors then in office, although less than a quorum, or by a sole remaining director, and any directors so appointed shall hold office until the next annual election of directors and until their successors are duly elected and qualified.</w:t>
      </w:r>
    </w:p>
    <w:p>
      <w:pPr>
        <w:spacing w:after="0" w:line="109" w:lineRule="exact"/>
        <w:rPr>
          <w:sz w:val="20"/>
          <w:szCs w:val="20"/>
          <w:color w:val="auto"/>
        </w:rPr>
      </w:pPr>
    </w:p>
    <w:p>
      <w:pPr>
        <w:ind w:firstLine="865"/>
        <w:spacing w:after="0" w:line="308" w:lineRule="auto"/>
        <w:rPr>
          <w:sz w:val="20"/>
          <w:szCs w:val="20"/>
          <w:color w:val="auto"/>
        </w:rPr>
      </w:pPr>
      <w:r>
        <w:rPr>
          <w:rFonts w:ascii="Arial" w:cs="Arial" w:eastAsia="Arial" w:hAnsi="Arial"/>
          <w:sz w:val="13"/>
          <w:szCs w:val="13"/>
          <w:color w:val="auto"/>
        </w:rPr>
        <w:t xml:space="preserve">Section 5.5 </w:t>
      </w:r>
      <w:r>
        <w:rPr>
          <w:rFonts w:ascii="Arial" w:cs="Arial" w:eastAsia="Arial" w:hAnsi="Arial"/>
          <w:sz w:val="13"/>
          <w:szCs w:val="13"/>
          <w:u w:val="single" w:color="auto"/>
          <w:color w:val="auto"/>
        </w:rPr>
        <w:t>Removal of Directors.</w:t>
      </w:r>
      <w:r>
        <w:rPr>
          <w:rFonts w:ascii="Arial" w:cs="Arial" w:eastAsia="Arial" w:hAnsi="Arial"/>
          <w:sz w:val="13"/>
          <w:szCs w:val="13"/>
          <w:color w:val="auto"/>
        </w:rPr>
        <w:t xml:space="preserve"> Except as may be provided in a resolution or resolutions providing for any class of Preferred Stock pursuant to Article IV hereof, with respect to any directors elected by the holders of such class, any director, or the entire Board of Directors, may be removed from office at any time with or without cause by the affirmative vote of the holders of at least sixty-six percent (66%) of the voting power of all of the shares of capital stock of the Corporation then entitled to vote generally in the election of directors, voting together as a single class.</w:t>
      </w:r>
    </w:p>
    <w:p>
      <w:pPr>
        <w:sectPr>
          <w:pgSz w:w="11900" w:h="16838" w:orient="portrait"/>
          <w:cols w:equalWidth="0" w:num="1">
            <w:col w:w="11460"/>
          </w:cols>
          <w:pgMar w:left="220" w:top="513" w:right="219" w:bottom="1440" w:gutter="0" w:footer="0" w:header="0"/>
        </w:sectPr>
      </w:pPr>
    </w:p>
    <w:bookmarkStart w:id="61" w:name="page62"/>
    <w:bookmarkEnd w:id="61"/>
    <w:p>
      <w:pPr>
        <w:ind w:right="60" w:firstLine="865"/>
        <w:spacing w:after="0" w:line="266" w:lineRule="auto"/>
        <w:rPr>
          <w:sz w:val="20"/>
          <w:szCs w:val="20"/>
          <w:color w:val="auto"/>
        </w:rPr>
      </w:pPr>
      <w:r>
        <w:rPr>
          <w:rFonts w:ascii="Arial" w:cs="Arial" w:eastAsia="Arial" w:hAnsi="Arial"/>
          <w:sz w:val="14"/>
          <w:szCs w:val="14"/>
          <w:color w:val="auto"/>
        </w:rPr>
        <w:t xml:space="preserve">Section 5.6 </w:t>
      </w:r>
      <w:r>
        <w:rPr>
          <w:rFonts w:ascii="Arial" w:cs="Arial" w:eastAsia="Arial" w:hAnsi="Arial"/>
          <w:sz w:val="14"/>
          <w:szCs w:val="14"/>
          <w:u w:val="single" w:color="auto"/>
          <w:color w:val="auto"/>
        </w:rPr>
        <w:t>REIT Qualification.</w:t>
      </w:r>
      <w:r>
        <w:rPr>
          <w:rFonts w:ascii="Arial" w:cs="Arial" w:eastAsia="Arial" w:hAnsi="Arial"/>
          <w:sz w:val="14"/>
          <w:szCs w:val="14"/>
          <w:color w:val="auto"/>
        </w:rPr>
        <w:t xml:space="preserve"> If the Corporation elects to qualify for federal income tax treatment as a REIT (as defined in Article VIII hereof), the Board of Directors shall use its reasonable best efforts to take such actions as are necessary or appropriate to preserve the qualification of the Corporation as a REIT; however, if the Board of Directors determines that it is no longer in the best interests of the Corporation to continue to be qualified as a REIT, the Board of Directors may revoke or otherwise terminate the Corporation's REIT election pursuant to Section 856(g) of the Code (as defined in Article VIII hereof). The Board of Directors also may determine that compliance with any restriction or limitation on stock ownership and transfers set forth in Article VIII hereof is no longer required for REIT qualification.</w:t>
      </w:r>
    </w:p>
    <w:p>
      <w:pPr>
        <w:spacing w:after="0" w:line="189"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VI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STOCKHOLDER ACTION</w:t>
      </w:r>
    </w:p>
    <w:p>
      <w:pPr>
        <w:spacing w:after="0" w:line="226" w:lineRule="exact"/>
        <w:rPr>
          <w:sz w:val="20"/>
          <w:szCs w:val="20"/>
          <w:color w:val="auto"/>
        </w:rPr>
      </w:pPr>
    </w:p>
    <w:p>
      <w:pPr>
        <w:ind w:right="200" w:firstLine="865"/>
        <w:spacing w:after="0" w:line="265" w:lineRule="auto"/>
        <w:rPr>
          <w:sz w:val="20"/>
          <w:szCs w:val="20"/>
          <w:color w:val="auto"/>
        </w:rPr>
      </w:pPr>
      <w:r>
        <w:rPr>
          <w:rFonts w:ascii="Arial" w:cs="Arial" w:eastAsia="Arial" w:hAnsi="Arial"/>
          <w:sz w:val="14"/>
          <w:szCs w:val="14"/>
          <w:color w:val="auto"/>
        </w:rPr>
        <w:t>Except as may be provided in a resolution or resolutions providing for any class of Preferred Stock pursuant to Article IV hereof, any action required or permitted to be taken by the stockholders of the Corporation must be effected at a duly called annual or special meeting of such holders and may not be effected by any consent in writing by such holders. Meetings of stockholders may be held within or without the State of Delaware, as the By-laws may provide. Elections of directors need not be by written ballot, unless otherwise provided in the By-laws of the Corporation.</w:t>
      </w:r>
    </w:p>
    <w:p>
      <w:pPr>
        <w:spacing w:after="0" w:line="190"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VII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INDEMNIFICATION</w:t>
      </w:r>
    </w:p>
    <w:p>
      <w:pPr>
        <w:spacing w:after="0" w:line="226" w:lineRule="exact"/>
        <w:rPr>
          <w:sz w:val="20"/>
          <w:szCs w:val="20"/>
          <w:color w:val="auto"/>
        </w:rPr>
      </w:pPr>
    </w:p>
    <w:p>
      <w:pPr>
        <w:ind w:firstLine="865"/>
        <w:spacing w:after="0" w:line="300" w:lineRule="auto"/>
        <w:rPr>
          <w:sz w:val="20"/>
          <w:szCs w:val="20"/>
          <w:color w:val="auto"/>
        </w:rPr>
      </w:pPr>
      <w:r>
        <w:rPr>
          <w:rFonts w:ascii="Arial" w:cs="Arial" w:eastAsia="Arial" w:hAnsi="Arial"/>
          <w:sz w:val="14"/>
          <w:szCs w:val="14"/>
          <w:color w:val="auto"/>
        </w:rPr>
        <w:t xml:space="preserve">Section 7.1 </w:t>
      </w:r>
      <w:r>
        <w:rPr>
          <w:rFonts w:ascii="Arial" w:cs="Arial" w:eastAsia="Arial" w:hAnsi="Arial"/>
          <w:sz w:val="14"/>
          <w:szCs w:val="14"/>
          <w:u w:val="single" w:color="auto"/>
          <w:color w:val="auto"/>
        </w:rPr>
        <w:t>Right to Indemnification.</w:t>
      </w:r>
      <w:r>
        <w:rPr>
          <w:rFonts w:ascii="Arial" w:cs="Arial" w:eastAsia="Arial" w:hAnsi="Arial"/>
          <w:sz w:val="14"/>
          <w:szCs w:val="14"/>
          <w:color w:val="auto"/>
        </w:rPr>
        <w:t xml:space="preserve"> Each person who was or is made a party or is threatened to be made a party to or is otherwise involved in any action, suit or proceeding, whether civil, criminal, administrative or investigative (hereinafter a "proceeding"), by reason of the fact:</w:t>
      </w:r>
    </w:p>
    <w:p>
      <w:pPr>
        <w:spacing w:after="0" w:line="93" w:lineRule="exact"/>
        <w:rPr>
          <w:sz w:val="20"/>
          <w:szCs w:val="20"/>
          <w:color w:val="auto"/>
        </w:rPr>
      </w:pPr>
    </w:p>
    <w:p>
      <w:pPr>
        <w:ind w:left="1060" w:hanging="203"/>
        <w:spacing w:after="0"/>
        <w:tabs>
          <w:tab w:leader="none" w:pos="1060" w:val="left"/>
        </w:tabs>
        <w:numPr>
          <w:ilvl w:val="0"/>
          <w:numId w:val="38"/>
        </w:numPr>
        <w:rPr>
          <w:rFonts w:ascii="Arial" w:cs="Arial" w:eastAsia="Arial" w:hAnsi="Arial"/>
          <w:sz w:val="14"/>
          <w:szCs w:val="14"/>
          <w:color w:val="auto"/>
        </w:rPr>
      </w:pPr>
      <w:r>
        <w:rPr>
          <w:rFonts w:ascii="Arial" w:cs="Arial" w:eastAsia="Arial" w:hAnsi="Arial"/>
          <w:sz w:val="14"/>
          <w:szCs w:val="14"/>
          <w:color w:val="auto"/>
        </w:rPr>
        <w:t>that he or she is or was a director or officer of the Corporation, or</w:t>
      </w:r>
    </w:p>
    <w:p>
      <w:pPr>
        <w:spacing w:after="0" w:line="154" w:lineRule="exact"/>
        <w:rPr>
          <w:rFonts w:ascii="Arial" w:cs="Arial" w:eastAsia="Arial" w:hAnsi="Arial"/>
          <w:sz w:val="14"/>
          <w:szCs w:val="14"/>
          <w:color w:val="auto"/>
        </w:rPr>
      </w:pPr>
    </w:p>
    <w:p>
      <w:pPr>
        <w:ind w:right="480" w:firstLine="857"/>
        <w:spacing w:after="0" w:line="287" w:lineRule="auto"/>
        <w:tabs>
          <w:tab w:leader="none" w:pos="1069" w:val="left"/>
        </w:tabs>
        <w:numPr>
          <w:ilvl w:val="0"/>
          <w:numId w:val="38"/>
        </w:numPr>
        <w:rPr>
          <w:rFonts w:ascii="Arial" w:cs="Arial" w:eastAsia="Arial" w:hAnsi="Arial"/>
          <w:sz w:val="14"/>
          <w:szCs w:val="14"/>
          <w:color w:val="auto"/>
        </w:rPr>
      </w:pPr>
      <w:r>
        <w:rPr>
          <w:rFonts w:ascii="Arial" w:cs="Arial" w:eastAsia="Arial" w:hAnsi="Arial"/>
          <w:sz w:val="14"/>
          <w:szCs w:val="14"/>
          <w:color w:val="auto"/>
        </w:rPr>
        <w:t>that he or she, being at the time a director or officer of the Corporation, is or was serving at the request of the Corporation as a director, trustee, officer, employee or agent of another corporation or of a partnership, joint venture, trust or other enterprise (collectively, "another enterprise" or "other enterprise"),</w:t>
      </w:r>
    </w:p>
    <w:p>
      <w:pPr>
        <w:spacing w:after="0" w:line="101" w:lineRule="exact"/>
        <w:rPr>
          <w:sz w:val="20"/>
          <w:szCs w:val="20"/>
          <w:color w:val="auto"/>
        </w:rPr>
      </w:pPr>
    </w:p>
    <w:p>
      <w:pPr>
        <w:ind w:right="20"/>
        <w:spacing w:after="0" w:line="281" w:lineRule="auto"/>
        <w:rPr>
          <w:sz w:val="20"/>
          <w:szCs w:val="20"/>
          <w:color w:val="auto"/>
        </w:rPr>
      </w:pPr>
      <w:r>
        <w:rPr>
          <w:rFonts w:ascii="Arial" w:cs="Arial" w:eastAsia="Arial" w:hAnsi="Arial"/>
          <w:sz w:val="13"/>
          <w:szCs w:val="13"/>
          <w:color w:val="auto"/>
        </w:rPr>
        <w:t>whether either in case (a) or in case (b) the basis of such proceeding is alleged action or inaction (x) in an official capacity as a director or officer of the Corporation, or as a director, trustee, officer, employee or agent of such other enterprise, or (y) in any other capacity related to the Corporation or such other enterprise while so serving as a director, trustee, officer, employee or agent, shall be indemnified and held harmless by the Corporation to the fullest extent not prohibited by Section 145 of the General Corporation Law, (or any successor provision or provisions, respectively) as the same exists or may hereafter be amended, respectively (but, in the case of any amendment to Section 145 of the General Corporation Law, with respect to actions taken prior to such amendment, only to the extent that such amendment permits the Corporation to provide broader indemnification rights than permitted prior thereto), against all expense, liability and loss (including, without limitation, attorneys' fees, judgments, fines, ERISA excise taxes or penalties and amounts paid in settlement) reasonably incurred or suffered by such person in connection therewith if such person satisfied the applicable level of care to permit such indemnification under the General Corporation Law; provided however, that nothing in this Article VII shall indemnify any person to the extent that such person has committed willful misfeasance, bad faith, gross negligence or reckless disregard involved in the conduct of such person's duties to or for the Corporation. The persons indemnified by this Article VII are hereinafter referred to as "indemnities." Such indemnification as to</w:t>
      </w:r>
    </w:p>
    <w:p>
      <w:pPr>
        <w:sectPr>
          <w:pgSz w:w="11900" w:h="16838" w:orient="portrait"/>
          <w:cols w:equalWidth="0" w:num="1">
            <w:col w:w="11480"/>
          </w:cols>
          <w:pgMar w:left="220" w:top="512" w:right="199" w:bottom="1440" w:gutter="0" w:footer="0" w:header="0"/>
        </w:sectPr>
      </w:pPr>
    </w:p>
    <w:bookmarkStart w:id="62" w:name="page63"/>
    <w:bookmarkEnd w:id="62"/>
    <w:p>
      <w:pPr>
        <w:ind w:left="8" w:right="20"/>
        <w:spacing w:after="0" w:line="283" w:lineRule="auto"/>
        <w:rPr>
          <w:sz w:val="20"/>
          <w:szCs w:val="20"/>
          <w:color w:val="auto"/>
        </w:rPr>
      </w:pPr>
      <w:r>
        <w:rPr>
          <w:rFonts w:ascii="Arial" w:cs="Arial" w:eastAsia="Arial" w:hAnsi="Arial"/>
          <w:sz w:val="13"/>
          <w:szCs w:val="13"/>
          <w:color w:val="auto"/>
        </w:rPr>
        <w:t>such alleged action or inaction shall continue as to an indemnitee who has after such alleged action or inaction ceased to be a director or officer of the Corporation, or director, officer, employee or agent of another enterprise; and shall inure to the benefit of the indemnitee's heirs, executors and administrators. The right to indemnification conferred in this Article VII: (i) shall be a contract right;</w:t>
      </w:r>
    </w:p>
    <w:p>
      <w:pPr>
        <w:spacing w:after="0" w:line="1" w:lineRule="exact"/>
        <w:rPr>
          <w:sz w:val="20"/>
          <w:szCs w:val="20"/>
          <w:color w:val="auto"/>
        </w:rPr>
      </w:pPr>
    </w:p>
    <w:p>
      <w:pPr>
        <w:ind w:left="8" w:right="140" w:hanging="8"/>
        <w:spacing w:after="0" w:line="309" w:lineRule="auto"/>
        <w:tabs>
          <w:tab w:leader="none" w:pos="220" w:val="left"/>
        </w:tabs>
        <w:numPr>
          <w:ilvl w:val="0"/>
          <w:numId w:val="39"/>
        </w:numPr>
        <w:rPr>
          <w:rFonts w:ascii="Arial" w:cs="Arial" w:eastAsia="Arial" w:hAnsi="Arial"/>
          <w:sz w:val="13"/>
          <w:szCs w:val="13"/>
          <w:color w:val="auto"/>
        </w:rPr>
      </w:pPr>
      <w:r>
        <w:rPr>
          <w:rFonts w:ascii="Arial" w:cs="Arial" w:eastAsia="Arial" w:hAnsi="Arial"/>
          <w:sz w:val="13"/>
          <w:szCs w:val="13"/>
          <w:color w:val="auto"/>
        </w:rPr>
        <w:t>shall not be affected adversely as to any indemnitee by any amendment of this Certificate with respect to any action or inaction occurring prior to such amendment; and (iii) shall, subject to any requirements imposed by law and the By-laws, include the right to be paid by the Corporation the expenses incurred in defending any such proceeding in advance of its final disposition.</w:t>
      </w:r>
    </w:p>
    <w:p>
      <w:pPr>
        <w:spacing w:after="0" w:line="90" w:lineRule="exact"/>
        <w:rPr>
          <w:sz w:val="20"/>
          <w:szCs w:val="20"/>
          <w:color w:val="auto"/>
        </w:rPr>
      </w:pPr>
    </w:p>
    <w:p>
      <w:pPr>
        <w:ind w:left="8" w:right="20" w:firstLine="865"/>
        <w:spacing w:after="0" w:line="270" w:lineRule="auto"/>
        <w:rPr>
          <w:sz w:val="20"/>
          <w:szCs w:val="20"/>
          <w:color w:val="auto"/>
        </w:rPr>
      </w:pPr>
      <w:r>
        <w:rPr>
          <w:rFonts w:ascii="Arial" w:cs="Arial" w:eastAsia="Arial" w:hAnsi="Arial"/>
          <w:sz w:val="14"/>
          <w:szCs w:val="14"/>
          <w:color w:val="auto"/>
        </w:rPr>
        <w:t xml:space="preserve">Section 7.2. </w:t>
      </w:r>
      <w:r>
        <w:rPr>
          <w:rFonts w:ascii="Arial" w:cs="Arial" w:eastAsia="Arial" w:hAnsi="Arial"/>
          <w:sz w:val="14"/>
          <w:szCs w:val="14"/>
          <w:u w:val="single" w:color="auto"/>
          <w:color w:val="auto"/>
        </w:rPr>
        <w:t>Relationship to Other Rights and Provisions Concerning Indemnification.</w:t>
      </w:r>
      <w:r>
        <w:rPr>
          <w:rFonts w:ascii="Arial" w:cs="Arial" w:eastAsia="Arial" w:hAnsi="Arial"/>
          <w:sz w:val="14"/>
          <w:szCs w:val="14"/>
          <w:color w:val="auto"/>
        </w:rPr>
        <w:t xml:space="preserve"> The rights to indemnification and to the advancement of expenses conferred in this Article VII shall not be exclusive of any other right which any person may have or hereafter acquire under any statute, this Certificate, By-laws, agreement, vote of stockholders or disinterested directors or otherwise. The By-laws may contain such other provisions concerning indemnification, including provisions specifying reasonable procedures relating to and conditions to the receipt by indemnitees of indemnification, provided that such provisions are not inconsistent with the provisions of this Article VII.</w:t>
      </w:r>
    </w:p>
    <w:p>
      <w:pPr>
        <w:spacing w:after="0" w:line="113" w:lineRule="exact"/>
        <w:rPr>
          <w:sz w:val="20"/>
          <w:szCs w:val="20"/>
          <w:color w:val="auto"/>
        </w:rPr>
      </w:pPr>
    </w:p>
    <w:p>
      <w:pPr>
        <w:ind w:left="8" w:right="40" w:firstLine="865"/>
        <w:spacing w:after="0" w:line="288" w:lineRule="auto"/>
        <w:rPr>
          <w:sz w:val="20"/>
          <w:szCs w:val="20"/>
          <w:color w:val="auto"/>
        </w:rPr>
      </w:pPr>
      <w:r>
        <w:rPr>
          <w:rFonts w:ascii="Arial" w:cs="Arial" w:eastAsia="Arial" w:hAnsi="Arial"/>
          <w:sz w:val="13"/>
          <w:szCs w:val="13"/>
          <w:color w:val="auto"/>
        </w:rPr>
        <w:t xml:space="preserve">Section 7.3 </w:t>
      </w:r>
      <w:r>
        <w:rPr>
          <w:rFonts w:ascii="Arial" w:cs="Arial" w:eastAsia="Arial" w:hAnsi="Arial"/>
          <w:sz w:val="13"/>
          <w:szCs w:val="13"/>
          <w:u w:val="single" w:color="auto"/>
          <w:color w:val="auto"/>
        </w:rPr>
        <w:t>Agents and Employees.</w:t>
      </w:r>
      <w:r>
        <w:rPr>
          <w:rFonts w:ascii="Arial" w:cs="Arial" w:eastAsia="Arial" w:hAnsi="Arial"/>
          <w:sz w:val="13"/>
          <w:szCs w:val="13"/>
          <w:color w:val="auto"/>
        </w:rPr>
        <w:t xml:space="preserve"> The Corporation may, to the extent authorized from time to time by the Board of Directors, grant rights to indemnification, and to the advancement of expenses, to any agent of the Corporation (or any person serving at the Corporation's request as a director, trustee, officer, employee or agent of another enterprise) or to persons who are or were a director, officer, employee or agent of any of the Corporation's affiliates, predecessor or subsidiary corporations or of a constituent corporation absorbed by the Corporation in a consolidation or merger or who is or was serving at the request of such affiliate, predecessor or subsidiary corporation or of such constituent corporation as a director, officer, employee or agent of another enterprise, in each case as determined by the Board of Directors to the fullest extent of the provisions of this Article VII in cases of the indemnification and advancement of expenses of directors and officers of the Corporation, or to any lesser extent (or greater extent, if permitted by law) determined by the Board of Directors.</w:t>
      </w:r>
    </w:p>
    <w:p>
      <w:pPr>
        <w:spacing w:after="0" w:line="176" w:lineRule="exact"/>
        <w:rPr>
          <w:sz w:val="20"/>
          <w:szCs w:val="20"/>
          <w:color w:val="auto"/>
        </w:rPr>
      </w:pPr>
    </w:p>
    <w:p>
      <w:pPr>
        <w:jc w:val="center"/>
        <w:ind w:right="-27"/>
        <w:spacing w:after="0"/>
        <w:rPr>
          <w:sz w:val="20"/>
          <w:szCs w:val="20"/>
          <w:color w:val="auto"/>
        </w:rPr>
      </w:pPr>
      <w:r>
        <w:rPr>
          <w:rFonts w:ascii="Arial" w:cs="Arial" w:eastAsia="Arial" w:hAnsi="Arial"/>
          <w:sz w:val="14"/>
          <w:szCs w:val="14"/>
          <w:color w:val="auto"/>
        </w:rPr>
        <w:t>ARTICLE VIII</w:t>
      </w:r>
    </w:p>
    <w:p>
      <w:pPr>
        <w:spacing w:after="0" w:line="298" w:lineRule="exact"/>
        <w:rPr>
          <w:sz w:val="20"/>
          <w:szCs w:val="20"/>
          <w:color w:val="auto"/>
        </w:rPr>
      </w:pPr>
    </w:p>
    <w:p>
      <w:pPr>
        <w:jc w:val="center"/>
        <w:ind w:right="-27"/>
        <w:spacing w:after="0"/>
        <w:rPr>
          <w:sz w:val="20"/>
          <w:szCs w:val="20"/>
          <w:color w:val="auto"/>
        </w:rPr>
      </w:pPr>
      <w:r>
        <w:rPr>
          <w:rFonts w:ascii="Arial" w:cs="Arial" w:eastAsia="Arial" w:hAnsi="Arial"/>
          <w:sz w:val="14"/>
          <w:szCs w:val="14"/>
          <w:u w:val="single" w:color="auto"/>
          <w:color w:val="auto"/>
        </w:rPr>
        <w:t>RESTRICTION ON TRANSFER AND OWNERSHIP OF SHARES</w:t>
      </w:r>
    </w:p>
    <w:p>
      <w:pPr>
        <w:spacing w:after="0" w:line="226" w:lineRule="exact"/>
        <w:rPr>
          <w:sz w:val="20"/>
          <w:szCs w:val="20"/>
          <w:color w:val="auto"/>
        </w:rPr>
      </w:pPr>
    </w:p>
    <w:p>
      <w:pPr>
        <w:ind w:left="868"/>
        <w:spacing w:after="0"/>
        <w:tabs>
          <w:tab w:leader="none" w:pos="1608" w:val="left"/>
        </w:tabs>
        <w:rPr>
          <w:sz w:val="20"/>
          <w:szCs w:val="20"/>
          <w:color w:val="auto"/>
        </w:rPr>
      </w:pPr>
      <w:r>
        <w:rPr>
          <w:rFonts w:ascii="Arial" w:cs="Arial" w:eastAsia="Arial" w:hAnsi="Arial"/>
          <w:sz w:val="14"/>
          <w:szCs w:val="14"/>
          <w:color w:val="auto"/>
        </w:rPr>
        <w:t>Section 8.1</w:t>
      </w:r>
      <w:r>
        <w:rPr>
          <w:sz w:val="20"/>
          <w:szCs w:val="20"/>
          <w:color w:val="auto"/>
        </w:rPr>
        <w:tab/>
      </w:r>
      <w:r>
        <w:rPr>
          <w:rFonts w:ascii="Arial" w:cs="Arial" w:eastAsia="Arial" w:hAnsi="Arial"/>
          <w:sz w:val="13"/>
          <w:szCs w:val="13"/>
          <w:u w:val="single" w:color="auto"/>
          <w:color w:val="auto"/>
        </w:rPr>
        <w:t xml:space="preserve">Definitions. </w:t>
      </w:r>
      <w:r>
        <w:rPr>
          <w:rFonts w:ascii="Arial" w:cs="Arial" w:eastAsia="Arial" w:hAnsi="Arial"/>
          <w:sz w:val="13"/>
          <w:szCs w:val="13"/>
          <w:color w:val="auto"/>
        </w:rPr>
        <w:t>For the purpose of this Article VIII, the following terms shall have the following meanings:</w:t>
      </w:r>
    </w:p>
    <w:p>
      <w:pPr>
        <w:spacing w:after="0" w:line="163" w:lineRule="exact"/>
        <w:rPr>
          <w:sz w:val="20"/>
          <w:szCs w:val="20"/>
          <w:color w:val="auto"/>
        </w:rPr>
      </w:pPr>
    </w:p>
    <w:p>
      <w:pPr>
        <w:ind w:left="8" w:firstLine="865"/>
        <w:spacing w:after="0" w:line="261" w:lineRule="auto"/>
        <w:rPr>
          <w:sz w:val="20"/>
          <w:szCs w:val="20"/>
          <w:color w:val="auto"/>
        </w:rPr>
      </w:pPr>
      <w:r>
        <w:rPr>
          <w:rFonts w:ascii="Arial" w:cs="Arial" w:eastAsia="Arial" w:hAnsi="Arial"/>
          <w:sz w:val="14"/>
          <w:szCs w:val="14"/>
          <w:u w:val="single" w:color="auto"/>
          <w:color w:val="auto"/>
        </w:rPr>
        <w:t>Aggregate Stock Ownership Limit.</w:t>
      </w:r>
      <w:r>
        <w:rPr>
          <w:rFonts w:ascii="Arial" w:cs="Arial" w:eastAsia="Arial" w:hAnsi="Arial"/>
          <w:sz w:val="14"/>
          <w:szCs w:val="14"/>
          <w:color w:val="auto"/>
        </w:rPr>
        <w:t xml:space="preserve"> The term “Aggregate Stock Ownership Limit” shall mean not more than 9.8 percent (in value or in number of shares, whichever is more restrictive) of the aggregate of the outstanding shares of Capital Stock, subject to the Board of Directors' power under Section 8.2.8 hereof to increase or decrease such percentage. The value and number of the outstanding shares of Capital Stock shall be determined by the Board of Directors of the Corporation in good faith, which determination shall be conclusive for all purposes hereof. For the purposes of determining the percentage ownership of Capital Stock by any Person, shares of Capital Stock that may be acquired upon conversion, exchange or exercise of any securities of the Corporation directly or constructively held by such Person, but not Capital Stock issuable with respect to the conversion exchange or exercise of securities for the Corporation held by other Persons shall be deemed to be outstanding prior to conversion, exchange or exercise.</w:t>
      </w:r>
    </w:p>
    <w:p>
      <w:pPr>
        <w:spacing w:after="0" w:line="120" w:lineRule="exact"/>
        <w:rPr>
          <w:sz w:val="20"/>
          <w:szCs w:val="20"/>
          <w:color w:val="auto"/>
        </w:rPr>
      </w:pPr>
    </w:p>
    <w:p>
      <w:pPr>
        <w:ind w:left="8" w:firstLine="865"/>
        <w:spacing w:after="0" w:line="271" w:lineRule="auto"/>
        <w:rPr>
          <w:sz w:val="20"/>
          <w:szCs w:val="20"/>
          <w:color w:val="auto"/>
        </w:rPr>
      </w:pPr>
      <w:r>
        <w:rPr>
          <w:rFonts w:ascii="Arial" w:cs="Arial" w:eastAsia="Arial" w:hAnsi="Arial"/>
          <w:sz w:val="14"/>
          <w:szCs w:val="14"/>
          <w:u w:val="single" w:color="auto"/>
          <w:color w:val="auto"/>
        </w:rPr>
        <w:t>Beneficial Ownership.</w:t>
      </w:r>
      <w:r>
        <w:rPr>
          <w:rFonts w:ascii="Arial" w:cs="Arial" w:eastAsia="Arial" w:hAnsi="Arial"/>
          <w:sz w:val="14"/>
          <w:szCs w:val="14"/>
          <w:color w:val="auto"/>
        </w:rPr>
        <w:t xml:space="preserve"> The term “Beneficial Ownership” shall mean ownership of Capital Stock by a Person, whether the interest in the shares of Capital Stock is held directly or indirectly (including by a nominee), and shall include interests that would be treated as owned through the application of Section 544 of the Code, as modified by Sections 856(h)(1)(B) and 856(h)(3) of the Code.</w:t>
      </w:r>
    </w:p>
    <w:p>
      <w:pPr>
        <w:sectPr>
          <w:pgSz w:w="11900" w:h="16838" w:orient="portrait"/>
          <w:cols w:equalWidth="0" w:num="1">
            <w:col w:w="11448"/>
          </w:cols>
          <w:pgMar w:left="212" w:top="513" w:right="239" w:bottom="1440" w:gutter="0" w:footer="0" w:header="0"/>
        </w:sectPr>
      </w:pPr>
    </w:p>
    <w:bookmarkStart w:id="63" w:name="page64"/>
    <w:bookmarkEnd w:id="63"/>
    <w:p>
      <w:pPr>
        <w:spacing w:after="0"/>
        <w:rPr>
          <w:sz w:val="20"/>
          <w:szCs w:val="20"/>
          <w:color w:val="auto"/>
        </w:rPr>
      </w:pPr>
      <w:r>
        <w:rPr>
          <w:rFonts w:ascii="Arial" w:cs="Arial" w:eastAsia="Arial" w:hAnsi="Arial"/>
          <w:sz w:val="14"/>
          <w:szCs w:val="14"/>
          <w:color w:val="auto"/>
        </w:rPr>
        <w:t>The terms “Beneficial Owner,” “Beneficially Owns” and “Beneficially Owned” shall have the correlative meanings.</w:t>
      </w:r>
    </w:p>
    <w:p>
      <w:pPr>
        <w:spacing w:after="0" w:line="154" w:lineRule="exact"/>
        <w:rPr>
          <w:sz w:val="20"/>
          <w:szCs w:val="20"/>
          <w:color w:val="auto"/>
        </w:rPr>
      </w:pPr>
    </w:p>
    <w:p>
      <w:pPr>
        <w:ind w:right="100" w:firstLine="865"/>
        <w:spacing w:after="0" w:line="287" w:lineRule="auto"/>
        <w:rPr>
          <w:sz w:val="20"/>
          <w:szCs w:val="20"/>
          <w:color w:val="auto"/>
        </w:rPr>
      </w:pPr>
      <w:r>
        <w:rPr>
          <w:rFonts w:ascii="Arial" w:cs="Arial" w:eastAsia="Arial" w:hAnsi="Arial"/>
          <w:sz w:val="14"/>
          <w:szCs w:val="14"/>
          <w:u w:val="single" w:color="auto"/>
          <w:color w:val="auto"/>
        </w:rPr>
        <w:t>Business Day.</w:t>
      </w:r>
      <w:r>
        <w:rPr>
          <w:rFonts w:ascii="Arial" w:cs="Arial" w:eastAsia="Arial" w:hAnsi="Arial"/>
          <w:sz w:val="14"/>
          <w:szCs w:val="14"/>
          <w:color w:val="auto"/>
        </w:rPr>
        <w:t xml:space="preserve"> The term “Business Day” shall mean any day, other than a Saturday or Sunday, that is neither a legal holiday nor a day on which banking institutions in New York City are authorized or required by law, regulation or executive order to close.</w:t>
      </w:r>
    </w:p>
    <w:p>
      <w:pPr>
        <w:spacing w:after="0" w:line="101" w:lineRule="exact"/>
        <w:rPr>
          <w:sz w:val="20"/>
          <w:szCs w:val="20"/>
          <w:color w:val="auto"/>
        </w:rPr>
      </w:pPr>
    </w:p>
    <w:p>
      <w:pPr>
        <w:ind w:left="860"/>
        <w:spacing w:after="0"/>
        <w:rPr>
          <w:sz w:val="20"/>
          <w:szCs w:val="20"/>
          <w:color w:val="auto"/>
        </w:rPr>
      </w:pPr>
      <w:r>
        <w:rPr>
          <w:rFonts w:ascii="Arial" w:cs="Arial" w:eastAsia="Arial" w:hAnsi="Arial"/>
          <w:sz w:val="14"/>
          <w:szCs w:val="14"/>
          <w:u w:val="single" w:color="auto"/>
          <w:color w:val="auto"/>
        </w:rPr>
        <w:t>Capital Stock</w:t>
      </w:r>
      <w:r>
        <w:rPr>
          <w:rFonts w:ascii="Arial" w:cs="Arial" w:eastAsia="Arial" w:hAnsi="Arial"/>
          <w:sz w:val="14"/>
          <w:szCs w:val="14"/>
          <w:color w:val="auto"/>
        </w:rPr>
        <w:t>. The term “Capital Stock” shall mean all classes or series of stock of the Corporation, including, without limitation, Common Stock and Preferred Stock.</w:t>
      </w:r>
    </w:p>
    <w:p>
      <w:pPr>
        <w:spacing w:after="0" w:line="154" w:lineRule="exact"/>
        <w:rPr>
          <w:sz w:val="20"/>
          <w:szCs w:val="20"/>
          <w:color w:val="auto"/>
        </w:rPr>
      </w:pPr>
    </w:p>
    <w:p>
      <w:pPr>
        <w:ind w:right="40" w:firstLine="865"/>
        <w:spacing w:after="0" w:line="271" w:lineRule="auto"/>
        <w:rPr>
          <w:sz w:val="20"/>
          <w:szCs w:val="20"/>
          <w:color w:val="auto"/>
        </w:rPr>
      </w:pPr>
      <w:r>
        <w:rPr>
          <w:rFonts w:ascii="Arial" w:cs="Arial" w:eastAsia="Arial" w:hAnsi="Arial"/>
          <w:sz w:val="14"/>
          <w:szCs w:val="14"/>
          <w:u w:val="single" w:color="auto"/>
          <w:color w:val="auto"/>
        </w:rPr>
        <w:t>Charitable Beneficiary.</w:t>
      </w:r>
      <w:r>
        <w:rPr>
          <w:rFonts w:ascii="Arial" w:cs="Arial" w:eastAsia="Arial" w:hAnsi="Arial"/>
          <w:sz w:val="14"/>
          <w:szCs w:val="14"/>
          <w:color w:val="auto"/>
        </w:rPr>
        <w:t xml:space="preserve"> The term “Charitable Beneficiary” shall mean one or more beneficiaries of the Trust as determined pursuant to Section 8.3.6, provided that each such organization must be described in Section 501(c)(3) of the Code and contributions to each such organization must be eligible for deduction under each of Sections 170(b)(1)(A), 2055 and 2522 of the Code.</w:t>
      </w:r>
    </w:p>
    <w:p>
      <w:pPr>
        <w:spacing w:after="0" w:line="112" w:lineRule="exact"/>
        <w:rPr>
          <w:sz w:val="20"/>
          <w:szCs w:val="20"/>
          <w:color w:val="auto"/>
        </w:rPr>
      </w:pPr>
    </w:p>
    <w:p>
      <w:pPr>
        <w:ind w:left="860"/>
        <w:spacing w:after="0"/>
        <w:rPr>
          <w:sz w:val="20"/>
          <w:szCs w:val="20"/>
          <w:color w:val="auto"/>
        </w:rPr>
      </w:pPr>
      <w:r>
        <w:rPr>
          <w:rFonts w:ascii="Arial" w:cs="Arial" w:eastAsia="Arial" w:hAnsi="Arial"/>
          <w:sz w:val="14"/>
          <w:szCs w:val="14"/>
          <w:u w:val="single" w:color="auto"/>
          <w:color w:val="auto"/>
        </w:rPr>
        <w:t>Certificate of Incorporation.</w:t>
      </w:r>
      <w:r>
        <w:rPr>
          <w:rFonts w:ascii="Arial" w:cs="Arial" w:eastAsia="Arial" w:hAnsi="Arial"/>
          <w:sz w:val="14"/>
          <w:szCs w:val="14"/>
          <w:color w:val="auto"/>
        </w:rPr>
        <w:t xml:space="preserve"> The term “Certificate of Incorporation” shall mean the Certificate of Incorporation of the Corporation.</w:t>
      </w:r>
    </w:p>
    <w:p>
      <w:pPr>
        <w:spacing w:after="0" w:line="154" w:lineRule="exact"/>
        <w:rPr>
          <w:sz w:val="20"/>
          <w:szCs w:val="20"/>
          <w:color w:val="auto"/>
        </w:rPr>
      </w:pPr>
    </w:p>
    <w:p>
      <w:pPr>
        <w:ind w:left="860"/>
        <w:spacing w:after="0"/>
        <w:rPr>
          <w:sz w:val="20"/>
          <w:szCs w:val="20"/>
          <w:color w:val="auto"/>
        </w:rPr>
      </w:pPr>
      <w:r>
        <w:rPr>
          <w:rFonts w:ascii="Arial" w:cs="Arial" w:eastAsia="Arial" w:hAnsi="Arial"/>
          <w:sz w:val="14"/>
          <w:szCs w:val="14"/>
          <w:u w:val="single" w:color="auto"/>
          <w:color w:val="auto"/>
        </w:rPr>
        <w:t>Code.</w:t>
      </w:r>
      <w:r>
        <w:rPr>
          <w:rFonts w:ascii="Arial" w:cs="Arial" w:eastAsia="Arial" w:hAnsi="Arial"/>
          <w:sz w:val="14"/>
          <w:szCs w:val="14"/>
          <w:color w:val="auto"/>
        </w:rPr>
        <w:t xml:space="preserve"> The term “Code” shall mean the Internal Revenue Code of 1986, as amended from time to time.</w:t>
      </w:r>
    </w:p>
    <w:p>
      <w:pPr>
        <w:spacing w:after="0" w:line="154" w:lineRule="exact"/>
        <w:rPr>
          <w:sz w:val="20"/>
          <w:szCs w:val="20"/>
          <w:color w:val="auto"/>
        </w:rPr>
      </w:pPr>
    </w:p>
    <w:p>
      <w:pPr>
        <w:ind w:firstLine="865"/>
        <w:spacing w:after="0" w:line="261" w:lineRule="auto"/>
        <w:rPr>
          <w:sz w:val="20"/>
          <w:szCs w:val="20"/>
          <w:color w:val="auto"/>
        </w:rPr>
      </w:pPr>
      <w:r>
        <w:rPr>
          <w:rFonts w:ascii="Arial" w:cs="Arial" w:eastAsia="Arial" w:hAnsi="Arial"/>
          <w:sz w:val="14"/>
          <w:szCs w:val="14"/>
          <w:u w:val="single" w:color="auto"/>
          <w:color w:val="auto"/>
        </w:rPr>
        <w:t>Common Stock Ownership Limit.</w:t>
      </w:r>
      <w:r>
        <w:rPr>
          <w:rFonts w:ascii="Arial" w:cs="Arial" w:eastAsia="Arial" w:hAnsi="Arial"/>
          <w:sz w:val="14"/>
          <w:szCs w:val="14"/>
          <w:color w:val="auto"/>
        </w:rPr>
        <w:t xml:space="preserve"> The term “Common Stock Ownership Limit” shall mean not more than 9.8 percent (in value or in number of shares, whichever is more restrictive) of the aggregate of the outstanding shares of Common Stock, subject to the Board of Directors' power under Section 8.2.8 hereof to increase or decrease such percentage. The number and value of the outstanding shares of Common Stock of the Corporation shall be determined by the Board of Directors of the Corporation in good faith, which determination shall be conclusive for all purposes hereof. For purposes of determining the percentage ownership of Common Stock by any Person, shares of Common Stock that may be acquired upon conversion, exchange or exercise of any securities of the Corporation directly or constructively held by such Person, but not Common Stock issuable with respect to the conversion, exchange or exercise of securities for the Corporation held by other Persons, shall be deemed to be outstanding prior to conversion, exchange or exercise.</w:t>
      </w:r>
    </w:p>
    <w:p>
      <w:pPr>
        <w:spacing w:after="0" w:line="120" w:lineRule="exact"/>
        <w:rPr>
          <w:sz w:val="20"/>
          <w:szCs w:val="20"/>
          <w:color w:val="auto"/>
        </w:rPr>
      </w:pPr>
    </w:p>
    <w:p>
      <w:pPr>
        <w:jc w:val="both"/>
        <w:ind w:right="20" w:firstLine="865"/>
        <w:spacing w:after="0" w:line="271" w:lineRule="auto"/>
        <w:rPr>
          <w:sz w:val="20"/>
          <w:szCs w:val="20"/>
          <w:color w:val="auto"/>
        </w:rPr>
      </w:pPr>
      <w:r>
        <w:rPr>
          <w:rFonts w:ascii="Arial" w:cs="Arial" w:eastAsia="Arial" w:hAnsi="Arial"/>
          <w:sz w:val="14"/>
          <w:szCs w:val="14"/>
          <w:u w:val="single" w:color="auto"/>
          <w:color w:val="auto"/>
        </w:rPr>
        <w:t>Constructive Ownership.</w:t>
      </w:r>
      <w:r>
        <w:rPr>
          <w:rFonts w:ascii="Arial" w:cs="Arial" w:eastAsia="Arial" w:hAnsi="Arial"/>
          <w:sz w:val="14"/>
          <w:szCs w:val="14"/>
          <w:color w:val="auto"/>
        </w:rPr>
        <w:t xml:space="preserve"> The term “Constructive Ownership” shall mean ownership of Capital Stock by a Person, whether the interest in the shares of Capital Stock is held directly or indirectly (including by a nominee), and shall include interests that would be treated as owned actually or constructively through the application of Section 318(a) of the Code, as modified by Section 856(d)(5) of the Code. The terms “Constructive Owner,” “Constructively Owns” and “Constructively Owned” shall have the correlative meanings.</w:t>
      </w:r>
    </w:p>
    <w:p>
      <w:pPr>
        <w:spacing w:after="0" w:line="112" w:lineRule="exact"/>
        <w:rPr>
          <w:sz w:val="20"/>
          <w:szCs w:val="20"/>
          <w:color w:val="auto"/>
        </w:rPr>
      </w:pPr>
    </w:p>
    <w:p>
      <w:pPr>
        <w:ind w:right="320" w:firstLine="865"/>
        <w:spacing w:after="0" w:line="287" w:lineRule="auto"/>
        <w:rPr>
          <w:sz w:val="20"/>
          <w:szCs w:val="20"/>
          <w:color w:val="auto"/>
        </w:rPr>
      </w:pPr>
      <w:r>
        <w:rPr>
          <w:rFonts w:ascii="Arial" w:cs="Arial" w:eastAsia="Arial" w:hAnsi="Arial"/>
          <w:sz w:val="14"/>
          <w:szCs w:val="14"/>
          <w:u w:val="single" w:color="auto"/>
          <w:color w:val="auto"/>
        </w:rPr>
        <w:t>Excepted Holder.</w:t>
      </w:r>
      <w:r>
        <w:rPr>
          <w:rFonts w:ascii="Arial" w:cs="Arial" w:eastAsia="Arial" w:hAnsi="Arial"/>
          <w:sz w:val="14"/>
          <w:szCs w:val="14"/>
          <w:color w:val="auto"/>
        </w:rPr>
        <w:t xml:space="preserve"> The term “Excepted Holder” shall mean a Person for whom an Excepted Holder Limit is created by the Certificate of Incorporation or by the Board of Directors pursuant to Section 8.2.7.</w:t>
      </w:r>
    </w:p>
    <w:p>
      <w:pPr>
        <w:spacing w:after="0" w:line="101" w:lineRule="exact"/>
        <w:rPr>
          <w:sz w:val="20"/>
          <w:szCs w:val="20"/>
          <w:color w:val="auto"/>
        </w:rPr>
      </w:pPr>
    </w:p>
    <w:p>
      <w:pPr>
        <w:ind w:right="100" w:firstLine="865"/>
        <w:spacing w:after="0" w:line="271" w:lineRule="auto"/>
        <w:rPr>
          <w:sz w:val="20"/>
          <w:szCs w:val="20"/>
          <w:color w:val="auto"/>
        </w:rPr>
      </w:pPr>
      <w:r>
        <w:rPr>
          <w:rFonts w:ascii="Arial" w:cs="Arial" w:eastAsia="Arial" w:hAnsi="Arial"/>
          <w:sz w:val="14"/>
          <w:szCs w:val="14"/>
          <w:u w:val="single" w:color="auto"/>
          <w:color w:val="auto"/>
        </w:rPr>
        <w:t>Excepted Holder Limit.</w:t>
      </w:r>
      <w:r>
        <w:rPr>
          <w:rFonts w:ascii="Arial" w:cs="Arial" w:eastAsia="Arial" w:hAnsi="Arial"/>
          <w:sz w:val="14"/>
          <w:szCs w:val="14"/>
          <w:color w:val="auto"/>
        </w:rPr>
        <w:t xml:space="preserve"> The term “Excepted Holder Limit” shall mean, provided that the affected Excepted Holder agrees to comply with the requirements established by the Certificate of Incorporation or by the Board of Directors pursuant to Section 7.2.7 and subject to adjustment pursuant to Section 8.2.8, the percentage limit established for an Excepted Holder by the Board of Directors pursuant to Section 8.2.7.</w:t>
      </w:r>
    </w:p>
    <w:p>
      <w:pPr>
        <w:spacing w:after="0" w:line="112" w:lineRule="exact"/>
        <w:rPr>
          <w:sz w:val="20"/>
          <w:szCs w:val="20"/>
          <w:color w:val="auto"/>
        </w:rPr>
      </w:pPr>
    </w:p>
    <w:p>
      <w:pPr>
        <w:ind w:right="260" w:firstLine="865"/>
        <w:spacing w:after="0" w:line="287" w:lineRule="auto"/>
        <w:rPr>
          <w:sz w:val="20"/>
          <w:szCs w:val="20"/>
          <w:color w:val="auto"/>
        </w:rPr>
      </w:pPr>
      <w:r>
        <w:rPr>
          <w:rFonts w:ascii="Arial" w:cs="Arial" w:eastAsia="Arial" w:hAnsi="Arial"/>
          <w:sz w:val="14"/>
          <w:szCs w:val="14"/>
          <w:u w:val="single" w:color="auto"/>
          <w:color w:val="auto"/>
        </w:rPr>
        <w:t>Initial Date.</w:t>
      </w:r>
      <w:r>
        <w:rPr>
          <w:rFonts w:ascii="Arial" w:cs="Arial" w:eastAsia="Arial" w:hAnsi="Arial"/>
          <w:sz w:val="14"/>
          <w:szCs w:val="14"/>
          <w:color w:val="auto"/>
        </w:rPr>
        <w:t xml:space="preserve"> The term “Initial Date” shall mean the date upon which the Amended and Restated Certificate of Incorporation containing this Article VIII are filed with the Delaware Secretary of State.</w:t>
      </w:r>
    </w:p>
    <w:p>
      <w:pPr>
        <w:sectPr>
          <w:pgSz w:w="11900" w:h="16838" w:orient="portrait"/>
          <w:cols w:equalWidth="0" w:num="1">
            <w:col w:w="11460"/>
          </w:cols>
          <w:pgMar w:left="220" w:top="512" w:right="219" w:bottom="1440" w:gutter="0" w:footer="0" w:header="0"/>
        </w:sectPr>
      </w:pPr>
    </w:p>
    <w:bookmarkStart w:id="64" w:name="page65"/>
    <w:bookmarkEnd w:id="64"/>
    <w:p>
      <w:pPr>
        <w:ind w:right="140" w:firstLine="865"/>
        <w:spacing w:after="0" w:line="281" w:lineRule="auto"/>
        <w:rPr>
          <w:sz w:val="20"/>
          <w:szCs w:val="20"/>
          <w:color w:val="auto"/>
        </w:rPr>
      </w:pPr>
      <w:r>
        <w:rPr>
          <w:rFonts w:ascii="Arial" w:cs="Arial" w:eastAsia="Arial" w:hAnsi="Arial"/>
          <w:sz w:val="13"/>
          <w:szCs w:val="13"/>
          <w:u w:val="single" w:color="auto"/>
          <w:color w:val="auto"/>
        </w:rPr>
        <w:t>Market Price.</w:t>
      </w:r>
      <w:r>
        <w:rPr>
          <w:rFonts w:ascii="Arial" w:cs="Arial" w:eastAsia="Arial" w:hAnsi="Arial"/>
          <w:sz w:val="13"/>
          <w:szCs w:val="13"/>
          <w:color w:val="auto"/>
        </w:rPr>
        <w:t xml:space="preserve"> The term “Market Price” on any date shall mean, with respect to any class or series of outstanding shares of Capital Stock, the Closing Price for such Capital Stock on such date. The “Closing Price” on any date shall mean the last reported sale price for such Capital Stock, regular way, or, in case no such sale takes place on such day, the average of the closing bid and asked prices, regular way, for such Capital Stock, in either case as reported in the principal consolidated transaction reporting system with respect to securities listed or admitted to trading on Nasdaq or, if such Capital Stock is not listed or admitted to trading on Nasdaq, as reported on the principal consolidated transaction reporting system with respect to securities listed on the principal national securities exchange on which such Capital Stock is listed or admitted to trading or, if such Capital Stock is not listed or admitted to trading on any national securities exchange, the last quoted price, or, if not so quoted, the average of the high bid and low asked prices in the over-the-counter market, as reported by the National Association of Securities Dealers, Inc. Automated Quotation System or, if such system is no longer in use, the principal other automated quotation system that may then be in use or, if such Capital Stock is not quoted by any such organization, the average of the closing bid and asked prices as furnished by a professional market maker making a market in such Capital Stock selected by the Board of Directors of the Corporation or, in the event that no trading price is available for such Capital Stock, the fair market value of the Capital Stock, as determined in good faith by the Board of Directors of the Corporation.</w:t>
      </w:r>
    </w:p>
    <w:p>
      <w:pPr>
        <w:spacing w:after="0" w:line="109" w:lineRule="exact"/>
        <w:rPr>
          <w:sz w:val="20"/>
          <w:szCs w:val="20"/>
          <w:color w:val="auto"/>
        </w:rPr>
      </w:pPr>
    </w:p>
    <w:p>
      <w:pPr>
        <w:ind w:left="860"/>
        <w:spacing w:after="0"/>
        <w:rPr>
          <w:sz w:val="20"/>
          <w:szCs w:val="20"/>
          <w:color w:val="auto"/>
        </w:rPr>
      </w:pPr>
      <w:r>
        <w:rPr>
          <w:rFonts w:ascii="Arial" w:cs="Arial" w:eastAsia="Arial" w:hAnsi="Arial"/>
          <w:sz w:val="14"/>
          <w:szCs w:val="14"/>
          <w:u w:val="single" w:color="auto"/>
          <w:color w:val="auto"/>
        </w:rPr>
        <w:t>General Corporation Law.</w:t>
      </w:r>
      <w:r>
        <w:rPr>
          <w:rFonts w:ascii="Arial" w:cs="Arial" w:eastAsia="Arial" w:hAnsi="Arial"/>
          <w:sz w:val="14"/>
          <w:szCs w:val="14"/>
          <w:color w:val="auto"/>
        </w:rPr>
        <w:t xml:space="preserve"> The term “General Corporation Law” shall mean the Delaware General Corporation Law, as amended from time to time.</w:t>
      </w:r>
    </w:p>
    <w:p>
      <w:pPr>
        <w:spacing w:after="0" w:line="154" w:lineRule="exact"/>
        <w:rPr>
          <w:sz w:val="20"/>
          <w:szCs w:val="20"/>
          <w:color w:val="auto"/>
        </w:rPr>
      </w:pPr>
    </w:p>
    <w:p>
      <w:pPr>
        <w:ind w:left="860"/>
        <w:spacing w:after="0"/>
        <w:rPr>
          <w:sz w:val="20"/>
          <w:szCs w:val="20"/>
          <w:color w:val="auto"/>
        </w:rPr>
      </w:pPr>
      <w:r>
        <w:rPr>
          <w:rFonts w:ascii="Arial" w:cs="Arial" w:eastAsia="Arial" w:hAnsi="Arial"/>
          <w:sz w:val="14"/>
          <w:szCs w:val="14"/>
          <w:u w:val="single" w:color="auto"/>
          <w:color w:val="auto"/>
        </w:rPr>
        <w:t>Nasdaq.</w:t>
      </w:r>
      <w:r>
        <w:rPr>
          <w:rFonts w:ascii="Arial" w:cs="Arial" w:eastAsia="Arial" w:hAnsi="Arial"/>
          <w:sz w:val="14"/>
          <w:szCs w:val="14"/>
          <w:color w:val="auto"/>
        </w:rPr>
        <w:t xml:space="preserve"> The term “Nasdaq” shall mean The NASDAQ Stock Market, Inc.</w:t>
      </w:r>
    </w:p>
    <w:p>
      <w:pPr>
        <w:spacing w:after="0" w:line="154" w:lineRule="exact"/>
        <w:rPr>
          <w:sz w:val="20"/>
          <w:szCs w:val="20"/>
          <w:color w:val="auto"/>
        </w:rPr>
      </w:pPr>
    </w:p>
    <w:p>
      <w:pPr>
        <w:ind w:right="100" w:firstLine="865"/>
        <w:spacing w:after="0" w:line="265" w:lineRule="auto"/>
        <w:rPr>
          <w:sz w:val="20"/>
          <w:szCs w:val="20"/>
          <w:color w:val="auto"/>
        </w:rPr>
      </w:pPr>
      <w:r>
        <w:rPr>
          <w:rFonts w:ascii="Arial" w:cs="Arial" w:eastAsia="Arial" w:hAnsi="Arial"/>
          <w:sz w:val="14"/>
          <w:szCs w:val="14"/>
          <w:u w:val="single" w:color="auto"/>
          <w:color w:val="auto"/>
        </w:rPr>
        <w:t>Person.</w:t>
      </w:r>
      <w:r>
        <w:rPr>
          <w:rFonts w:ascii="Arial" w:cs="Arial" w:eastAsia="Arial" w:hAnsi="Arial"/>
          <w:sz w:val="14"/>
          <w:szCs w:val="14"/>
          <w:color w:val="auto"/>
        </w:rPr>
        <w:t xml:space="preserve"> The term “Person” shall mean an individual, corporation, partnership, limited liability company, estate, trust (including a trust qualified under Sections 401(a) or 501(c)(17) of the Code), a portion of a trust permanently set aside for or to be used exclusively for the purposes described in Section 642(c) of the Code, association, private foundation within the meaning of Section 509(a) of the Code, joint stock company or other entity and also includes a group as that term is used for purposes of Section 13(d)(3) of the Securities Exchange Act of 1934, as amended, and a group to which an Excepted Holder Limit applies.</w:t>
      </w:r>
    </w:p>
    <w:p>
      <w:pPr>
        <w:spacing w:after="0" w:line="118" w:lineRule="exact"/>
        <w:rPr>
          <w:sz w:val="20"/>
          <w:szCs w:val="20"/>
          <w:color w:val="auto"/>
        </w:rPr>
      </w:pPr>
    </w:p>
    <w:p>
      <w:pPr>
        <w:ind w:right="260" w:firstLine="865"/>
        <w:spacing w:after="0" w:line="271" w:lineRule="auto"/>
        <w:rPr>
          <w:sz w:val="20"/>
          <w:szCs w:val="20"/>
          <w:color w:val="auto"/>
        </w:rPr>
      </w:pPr>
      <w:r>
        <w:rPr>
          <w:rFonts w:ascii="Arial" w:cs="Arial" w:eastAsia="Arial" w:hAnsi="Arial"/>
          <w:sz w:val="14"/>
          <w:szCs w:val="14"/>
          <w:u w:val="single" w:color="auto"/>
          <w:color w:val="auto"/>
        </w:rPr>
        <w:t>Prohibited Owner.</w:t>
      </w:r>
      <w:r>
        <w:rPr>
          <w:rFonts w:ascii="Arial" w:cs="Arial" w:eastAsia="Arial" w:hAnsi="Arial"/>
          <w:sz w:val="14"/>
          <w:szCs w:val="14"/>
          <w:color w:val="auto"/>
        </w:rPr>
        <w:t xml:space="preserve"> The term “Prohibited Owner” shall mean, with respect to any purported Transfer (or other event), any Person who, but for the provisions of Section 8.2.1, would Beneficially Own or Constructively Own shares of Capital Stock in violation of the provisions of 8.2.1(a) and, if appropriate in the context, shall also mean any Person who would have been the record owner of the shares of Capital Stock that the Prohibited Owner would have so owned.</w:t>
      </w:r>
    </w:p>
    <w:p>
      <w:pPr>
        <w:spacing w:after="0" w:line="112" w:lineRule="exact"/>
        <w:rPr>
          <w:sz w:val="20"/>
          <w:szCs w:val="20"/>
          <w:color w:val="auto"/>
        </w:rPr>
      </w:pPr>
    </w:p>
    <w:p>
      <w:pPr>
        <w:ind w:left="860"/>
        <w:spacing w:after="0"/>
        <w:rPr>
          <w:sz w:val="20"/>
          <w:szCs w:val="20"/>
          <w:color w:val="auto"/>
        </w:rPr>
      </w:pPr>
      <w:r>
        <w:rPr>
          <w:rFonts w:ascii="Arial" w:cs="Arial" w:eastAsia="Arial" w:hAnsi="Arial"/>
          <w:sz w:val="14"/>
          <w:szCs w:val="14"/>
          <w:u w:val="single" w:color="auto"/>
          <w:color w:val="auto"/>
        </w:rPr>
        <w:t>REIT.</w:t>
      </w:r>
      <w:r>
        <w:rPr>
          <w:rFonts w:ascii="Arial" w:cs="Arial" w:eastAsia="Arial" w:hAnsi="Arial"/>
          <w:sz w:val="14"/>
          <w:szCs w:val="14"/>
          <w:color w:val="auto"/>
        </w:rPr>
        <w:t xml:space="preserve"> The term “REIT” shall mean a real estate investment trust within the meaning of Section 856 of the Code.</w:t>
      </w:r>
    </w:p>
    <w:p>
      <w:pPr>
        <w:spacing w:after="0" w:line="154" w:lineRule="exact"/>
        <w:rPr>
          <w:sz w:val="20"/>
          <w:szCs w:val="20"/>
          <w:color w:val="auto"/>
        </w:rPr>
      </w:pPr>
    </w:p>
    <w:p>
      <w:pPr>
        <w:ind w:firstLine="865"/>
        <w:spacing w:after="0" w:line="301" w:lineRule="auto"/>
        <w:rPr>
          <w:sz w:val="20"/>
          <w:szCs w:val="20"/>
          <w:color w:val="auto"/>
        </w:rPr>
      </w:pPr>
      <w:r>
        <w:rPr>
          <w:rFonts w:ascii="Arial" w:cs="Arial" w:eastAsia="Arial" w:hAnsi="Arial"/>
          <w:sz w:val="13"/>
          <w:szCs w:val="13"/>
          <w:u w:val="single" w:color="auto"/>
          <w:color w:val="auto"/>
        </w:rPr>
        <w:t>Restriction Termination Date.</w:t>
      </w:r>
      <w:r>
        <w:rPr>
          <w:rFonts w:ascii="Arial" w:cs="Arial" w:eastAsia="Arial" w:hAnsi="Arial"/>
          <w:sz w:val="13"/>
          <w:szCs w:val="13"/>
          <w:color w:val="auto"/>
        </w:rPr>
        <w:t xml:space="preserve"> The term “Restriction Termination Date” shall mean the first day after the Initial Date on which the Corporation determines pursuant to Section 5.6 of the Certificate of Incorporation that it is no longer in the best interests of the Corporation to attempt to, or continue to, qualify as a REIT or that compliance with the restrictions and limitations on Beneficial Ownership, Constructive Ownership and Transfers of shares of Capital Stock set forth herein is no longer required in order for the Corporation to qualify as a REIT.</w:t>
      </w:r>
    </w:p>
    <w:p>
      <w:pPr>
        <w:spacing w:after="0" w:line="95" w:lineRule="exact"/>
        <w:rPr>
          <w:sz w:val="20"/>
          <w:szCs w:val="20"/>
          <w:color w:val="auto"/>
        </w:rPr>
      </w:pPr>
    </w:p>
    <w:p>
      <w:pPr>
        <w:ind w:right="120" w:firstLine="865"/>
        <w:spacing w:after="0" w:line="265" w:lineRule="auto"/>
        <w:rPr>
          <w:sz w:val="20"/>
          <w:szCs w:val="20"/>
          <w:color w:val="auto"/>
        </w:rPr>
      </w:pPr>
      <w:r>
        <w:rPr>
          <w:rFonts w:ascii="Arial" w:cs="Arial" w:eastAsia="Arial" w:hAnsi="Arial"/>
          <w:sz w:val="14"/>
          <w:szCs w:val="14"/>
          <w:u w:val="single" w:color="auto"/>
          <w:color w:val="auto"/>
        </w:rPr>
        <w:t>Transfer.</w:t>
      </w:r>
      <w:r>
        <w:rPr>
          <w:rFonts w:ascii="Arial" w:cs="Arial" w:eastAsia="Arial" w:hAnsi="Arial"/>
          <w:sz w:val="14"/>
          <w:szCs w:val="14"/>
          <w:color w:val="auto"/>
        </w:rPr>
        <w:t xml:space="preserve"> The term “Transfer” shall mean any issuance, sale, transfer, gift, assignment, devise or other disposition, as well as any other event that causes any Person to acquire Beneficial Ownership or Constructive Ownership, or any agreement to take any such actions or cause any such events, of Capital Stock or the right to vote or receive dividends on Capital Stock, including (a) the granting or exercise of any option (or any disposition of any option), (b) any disposition of any securities or rights convertible into or exchangeable for Capital Stock or any interest in Capital Stock or any</w:t>
      </w:r>
    </w:p>
    <w:p>
      <w:pPr>
        <w:sectPr>
          <w:pgSz w:w="11900" w:h="16838" w:orient="portrait"/>
          <w:cols w:equalWidth="0" w:num="1">
            <w:col w:w="11480"/>
          </w:cols>
          <w:pgMar w:left="220" w:top="513" w:right="199" w:bottom="1440" w:gutter="0" w:footer="0" w:header="0"/>
        </w:sectPr>
      </w:pPr>
    </w:p>
    <w:bookmarkStart w:id="65" w:name="page66"/>
    <w:bookmarkEnd w:id="65"/>
    <w:p>
      <w:pPr>
        <w:ind w:right="60"/>
        <w:spacing w:after="0" w:line="271" w:lineRule="auto"/>
        <w:rPr>
          <w:sz w:val="20"/>
          <w:szCs w:val="20"/>
          <w:color w:val="auto"/>
        </w:rPr>
      </w:pPr>
      <w:r>
        <w:rPr>
          <w:rFonts w:ascii="Arial" w:cs="Arial" w:eastAsia="Arial" w:hAnsi="Arial"/>
          <w:sz w:val="14"/>
          <w:szCs w:val="14"/>
          <w:color w:val="auto"/>
        </w:rPr>
        <w:t>exercise of any such conversion or exchange right and (c) Transfers of interests in other entities that result in changes in Beneficial or Constructive Ownership of Capital Stock; in each case, whether voluntary or involuntary, whether owned of record, Constructively Owned or Beneficially Owned and whether by operation of law or otherwise. The terms “Transferring” and “Transferred” shall have the correlative meanings.</w:t>
      </w:r>
    </w:p>
    <w:p>
      <w:pPr>
        <w:spacing w:after="0" w:line="112" w:lineRule="exact"/>
        <w:rPr>
          <w:sz w:val="20"/>
          <w:szCs w:val="20"/>
          <w:color w:val="auto"/>
        </w:rPr>
      </w:pPr>
    </w:p>
    <w:p>
      <w:pPr>
        <w:ind w:left="860"/>
        <w:spacing w:after="0"/>
        <w:rPr>
          <w:sz w:val="20"/>
          <w:szCs w:val="20"/>
          <w:color w:val="auto"/>
        </w:rPr>
      </w:pPr>
      <w:r>
        <w:rPr>
          <w:rFonts w:ascii="Arial" w:cs="Arial" w:eastAsia="Arial" w:hAnsi="Arial"/>
          <w:sz w:val="14"/>
          <w:szCs w:val="14"/>
          <w:u w:val="single" w:color="auto"/>
          <w:color w:val="auto"/>
        </w:rPr>
        <w:t>Trust.</w:t>
      </w:r>
      <w:r>
        <w:rPr>
          <w:rFonts w:ascii="Arial" w:cs="Arial" w:eastAsia="Arial" w:hAnsi="Arial"/>
          <w:sz w:val="14"/>
          <w:szCs w:val="14"/>
          <w:color w:val="auto"/>
        </w:rPr>
        <w:t xml:space="preserve"> The term “Trust” shall mean any trust provided for in Section 8.3.1.</w:t>
      </w:r>
    </w:p>
    <w:p>
      <w:pPr>
        <w:spacing w:after="0" w:line="154" w:lineRule="exact"/>
        <w:rPr>
          <w:sz w:val="20"/>
          <w:szCs w:val="20"/>
          <w:color w:val="auto"/>
        </w:rPr>
      </w:pPr>
    </w:p>
    <w:p>
      <w:pPr>
        <w:ind w:left="860"/>
        <w:spacing w:after="0"/>
        <w:rPr>
          <w:sz w:val="20"/>
          <w:szCs w:val="20"/>
          <w:color w:val="auto"/>
        </w:rPr>
      </w:pPr>
      <w:r>
        <w:rPr>
          <w:rFonts w:ascii="Arial" w:cs="Arial" w:eastAsia="Arial" w:hAnsi="Arial"/>
          <w:sz w:val="13"/>
          <w:szCs w:val="13"/>
          <w:u w:val="single" w:color="auto"/>
          <w:color w:val="auto"/>
        </w:rPr>
        <w:t>Trustee.</w:t>
      </w:r>
      <w:r>
        <w:rPr>
          <w:rFonts w:ascii="Arial" w:cs="Arial" w:eastAsia="Arial" w:hAnsi="Arial"/>
          <w:sz w:val="13"/>
          <w:szCs w:val="13"/>
          <w:color w:val="auto"/>
        </w:rPr>
        <w:t xml:space="preserve"> The term “Trustee” shall mean the Person unaffiliated with the Corporation and a Prohibited Owner, that is appointed by the Corporation to serve as trustee of the Trust.</w:t>
      </w:r>
    </w:p>
    <w:p>
      <w:pPr>
        <w:spacing w:after="0" w:line="166" w:lineRule="exact"/>
        <w:rPr>
          <w:sz w:val="20"/>
          <w:szCs w:val="20"/>
          <w:color w:val="auto"/>
        </w:rPr>
      </w:pPr>
    </w:p>
    <w:p>
      <w:pPr>
        <w:ind w:left="860"/>
        <w:spacing w:after="0"/>
        <w:tabs>
          <w:tab w:leader="none" w:pos="1600" w:val="left"/>
        </w:tabs>
        <w:rPr>
          <w:sz w:val="20"/>
          <w:szCs w:val="20"/>
          <w:color w:val="auto"/>
        </w:rPr>
      </w:pPr>
      <w:r>
        <w:rPr>
          <w:rFonts w:ascii="Arial" w:cs="Arial" w:eastAsia="Arial" w:hAnsi="Arial"/>
          <w:sz w:val="14"/>
          <w:szCs w:val="14"/>
          <w:color w:val="auto"/>
        </w:rPr>
        <w:t>Section 8.2</w:t>
      </w:r>
      <w:r>
        <w:rPr>
          <w:sz w:val="20"/>
          <w:szCs w:val="20"/>
          <w:color w:val="auto"/>
        </w:rPr>
        <w:tab/>
      </w:r>
      <w:r>
        <w:rPr>
          <w:rFonts w:ascii="Arial" w:cs="Arial" w:eastAsia="Arial" w:hAnsi="Arial"/>
          <w:sz w:val="13"/>
          <w:szCs w:val="13"/>
          <w:u w:val="single" w:color="auto"/>
          <w:color w:val="auto"/>
        </w:rPr>
        <w:t>Capital Stock.</w:t>
      </w:r>
    </w:p>
    <w:p>
      <w:pPr>
        <w:spacing w:after="0" w:line="163" w:lineRule="exact"/>
        <w:rPr>
          <w:sz w:val="20"/>
          <w:szCs w:val="20"/>
          <w:color w:val="auto"/>
        </w:rPr>
      </w:pPr>
    </w:p>
    <w:p>
      <w:pPr>
        <w:ind w:left="420"/>
        <w:spacing w:after="0"/>
        <w:tabs>
          <w:tab w:leader="none" w:pos="1280" w:val="left"/>
        </w:tabs>
        <w:rPr>
          <w:sz w:val="20"/>
          <w:szCs w:val="20"/>
          <w:color w:val="auto"/>
        </w:rPr>
      </w:pPr>
      <w:r>
        <w:rPr>
          <w:rFonts w:ascii="Arial" w:cs="Arial" w:eastAsia="Arial" w:hAnsi="Arial"/>
          <w:sz w:val="14"/>
          <w:szCs w:val="14"/>
          <w:color w:val="auto"/>
        </w:rPr>
        <w:t>Section 8.2.1</w:t>
      </w:r>
      <w:r>
        <w:rPr>
          <w:sz w:val="20"/>
          <w:szCs w:val="20"/>
          <w:color w:val="auto"/>
        </w:rPr>
        <w:tab/>
      </w:r>
      <w:r>
        <w:rPr>
          <w:rFonts w:ascii="Arial" w:cs="Arial" w:eastAsia="Arial" w:hAnsi="Arial"/>
          <w:sz w:val="13"/>
          <w:szCs w:val="13"/>
          <w:u w:val="single" w:color="auto"/>
          <w:color w:val="auto"/>
        </w:rPr>
        <w:t xml:space="preserve">Ownership Limitations. </w:t>
      </w:r>
      <w:r>
        <w:rPr>
          <w:rFonts w:ascii="Arial" w:cs="Arial" w:eastAsia="Arial" w:hAnsi="Arial"/>
          <w:sz w:val="13"/>
          <w:szCs w:val="13"/>
          <w:color w:val="auto"/>
        </w:rPr>
        <w:t>During the period commencing on the Initial Date and prior to the Restriction Termination Date:</w:t>
      </w:r>
    </w:p>
    <w:p>
      <w:pPr>
        <w:spacing w:after="0" w:line="163" w:lineRule="exact"/>
        <w:rPr>
          <w:sz w:val="20"/>
          <w:szCs w:val="20"/>
          <w:color w:val="auto"/>
        </w:rPr>
      </w:pPr>
    </w:p>
    <w:p>
      <w:pPr>
        <w:ind w:left="620" w:hanging="196"/>
        <w:spacing w:after="0"/>
        <w:tabs>
          <w:tab w:leader="none" w:pos="620" w:val="left"/>
        </w:tabs>
        <w:numPr>
          <w:ilvl w:val="0"/>
          <w:numId w:val="40"/>
        </w:numPr>
        <w:rPr>
          <w:rFonts w:ascii="Arial" w:cs="Arial" w:eastAsia="Arial" w:hAnsi="Arial"/>
          <w:sz w:val="14"/>
          <w:szCs w:val="14"/>
          <w:color w:val="auto"/>
        </w:rPr>
      </w:pPr>
      <w:r>
        <w:rPr>
          <w:rFonts w:ascii="Arial" w:cs="Arial" w:eastAsia="Arial" w:hAnsi="Arial"/>
          <w:sz w:val="14"/>
          <w:szCs w:val="14"/>
          <w:u w:val="single" w:color="auto"/>
          <w:color w:val="auto"/>
        </w:rPr>
        <w:t>Basic Restrictions.</w:t>
      </w:r>
    </w:p>
    <w:p>
      <w:pPr>
        <w:spacing w:after="0" w:line="154" w:lineRule="exact"/>
        <w:rPr>
          <w:rFonts w:ascii="Arial" w:cs="Arial" w:eastAsia="Arial" w:hAnsi="Arial"/>
          <w:sz w:val="14"/>
          <w:szCs w:val="14"/>
          <w:color w:val="auto"/>
        </w:rPr>
      </w:pPr>
    </w:p>
    <w:p>
      <w:pPr>
        <w:ind w:right="200" w:firstLine="857"/>
        <w:spacing w:after="0" w:line="271" w:lineRule="auto"/>
        <w:tabs>
          <w:tab w:leader="none" w:pos="1037" w:val="left"/>
        </w:tabs>
        <w:numPr>
          <w:ilvl w:val="1"/>
          <w:numId w:val="40"/>
        </w:numPr>
        <w:rPr>
          <w:rFonts w:ascii="Arial" w:cs="Arial" w:eastAsia="Arial" w:hAnsi="Arial"/>
          <w:sz w:val="14"/>
          <w:szCs w:val="14"/>
          <w:color w:val="auto"/>
        </w:rPr>
      </w:pPr>
      <w:r>
        <w:rPr>
          <w:rFonts w:ascii="Arial" w:cs="Arial" w:eastAsia="Arial" w:hAnsi="Arial"/>
          <w:sz w:val="14"/>
          <w:szCs w:val="14"/>
          <w:color w:val="auto"/>
        </w:rPr>
        <w:t>(1) No Person, other than an Excepted Holder, shall Beneficially Own or Constructively Own either shares of Capital Stock in excess of the Aggregate Stock Ownership Limit or shares of Common Stock in excess of the Common Stock Ownership Limit and (2) no Excepted Holder shall Beneficially Own or Constructively Own shares of Capital Stock in excess of the Excepted Holder Limit for such Excepted Holder.</w:t>
      </w:r>
    </w:p>
    <w:p>
      <w:pPr>
        <w:spacing w:after="0" w:line="112" w:lineRule="exact"/>
        <w:rPr>
          <w:rFonts w:ascii="Arial" w:cs="Arial" w:eastAsia="Arial" w:hAnsi="Arial"/>
          <w:sz w:val="14"/>
          <w:szCs w:val="14"/>
          <w:color w:val="auto"/>
        </w:rPr>
      </w:pPr>
    </w:p>
    <w:p>
      <w:pPr>
        <w:ind w:firstLine="857"/>
        <w:spacing w:after="0" w:line="261" w:lineRule="auto"/>
        <w:tabs>
          <w:tab w:leader="none" w:pos="1077" w:val="left"/>
        </w:tabs>
        <w:numPr>
          <w:ilvl w:val="1"/>
          <w:numId w:val="40"/>
        </w:numPr>
        <w:rPr>
          <w:rFonts w:ascii="Arial" w:cs="Arial" w:eastAsia="Arial" w:hAnsi="Arial"/>
          <w:sz w:val="14"/>
          <w:szCs w:val="14"/>
          <w:color w:val="auto"/>
        </w:rPr>
      </w:pPr>
      <w:r>
        <w:rPr>
          <w:rFonts w:ascii="Arial" w:cs="Arial" w:eastAsia="Arial" w:hAnsi="Arial"/>
          <w:sz w:val="14"/>
          <w:szCs w:val="14"/>
          <w:color w:val="auto"/>
        </w:rPr>
        <w:t>No Person shall Beneficially or Constructively Own shares of Capital Stock to the extent that such Beneficial or Constructive Ownership of Capital Stock would result in the Corporation being “closely held” within the meaning of Section 856(h) of the Code (without regard to whether the ownership interest is held during the last half of a taxable year), or otherwise failing to qualify as a REIT (including, but not limited to, Beneficial or Constructive Ownership to the extent that such Beneficial or Constructive Ownership would result in the Corporation owning (actually or Constructively) a 9.9% interest in a tenant that is described in Section 856(d)(2)(B) of the Code (for this purpose, a tenant from whom the Corporation (or an entity owned or controlled by the Corporation) derives (and is expected to continue to derive) a sufficiently small amount of revenue such that, in the opinion of the Board of Directors of the Corporation, rent from such tenant would not adversely affect the Corporation’s ability to qualify as a REIT, shall not be treated as a tenant of the Corporation)).</w:t>
      </w:r>
    </w:p>
    <w:p>
      <w:pPr>
        <w:spacing w:after="0" w:line="120" w:lineRule="exact"/>
        <w:rPr>
          <w:rFonts w:ascii="Arial" w:cs="Arial" w:eastAsia="Arial" w:hAnsi="Arial"/>
          <w:sz w:val="14"/>
          <w:szCs w:val="14"/>
          <w:color w:val="auto"/>
        </w:rPr>
      </w:pPr>
    </w:p>
    <w:p>
      <w:pPr>
        <w:jc w:val="both"/>
        <w:ind w:right="60" w:firstLine="857"/>
        <w:spacing w:after="0" w:line="271" w:lineRule="auto"/>
        <w:tabs>
          <w:tab w:leader="none" w:pos="1117" w:val="left"/>
        </w:tabs>
        <w:numPr>
          <w:ilvl w:val="1"/>
          <w:numId w:val="40"/>
        </w:numPr>
        <w:rPr>
          <w:rFonts w:ascii="Arial" w:cs="Arial" w:eastAsia="Arial" w:hAnsi="Arial"/>
          <w:sz w:val="14"/>
          <w:szCs w:val="14"/>
          <w:color w:val="auto"/>
        </w:rPr>
      </w:pPr>
      <w:r>
        <w:rPr>
          <w:rFonts w:ascii="Arial" w:cs="Arial" w:eastAsia="Arial" w:hAnsi="Arial"/>
          <w:sz w:val="14"/>
          <w:szCs w:val="14"/>
          <w:color w:val="auto"/>
        </w:rPr>
        <w:t>Notwithstanding any other provisions contained herein, no Person shall Transfer of shares of Capital Stock (whether or not such Transfer is the result of a transaction entered into through the facilities of Nasdaq or any other national securities exchange or automated inter-dealer quotation system) that, if effective, would result in the Capital Stock being Beneficially Owned by less than 100 Persons (determined under the principles of Section 856(a)(5) of the Code).</w:t>
      </w:r>
    </w:p>
    <w:p>
      <w:pPr>
        <w:spacing w:after="0" w:line="112" w:lineRule="exact"/>
        <w:rPr>
          <w:rFonts w:ascii="Arial" w:cs="Arial" w:eastAsia="Arial" w:hAnsi="Arial"/>
          <w:sz w:val="14"/>
          <w:szCs w:val="14"/>
          <w:color w:val="auto"/>
        </w:rPr>
      </w:pPr>
    </w:p>
    <w:p>
      <w:pPr>
        <w:ind w:right="240" w:firstLine="424"/>
        <w:spacing w:after="0" w:line="271" w:lineRule="auto"/>
        <w:tabs>
          <w:tab w:leader="none" w:pos="636" w:val="left"/>
        </w:tabs>
        <w:numPr>
          <w:ilvl w:val="0"/>
          <w:numId w:val="40"/>
        </w:numPr>
        <w:rPr>
          <w:rFonts w:ascii="Arial" w:cs="Arial" w:eastAsia="Arial" w:hAnsi="Arial"/>
          <w:sz w:val="14"/>
          <w:szCs w:val="14"/>
          <w:color w:val="auto"/>
        </w:rPr>
      </w:pPr>
      <w:r>
        <w:rPr>
          <w:rFonts w:ascii="Arial" w:cs="Arial" w:eastAsia="Arial" w:hAnsi="Arial"/>
          <w:sz w:val="14"/>
          <w:szCs w:val="14"/>
          <w:u w:val="single" w:color="auto"/>
          <w:color w:val="auto"/>
        </w:rPr>
        <w:t>Transfer in Trust.</w:t>
      </w:r>
      <w:r>
        <w:rPr>
          <w:rFonts w:ascii="Arial" w:cs="Arial" w:eastAsia="Arial" w:hAnsi="Arial"/>
          <w:sz w:val="14"/>
          <w:szCs w:val="14"/>
          <w:color w:val="auto"/>
        </w:rPr>
        <w:t xml:space="preserve"> If any Transfer of shares of Capital Stock (whether or not such Transfer is the result of a transaction entered into through the facilities of Nasdaq or any other national securities exchange or automated inter-dealer quotation system) occurs which, if effective, would result in any Person Beneficially Owning or Constructively Owning shares of Capital Stock in violation of Section 8.2.1(a),</w:t>
      </w:r>
    </w:p>
    <w:p>
      <w:pPr>
        <w:spacing w:after="0" w:line="112" w:lineRule="exact"/>
        <w:rPr>
          <w:rFonts w:ascii="Arial" w:cs="Arial" w:eastAsia="Arial" w:hAnsi="Arial"/>
          <w:sz w:val="14"/>
          <w:szCs w:val="14"/>
          <w:color w:val="auto"/>
        </w:rPr>
      </w:pPr>
    </w:p>
    <w:p>
      <w:pPr>
        <w:ind w:right="40" w:firstLine="857"/>
        <w:spacing w:after="0" w:line="271" w:lineRule="auto"/>
        <w:tabs>
          <w:tab w:leader="none" w:pos="1037" w:val="left"/>
        </w:tabs>
        <w:numPr>
          <w:ilvl w:val="1"/>
          <w:numId w:val="40"/>
        </w:numPr>
        <w:rPr>
          <w:rFonts w:ascii="Arial" w:cs="Arial" w:eastAsia="Arial" w:hAnsi="Arial"/>
          <w:sz w:val="14"/>
          <w:szCs w:val="14"/>
          <w:color w:val="auto"/>
        </w:rPr>
      </w:pPr>
      <w:r>
        <w:rPr>
          <w:rFonts w:ascii="Arial" w:cs="Arial" w:eastAsia="Arial" w:hAnsi="Arial"/>
          <w:sz w:val="14"/>
          <w:szCs w:val="14"/>
          <w:color w:val="auto"/>
        </w:rPr>
        <w:t>then that number of shares of Capital Stock the Beneficial or Constructive Ownership of which otherwise would cause such Person to violate Section 8.2.1(a) (rounded up to the nearest whole share) shall be automatically transferred to a Trust for the benefit of a Charitable Beneficiary, as described in Section 8.3, effective as of the close of business on the Business Day prior to the date of such Transfer (or other event), and such Person shall acquire no rights in such shares of Capital Stock; or</w:t>
      </w:r>
    </w:p>
    <w:p>
      <w:pPr>
        <w:sectPr>
          <w:pgSz w:w="11900" w:h="16838" w:orient="portrait"/>
          <w:cols w:equalWidth="0" w:num="1">
            <w:col w:w="11460"/>
          </w:cols>
          <w:pgMar w:left="220" w:top="512" w:right="219" w:bottom="1440" w:gutter="0" w:footer="0" w:header="0"/>
        </w:sectPr>
      </w:pPr>
    </w:p>
    <w:bookmarkStart w:id="66" w:name="page67"/>
    <w:bookmarkEnd w:id="66"/>
    <w:p>
      <w:pPr>
        <w:jc w:val="both"/>
        <w:ind w:right="100" w:firstLine="857"/>
        <w:spacing w:after="0" w:line="327" w:lineRule="auto"/>
        <w:tabs>
          <w:tab w:leader="none" w:pos="1077" w:val="left"/>
        </w:tabs>
        <w:numPr>
          <w:ilvl w:val="0"/>
          <w:numId w:val="41"/>
        </w:numPr>
        <w:rPr>
          <w:rFonts w:ascii="Arial" w:cs="Arial" w:eastAsia="Arial" w:hAnsi="Arial"/>
          <w:sz w:val="13"/>
          <w:szCs w:val="13"/>
          <w:color w:val="auto"/>
        </w:rPr>
      </w:pPr>
      <w:r>
        <w:rPr>
          <w:rFonts w:ascii="Arial" w:cs="Arial" w:eastAsia="Arial" w:hAnsi="Arial"/>
          <w:sz w:val="13"/>
          <w:szCs w:val="13"/>
          <w:color w:val="auto"/>
        </w:rPr>
        <w:t>if the transfer to the Trust described in clause (i) of this sentence would not be effective for any reason to prevent the violation of Section 8.2.1(a), then the Transfer of that number of shares of Capital Stock that otherwise would cause any Person to violate Section 8.2.1(a) shall be void ab initio, and the intended transferee shall acquire no rights in such shares of Capital Stock.</w:t>
      </w:r>
    </w:p>
    <w:p>
      <w:pPr>
        <w:spacing w:after="0" w:line="79" w:lineRule="exact"/>
        <w:rPr>
          <w:rFonts w:ascii="Arial" w:cs="Arial" w:eastAsia="Arial" w:hAnsi="Arial"/>
          <w:sz w:val="13"/>
          <w:szCs w:val="13"/>
          <w:color w:val="auto"/>
        </w:rPr>
      </w:pPr>
    </w:p>
    <w:p>
      <w:pPr>
        <w:ind w:firstLine="857"/>
        <w:spacing w:after="0" w:line="265" w:lineRule="auto"/>
        <w:tabs>
          <w:tab w:leader="none" w:pos="1117" w:val="left"/>
        </w:tabs>
        <w:numPr>
          <w:ilvl w:val="0"/>
          <w:numId w:val="41"/>
        </w:numPr>
        <w:rPr>
          <w:rFonts w:ascii="Arial" w:cs="Arial" w:eastAsia="Arial" w:hAnsi="Arial"/>
          <w:sz w:val="14"/>
          <w:szCs w:val="14"/>
          <w:color w:val="auto"/>
        </w:rPr>
      </w:pPr>
      <w:r>
        <w:rPr>
          <w:rFonts w:ascii="Arial" w:cs="Arial" w:eastAsia="Arial" w:hAnsi="Arial"/>
          <w:sz w:val="14"/>
          <w:szCs w:val="14"/>
          <w:color w:val="auto"/>
        </w:rPr>
        <w:t>In determining which shares of Capital Stock are to be transferred to a Trust in accordance with this Section 8.2.1(b) and Section 8.3 hereof, shares shall be so transferred to a Trust in such manner that minimizes the aggregate value of the shares that are transferred to the Trust (except to the extent that the Board of Directors determines that the shares transferred to the Trust shall be those directly or indirectly held or Beneficially Owned or Constructively Owned by a Person or Persons that caused or contributed to the application of this Section 8.2.1(b)), and to the extent not inconsistent therewith, on a pro rata basis.</w:t>
      </w:r>
    </w:p>
    <w:p>
      <w:pPr>
        <w:spacing w:after="0" w:line="117" w:lineRule="exact"/>
        <w:rPr>
          <w:rFonts w:ascii="Arial" w:cs="Arial" w:eastAsia="Arial" w:hAnsi="Arial"/>
          <w:sz w:val="14"/>
          <w:szCs w:val="14"/>
          <w:color w:val="auto"/>
        </w:rPr>
      </w:pPr>
    </w:p>
    <w:p>
      <w:pPr>
        <w:jc w:val="both"/>
        <w:ind w:right="100" w:firstLine="857"/>
        <w:spacing w:after="0" w:line="265" w:lineRule="auto"/>
        <w:tabs>
          <w:tab w:leader="none" w:pos="1109" w:val="left"/>
        </w:tabs>
        <w:numPr>
          <w:ilvl w:val="0"/>
          <w:numId w:val="41"/>
        </w:numPr>
        <w:rPr>
          <w:rFonts w:ascii="Arial" w:cs="Arial" w:eastAsia="Arial" w:hAnsi="Arial"/>
          <w:sz w:val="14"/>
          <w:szCs w:val="14"/>
          <w:color w:val="auto"/>
        </w:rPr>
      </w:pPr>
      <w:r>
        <w:rPr>
          <w:rFonts w:ascii="Arial" w:cs="Arial" w:eastAsia="Arial" w:hAnsi="Arial"/>
          <w:sz w:val="14"/>
          <w:szCs w:val="14"/>
          <w:color w:val="auto"/>
        </w:rPr>
        <w:t>To the extent that, upon a transfer of shares of Capital Stock pursuant to this Section 8.2.1(b), a violation of Section 8.2.1(a) would nonetheless be continuing, (for example where the ownership of shares of Capital Stock by a single Trust would result in the Capital Stock being beneficially owned (determined under the principles of Section 856(a)(5) of the Code) by less than 100 persons), the shares of Capital Stock shall be transferred to that number of Trusts, each having a distinct Trustee and a Charitable Beneficiary or Beneficiaries that are distinct from those of each other Trust, such that there is no violation of Section 8.2.1(a).</w:t>
      </w:r>
    </w:p>
    <w:p>
      <w:pPr>
        <w:spacing w:after="0" w:line="118" w:lineRule="exact"/>
        <w:rPr>
          <w:sz w:val="20"/>
          <w:szCs w:val="20"/>
          <w:color w:val="auto"/>
        </w:rPr>
      </w:pPr>
    </w:p>
    <w:p>
      <w:pPr>
        <w:ind w:right="60" w:firstLine="432"/>
        <w:spacing w:after="0" w:line="285" w:lineRule="auto"/>
        <w:rPr>
          <w:sz w:val="20"/>
          <w:szCs w:val="20"/>
          <w:color w:val="auto"/>
        </w:rPr>
      </w:pPr>
      <w:r>
        <w:rPr>
          <w:rFonts w:ascii="Arial" w:cs="Arial" w:eastAsia="Arial" w:hAnsi="Arial"/>
          <w:sz w:val="13"/>
          <w:szCs w:val="13"/>
          <w:color w:val="auto"/>
        </w:rPr>
        <w:t xml:space="preserve">Section 8.2.2 </w:t>
      </w:r>
      <w:r>
        <w:rPr>
          <w:rFonts w:ascii="Arial" w:cs="Arial" w:eastAsia="Arial" w:hAnsi="Arial"/>
          <w:sz w:val="13"/>
          <w:szCs w:val="13"/>
          <w:u w:val="single" w:color="auto"/>
          <w:color w:val="auto"/>
        </w:rPr>
        <w:t>Remedies for Breach.</w:t>
      </w:r>
      <w:r>
        <w:rPr>
          <w:rFonts w:ascii="Arial" w:cs="Arial" w:eastAsia="Arial" w:hAnsi="Arial"/>
          <w:sz w:val="13"/>
          <w:szCs w:val="13"/>
          <w:color w:val="auto"/>
        </w:rPr>
        <w:t xml:space="preserve"> If the Board of Directors of the Corporation or any duly authorized committee thereof (or other designees if permitted by the General Corporation Law) shall at any time determine in good faith that a Transfer or other event has taken place that results in a violation of Section 8.2.1(a) or that a Person intends to acquire or has attempted to acquire Beneficial Ownership or Constructive Ownership of any shares of Capital Stock in violation of Section 8.2.1(a) (whether or not such violation is intended), the Board of Directors or a committee thereof (or other designees if permitted by the General Corporation Law) shall take such action as it deems advisable to refuse to give effect to or to prevent such Transfer or other event, including, without limitation, causing the Corporation to redeem shares of Capital Stock, refusing to give effect to such Transfer on the books of the Corporation or instituting proceedings to enjoin such Transfer or other event; provided, however, that any Transfer or attempted Transfer or other event in violation of Section 8.2.1(a) shall automatically result in the transfer to the Trust described above and, where applicable, such Transfer (or other event) shall be void ab initio as provided above irrespective of any action (or non-action) by the Board of Directors or a committee thereof.</w:t>
      </w:r>
    </w:p>
    <w:p>
      <w:pPr>
        <w:spacing w:after="0" w:line="108" w:lineRule="exact"/>
        <w:rPr>
          <w:sz w:val="20"/>
          <w:szCs w:val="20"/>
          <w:color w:val="auto"/>
        </w:rPr>
      </w:pPr>
    </w:p>
    <w:p>
      <w:pPr>
        <w:ind w:right="140" w:firstLine="432"/>
        <w:spacing w:after="0" w:line="297" w:lineRule="auto"/>
        <w:rPr>
          <w:sz w:val="20"/>
          <w:szCs w:val="20"/>
          <w:color w:val="auto"/>
        </w:rPr>
      </w:pPr>
      <w:r>
        <w:rPr>
          <w:rFonts w:ascii="Arial" w:cs="Arial" w:eastAsia="Arial" w:hAnsi="Arial"/>
          <w:sz w:val="13"/>
          <w:szCs w:val="13"/>
          <w:color w:val="auto"/>
        </w:rPr>
        <w:t xml:space="preserve">Section 8.2.3 </w:t>
      </w:r>
      <w:r>
        <w:rPr>
          <w:rFonts w:ascii="Arial" w:cs="Arial" w:eastAsia="Arial" w:hAnsi="Arial"/>
          <w:sz w:val="13"/>
          <w:szCs w:val="13"/>
          <w:u w:val="single" w:color="auto"/>
          <w:color w:val="auto"/>
        </w:rPr>
        <w:t>Notice of Restricted Transfer.</w:t>
      </w:r>
      <w:r>
        <w:rPr>
          <w:rFonts w:ascii="Arial" w:cs="Arial" w:eastAsia="Arial" w:hAnsi="Arial"/>
          <w:sz w:val="13"/>
          <w:szCs w:val="13"/>
          <w:color w:val="auto"/>
        </w:rPr>
        <w:t xml:space="preserve"> Any Person who acquires or attempts or intends to acquire Beneficial Ownership or Constructive Ownership of shares of Capital Stock that will or may violate Section 8.2.1(a) or any Person who would have owned shares of Capital Stock that resulted in a transfer to the Trust pursuant to the provisions of Section 8.2.1(b) shall immediately give written notice to the Corporation of such event, or in the case of such a proposed or attempted transaction, give at least 15 days prior written notice, and shall provide to the Corporation such other information as the Corporation may request in order to determine the effect, if any, of such Transfer on the Corporation’s qualification as a REIT.</w:t>
      </w:r>
    </w:p>
    <w:p>
      <w:pPr>
        <w:spacing w:after="0" w:line="98" w:lineRule="exact"/>
        <w:rPr>
          <w:sz w:val="20"/>
          <w:szCs w:val="20"/>
          <w:color w:val="auto"/>
        </w:rPr>
      </w:pPr>
    </w:p>
    <w:p>
      <w:pPr>
        <w:ind w:left="420"/>
        <w:spacing w:after="0"/>
        <w:tabs>
          <w:tab w:leader="none" w:pos="1280" w:val="left"/>
        </w:tabs>
        <w:rPr>
          <w:sz w:val="20"/>
          <w:szCs w:val="20"/>
          <w:color w:val="auto"/>
        </w:rPr>
      </w:pPr>
      <w:r>
        <w:rPr>
          <w:rFonts w:ascii="Arial" w:cs="Arial" w:eastAsia="Arial" w:hAnsi="Arial"/>
          <w:sz w:val="14"/>
          <w:szCs w:val="14"/>
          <w:color w:val="auto"/>
        </w:rPr>
        <w:t>Section 8.2.4</w:t>
      </w:r>
      <w:r>
        <w:rPr>
          <w:sz w:val="20"/>
          <w:szCs w:val="20"/>
          <w:color w:val="auto"/>
        </w:rPr>
        <w:tab/>
      </w:r>
      <w:r>
        <w:rPr>
          <w:rFonts w:ascii="Arial" w:cs="Arial" w:eastAsia="Arial" w:hAnsi="Arial"/>
          <w:sz w:val="13"/>
          <w:szCs w:val="13"/>
          <w:u w:val="single" w:color="auto"/>
          <w:color w:val="auto"/>
        </w:rPr>
        <w:t>Owners Required to Provide Information</w:t>
      </w:r>
      <w:r>
        <w:rPr>
          <w:rFonts w:ascii="Arial" w:cs="Arial" w:eastAsia="Arial" w:hAnsi="Arial"/>
          <w:sz w:val="13"/>
          <w:szCs w:val="13"/>
          <w:color w:val="auto"/>
        </w:rPr>
        <w:t>. From the Initial Date and prior to the Restriction Termination Date:</w:t>
      </w:r>
    </w:p>
    <w:p>
      <w:pPr>
        <w:spacing w:after="0" w:line="163" w:lineRule="exact"/>
        <w:rPr>
          <w:sz w:val="20"/>
          <w:szCs w:val="20"/>
          <w:color w:val="auto"/>
        </w:rPr>
      </w:pPr>
    </w:p>
    <w:p>
      <w:pPr>
        <w:ind w:right="20" w:firstLine="424"/>
        <w:spacing w:after="0" w:line="271" w:lineRule="auto"/>
        <w:tabs>
          <w:tab w:leader="none" w:pos="628" w:val="left"/>
        </w:tabs>
        <w:numPr>
          <w:ilvl w:val="0"/>
          <w:numId w:val="42"/>
        </w:numPr>
        <w:rPr>
          <w:rFonts w:ascii="Arial" w:cs="Arial" w:eastAsia="Arial" w:hAnsi="Arial"/>
          <w:sz w:val="14"/>
          <w:szCs w:val="14"/>
          <w:color w:val="auto"/>
        </w:rPr>
      </w:pPr>
      <w:r>
        <w:rPr>
          <w:rFonts w:ascii="Arial" w:cs="Arial" w:eastAsia="Arial" w:hAnsi="Arial"/>
          <w:sz w:val="14"/>
          <w:szCs w:val="14"/>
          <w:color w:val="auto"/>
        </w:rPr>
        <w:t>every owner of more than five percent (or such lower percentage as required by the Code or the Treasury Regulations promulgated thereunder) in number or value of the outstanding shares of Capital Stock, within 30 days after the end of each taxable year, shall give written notice to the Corporation stating the name and address of such owner, the number of shares of Capital Stock and other</w:t>
      </w:r>
    </w:p>
    <w:p>
      <w:pPr>
        <w:sectPr>
          <w:pgSz w:w="11900" w:h="16838" w:orient="portrait"/>
          <w:cols w:equalWidth="0" w:num="1">
            <w:col w:w="11480"/>
          </w:cols>
          <w:pgMar w:left="220" w:top="512" w:right="199" w:bottom="1440" w:gutter="0" w:footer="0" w:header="0"/>
        </w:sectPr>
      </w:pPr>
    </w:p>
    <w:bookmarkStart w:id="67" w:name="page68"/>
    <w:bookmarkEnd w:id="67"/>
    <w:p>
      <w:pPr>
        <w:ind w:right="220"/>
        <w:spacing w:after="0" w:line="271" w:lineRule="auto"/>
        <w:rPr>
          <w:sz w:val="20"/>
          <w:szCs w:val="20"/>
          <w:color w:val="auto"/>
        </w:rPr>
      </w:pPr>
      <w:r>
        <w:rPr>
          <w:rFonts w:ascii="Arial" w:cs="Arial" w:eastAsia="Arial" w:hAnsi="Arial"/>
          <w:sz w:val="14"/>
          <w:szCs w:val="14"/>
          <w:color w:val="auto"/>
        </w:rPr>
        <w:t>shares of the Capital Stock Beneficially Owned and a description of the manner in which such shares are held. Each such owner shall provide to the Corporation such additional information as the Corporation may request in order to determine the effect, if any, of such Beneficial Ownership on the Corporation’s qualification as a REIT and to ensure compliance with the Aggregate Stock Ownership Limit and the Common Stock Ownership Limit; and</w:t>
      </w:r>
    </w:p>
    <w:p>
      <w:pPr>
        <w:spacing w:after="0" w:line="112" w:lineRule="exact"/>
        <w:rPr>
          <w:sz w:val="20"/>
          <w:szCs w:val="20"/>
          <w:color w:val="auto"/>
        </w:rPr>
      </w:pPr>
    </w:p>
    <w:p>
      <w:pPr>
        <w:ind w:right="180" w:firstLine="424"/>
        <w:spacing w:after="0" w:line="265" w:lineRule="auto"/>
        <w:tabs>
          <w:tab w:leader="none" w:pos="636" w:val="left"/>
        </w:tabs>
        <w:numPr>
          <w:ilvl w:val="0"/>
          <w:numId w:val="43"/>
        </w:numPr>
        <w:rPr>
          <w:rFonts w:ascii="Arial" w:cs="Arial" w:eastAsia="Arial" w:hAnsi="Arial"/>
          <w:sz w:val="14"/>
          <w:szCs w:val="14"/>
          <w:color w:val="auto"/>
        </w:rPr>
      </w:pPr>
      <w:r>
        <w:rPr>
          <w:rFonts w:ascii="Arial" w:cs="Arial" w:eastAsia="Arial" w:hAnsi="Arial"/>
          <w:sz w:val="14"/>
          <w:szCs w:val="14"/>
          <w:color w:val="auto"/>
        </w:rPr>
        <w:t>each Person who is a Beneficial or Constructive Owner of Capital Stock and each Person (including the stockholder of record) who is holding Capital Stock for a Beneficial or Constructive Owner shall provide to the Corporation such information as the Corporation may request, in good faith, in order to determine the Corporation’s qualification as a REIT and to comply with requirements of any taxing authority or governmental authority or to determine such compliance and to ensure compliance with the Aggregate Stock Ownership Limit and the Common Stock Ownership Limit.</w:t>
      </w:r>
    </w:p>
    <w:p>
      <w:pPr>
        <w:spacing w:after="0" w:line="118" w:lineRule="exact"/>
        <w:rPr>
          <w:sz w:val="20"/>
          <w:szCs w:val="20"/>
          <w:color w:val="auto"/>
        </w:rPr>
      </w:pPr>
    </w:p>
    <w:p>
      <w:pPr>
        <w:ind w:right="100" w:firstLine="432"/>
        <w:spacing w:after="0" w:line="342" w:lineRule="auto"/>
        <w:rPr>
          <w:sz w:val="20"/>
          <w:szCs w:val="20"/>
          <w:color w:val="auto"/>
        </w:rPr>
      </w:pPr>
      <w:r>
        <w:rPr>
          <w:rFonts w:ascii="Arial" w:cs="Arial" w:eastAsia="Arial" w:hAnsi="Arial"/>
          <w:sz w:val="13"/>
          <w:szCs w:val="13"/>
          <w:color w:val="auto"/>
        </w:rPr>
        <w:t xml:space="preserve">Section 8.2.5 </w:t>
      </w:r>
      <w:r>
        <w:rPr>
          <w:rFonts w:ascii="Arial" w:cs="Arial" w:eastAsia="Arial" w:hAnsi="Arial"/>
          <w:sz w:val="13"/>
          <w:szCs w:val="13"/>
          <w:u w:val="single" w:color="auto"/>
          <w:color w:val="auto"/>
        </w:rPr>
        <w:t>Remedies Not Limited.</w:t>
      </w:r>
      <w:r>
        <w:rPr>
          <w:rFonts w:ascii="Arial" w:cs="Arial" w:eastAsia="Arial" w:hAnsi="Arial"/>
          <w:sz w:val="13"/>
          <w:szCs w:val="13"/>
          <w:color w:val="auto"/>
        </w:rPr>
        <w:t xml:space="preserve"> Subject to Section 5.6 of the Certificate of Incorporation, nothing contained in this Section 8.2 shall limit the authority of the Board of Directors of the Corporation to take such other action as it deems necessary or advisable to protect the Corporation and the interests of its stockholders in preserving the Corporation’s qualification as a REIT.</w:t>
      </w:r>
    </w:p>
    <w:p>
      <w:pPr>
        <w:spacing w:after="0" w:line="78" w:lineRule="exact"/>
        <w:rPr>
          <w:sz w:val="20"/>
          <w:szCs w:val="20"/>
          <w:color w:val="auto"/>
        </w:rPr>
      </w:pPr>
    </w:p>
    <w:p>
      <w:pPr>
        <w:jc w:val="center"/>
        <w:ind w:right="20"/>
        <w:spacing w:after="0"/>
        <w:tabs>
          <w:tab w:leader="none" w:pos="100" w:val="left"/>
        </w:tabs>
        <w:rPr>
          <w:sz w:val="20"/>
          <w:szCs w:val="20"/>
          <w:color w:val="auto"/>
        </w:rPr>
      </w:pPr>
      <w:r>
        <w:rPr>
          <w:rFonts w:ascii="Arial" w:cs="Arial" w:eastAsia="Arial" w:hAnsi="Arial"/>
          <w:sz w:val="14"/>
          <w:szCs w:val="14"/>
          <w:color w:val="auto"/>
        </w:rPr>
        <w:t>Section 8.2.6</w:t>
      </w:r>
      <w:r>
        <w:rPr>
          <w:sz w:val="20"/>
          <w:szCs w:val="20"/>
          <w:color w:val="auto"/>
        </w:rPr>
        <w:tab/>
      </w:r>
      <w:r>
        <w:rPr>
          <w:rFonts w:ascii="Arial" w:cs="Arial" w:eastAsia="Arial" w:hAnsi="Arial"/>
          <w:sz w:val="13"/>
          <w:szCs w:val="13"/>
          <w:u w:val="single" w:color="auto"/>
          <w:color w:val="auto"/>
        </w:rPr>
        <w:t xml:space="preserve">Ambiguity. </w:t>
      </w:r>
      <w:r>
        <w:rPr>
          <w:rFonts w:ascii="Arial" w:cs="Arial" w:eastAsia="Arial" w:hAnsi="Arial"/>
          <w:sz w:val="13"/>
          <w:szCs w:val="13"/>
          <w:color w:val="auto"/>
        </w:rPr>
        <w:t>In the case of an ambiguity in the application of any of the provisions of this Section 8.2, Section 8.3 or any definition contained in Section 8.1, the Board of</w:t>
      </w:r>
    </w:p>
    <w:p>
      <w:pPr>
        <w:spacing w:after="0" w:line="21" w:lineRule="exact"/>
        <w:rPr>
          <w:sz w:val="20"/>
          <w:szCs w:val="20"/>
          <w:color w:val="auto"/>
        </w:rPr>
      </w:pPr>
    </w:p>
    <w:p>
      <w:pPr>
        <w:spacing w:after="0" w:line="282" w:lineRule="auto"/>
        <w:rPr>
          <w:sz w:val="20"/>
          <w:szCs w:val="20"/>
          <w:color w:val="auto"/>
        </w:rPr>
      </w:pPr>
      <w:r>
        <w:rPr>
          <w:rFonts w:ascii="Arial" w:cs="Arial" w:eastAsia="Arial" w:hAnsi="Arial"/>
          <w:sz w:val="13"/>
          <w:szCs w:val="13"/>
          <w:color w:val="auto"/>
        </w:rPr>
        <w:t>Directors of the Corporation shall have the power to determine the application of the provisions of this Section 8.2 or Section 8.3 or any such definition with respect to any situation based on the facts known to it. In the event Section 8.2 or Section 8.3 requires an action by the Board of Directors and the Certificate of Incorporation fails to provide specific guidance with respect to such action, the Board of Directors shall have the power to determine the action to be taken so long as such action is not contrary to the provisions of Sections 8.1, 8.2 or 8.3. Absent a decision to the contrary by the Board of Directors (which the Board of Directors may make in its sole and absolute discretion), if a Person would have (but for the remedies set forth in Section 8.2.1) acquired Beneficial Ownership or Constructive Ownership of Capital Stock in violation of Section 8.2.1, such remedies (as applicable) shall apply first to the shares of Capital Stock that, but for such remedies, would have been actually owned by such Person, and second to shares of Capital Stock which, but for such remedies, would have been Beneficially Owned or Constructively Owned (but not actually owned) by such Person, pro rata among the Persons who actually own such shares of Capital Stock based upon the relative number of the shares of Capital Stock held by each such Person.</w:t>
      </w:r>
    </w:p>
    <w:p>
      <w:pPr>
        <w:spacing w:after="0" w:line="110" w:lineRule="exact"/>
        <w:rPr>
          <w:sz w:val="20"/>
          <w:szCs w:val="20"/>
          <w:color w:val="auto"/>
        </w:rPr>
      </w:pPr>
    </w:p>
    <w:p>
      <w:pPr>
        <w:ind w:left="420"/>
        <w:spacing w:after="0"/>
        <w:tabs>
          <w:tab w:leader="none" w:pos="1280" w:val="left"/>
        </w:tabs>
        <w:rPr>
          <w:sz w:val="20"/>
          <w:szCs w:val="20"/>
          <w:color w:val="auto"/>
        </w:rPr>
      </w:pPr>
      <w:r>
        <w:rPr>
          <w:rFonts w:ascii="Arial" w:cs="Arial" w:eastAsia="Arial" w:hAnsi="Arial"/>
          <w:sz w:val="14"/>
          <w:szCs w:val="14"/>
          <w:color w:val="auto"/>
        </w:rPr>
        <w:t>Section 8.2.7</w:t>
      </w:r>
      <w:r>
        <w:rPr>
          <w:sz w:val="20"/>
          <w:szCs w:val="20"/>
          <w:color w:val="auto"/>
        </w:rPr>
        <w:tab/>
      </w:r>
      <w:r>
        <w:rPr>
          <w:rFonts w:ascii="Arial" w:cs="Arial" w:eastAsia="Arial" w:hAnsi="Arial"/>
          <w:sz w:val="13"/>
          <w:szCs w:val="13"/>
          <w:u w:val="single" w:color="auto"/>
          <w:color w:val="auto"/>
        </w:rPr>
        <w:t>Exceptions.</w:t>
      </w:r>
    </w:p>
    <w:p>
      <w:pPr>
        <w:spacing w:after="0" w:line="163" w:lineRule="exact"/>
        <w:rPr>
          <w:sz w:val="20"/>
          <w:szCs w:val="20"/>
          <w:color w:val="auto"/>
        </w:rPr>
      </w:pPr>
    </w:p>
    <w:p>
      <w:pPr>
        <w:ind w:right="40" w:firstLine="424"/>
        <w:spacing w:after="0" w:line="287" w:lineRule="auto"/>
        <w:tabs>
          <w:tab w:leader="none" w:pos="628" w:val="left"/>
        </w:tabs>
        <w:numPr>
          <w:ilvl w:val="0"/>
          <w:numId w:val="44"/>
        </w:numPr>
        <w:rPr>
          <w:rFonts w:ascii="Arial" w:cs="Arial" w:eastAsia="Arial" w:hAnsi="Arial"/>
          <w:sz w:val="14"/>
          <w:szCs w:val="14"/>
          <w:color w:val="auto"/>
        </w:rPr>
      </w:pPr>
      <w:r>
        <w:rPr>
          <w:rFonts w:ascii="Arial" w:cs="Arial" w:eastAsia="Arial" w:hAnsi="Arial"/>
          <w:sz w:val="14"/>
          <w:szCs w:val="14"/>
          <w:color w:val="auto"/>
        </w:rPr>
        <w:t>Subject to Section 8.2.1, the Board of Directors of the Corporation, in its sole discretion, may exempt (prospectively or retroactively) a Person from the Aggregate Stock Ownership Limit, the Common Stock Ownership Limit, or both such limits and may establish or increase an Excepted Holder Limit for such Person if:</w:t>
      </w:r>
    </w:p>
    <w:p>
      <w:pPr>
        <w:spacing w:after="0" w:line="101" w:lineRule="exact"/>
        <w:rPr>
          <w:rFonts w:ascii="Arial" w:cs="Arial" w:eastAsia="Arial" w:hAnsi="Arial"/>
          <w:sz w:val="14"/>
          <w:szCs w:val="14"/>
          <w:color w:val="auto"/>
        </w:rPr>
      </w:pPr>
    </w:p>
    <w:p>
      <w:pPr>
        <w:ind w:right="380" w:firstLine="857"/>
        <w:spacing w:after="0" w:line="287" w:lineRule="auto"/>
        <w:tabs>
          <w:tab w:leader="none" w:pos="1037" w:val="left"/>
        </w:tabs>
        <w:numPr>
          <w:ilvl w:val="1"/>
          <w:numId w:val="44"/>
        </w:numPr>
        <w:rPr>
          <w:rFonts w:ascii="Arial" w:cs="Arial" w:eastAsia="Arial" w:hAnsi="Arial"/>
          <w:sz w:val="14"/>
          <w:szCs w:val="14"/>
          <w:color w:val="auto"/>
        </w:rPr>
      </w:pPr>
      <w:r>
        <w:rPr>
          <w:rFonts w:ascii="Arial" w:cs="Arial" w:eastAsia="Arial" w:hAnsi="Arial"/>
          <w:sz w:val="14"/>
          <w:szCs w:val="14"/>
          <w:color w:val="auto"/>
        </w:rPr>
        <w:t>the Board of Directors obtains such representations and undertakings from such Person as are reasonably necessary to ascertain that no individual’s Beneficial or Constructive Ownership of such shares of Capital Stock will violate Section 8.2.1(a)(ii);</w:t>
      </w:r>
    </w:p>
    <w:p>
      <w:pPr>
        <w:spacing w:after="0" w:line="110" w:lineRule="exact"/>
        <w:rPr>
          <w:rFonts w:ascii="Arial" w:cs="Arial" w:eastAsia="Arial" w:hAnsi="Arial"/>
          <w:sz w:val="14"/>
          <w:szCs w:val="14"/>
          <w:color w:val="auto"/>
        </w:rPr>
      </w:pPr>
    </w:p>
    <w:p>
      <w:pPr>
        <w:ind w:right="180" w:firstLine="857"/>
        <w:spacing w:after="0" w:line="271" w:lineRule="auto"/>
        <w:tabs>
          <w:tab w:leader="none" w:pos="1077" w:val="left"/>
        </w:tabs>
        <w:numPr>
          <w:ilvl w:val="1"/>
          <w:numId w:val="44"/>
        </w:numPr>
        <w:rPr>
          <w:rFonts w:ascii="Arial" w:cs="Arial" w:eastAsia="Arial" w:hAnsi="Arial"/>
          <w:sz w:val="14"/>
          <w:szCs w:val="14"/>
          <w:color w:val="auto"/>
        </w:rPr>
      </w:pPr>
      <w:r>
        <w:rPr>
          <w:rFonts w:ascii="Arial" w:cs="Arial" w:eastAsia="Arial" w:hAnsi="Arial"/>
          <w:sz w:val="14"/>
          <w:szCs w:val="14"/>
          <w:color w:val="auto"/>
        </w:rPr>
        <w:t>such Person does not and represents that it will not own, actually or Constructively, an interest in a tenant of the Corporation (or a tenant of any entity owned or controlled by the Corporation) that would cause the Corporation to own, actually or Constructively, more than a 9.9% interest (as set forth in Section 856(d)(2)(B) of the Code) in such tenant and the Board of Directors obtains such representations and undertakings from such Person as are reasonably necessary to ascertain this fact; and</w:t>
      </w:r>
    </w:p>
    <w:p>
      <w:pPr>
        <w:sectPr>
          <w:pgSz w:w="11900" w:h="16838" w:orient="portrait"/>
          <w:cols w:equalWidth="0" w:num="1">
            <w:col w:w="11460"/>
          </w:cols>
          <w:pgMar w:left="220" w:top="513" w:right="219" w:bottom="1440" w:gutter="0" w:footer="0" w:header="0"/>
        </w:sectPr>
      </w:pPr>
    </w:p>
    <w:bookmarkStart w:id="68" w:name="page69"/>
    <w:bookmarkEnd w:id="68"/>
    <w:p>
      <w:pPr>
        <w:ind w:right="20" w:firstLine="857"/>
        <w:spacing w:after="0" w:line="287" w:lineRule="auto"/>
        <w:tabs>
          <w:tab w:leader="none" w:pos="1117" w:val="left"/>
        </w:tabs>
        <w:numPr>
          <w:ilvl w:val="1"/>
          <w:numId w:val="45"/>
        </w:numPr>
        <w:rPr>
          <w:rFonts w:ascii="Arial" w:cs="Arial" w:eastAsia="Arial" w:hAnsi="Arial"/>
          <w:sz w:val="14"/>
          <w:szCs w:val="14"/>
          <w:color w:val="auto"/>
        </w:rPr>
      </w:pPr>
      <w:r>
        <w:rPr>
          <w:rFonts w:ascii="Arial" w:cs="Arial" w:eastAsia="Arial" w:hAnsi="Arial"/>
          <w:sz w:val="14"/>
          <w:szCs w:val="14"/>
          <w:color w:val="auto"/>
        </w:rPr>
        <w:t>such Person agrees that any violation or attempted violation of such representations or undertakings (or other action which is contrary to the restrictions contained in Sections 8.2.1 through 8.2.6) will result in such shares of Capital Stock being automatically transferred to a Trust in accordance with Sections 8.2.1(b) and 8.3.</w:t>
      </w:r>
    </w:p>
    <w:p>
      <w:pPr>
        <w:spacing w:after="0" w:line="101" w:lineRule="exact"/>
        <w:rPr>
          <w:rFonts w:ascii="Arial" w:cs="Arial" w:eastAsia="Arial" w:hAnsi="Arial"/>
          <w:sz w:val="14"/>
          <w:szCs w:val="14"/>
          <w:color w:val="auto"/>
        </w:rPr>
      </w:pPr>
    </w:p>
    <w:p>
      <w:pPr>
        <w:jc w:val="both"/>
        <w:ind w:right="60" w:firstLine="424"/>
        <w:spacing w:after="0" w:line="301" w:lineRule="auto"/>
        <w:tabs>
          <w:tab w:leader="none" w:pos="636" w:val="left"/>
        </w:tabs>
        <w:numPr>
          <w:ilvl w:val="0"/>
          <w:numId w:val="46"/>
        </w:numPr>
        <w:rPr>
          <w:rFonts w:ascii="Arial" w:cs="Arial" w:eastAsia="Arial" w:hAnsi="Arial"/>
          <w:sz w:val="13"/>
          <w:szCs w:val="13"/>
          <w:color w:val="auto"/>
        </w:rPr>
      </w:pPr>
      <w:r>
        <w:rPr>
          <w:rFonts w:ascii="Arial" w:cs="Arial" w:eastAsia="Arial" w:hAnsi="Arial"/>
          <w:sz w:val="13"/>
          <w:szCs w:val="13"/>
          <w:color w:val="auto"/>
        </w:rPr>
        <w:t>Prior to granting any exception pursuant to Section 8.2.7(a), the Board of Directors of the Corporation may require a ruling from the Internal Revenue Service, or an opinion of counsel, in either case in form and substance satisfactory to the Board of Directors in its sole discretion, as it may deem necessary or advisable in order to determine or ensure the Corporation’s qualification as a REIT. Notwithstanding the receipt of any ruling or opinion, the Board of Directors may impose such conditions or restrictions as it deems appropriate in connection with granting such exception.</w:t>
      </w:r>
    </w:p>
    <w:p>
      <w:pPr>
        <w:spacing w:after="0" w:line="95" w:lineRule="exact"/>
        <w:rPr>
          <w:rFonts w:ascii="Arial" w:cs="Arial" w:eastAsia="Arial" w:hAnsi="Arial"/>
          <w:sz w:val="13"/>
          <w:szCs w:val="13"/>
          <w:color w:val="auto"/>
        </w:rPr>
      </w:pPr>
    </w:p>
    <w:p>
      <w:pPr>
        <w:jc w:val="both"/>
        <w:ind w:firstLine="424"/>
        <w:spacing w:after="0" w:line="271" w:lineRule="auto"/>
        <w:tabs>
          <w:tab w:leader="none" w:pos="628" w:val="left"/>
        </w:tabs>
        <w:numPr>
          <w:ilvl w:val="0"/>
          <w:numId w:val="46"/>
        </w:numPr>
        <w:rPr>
          <w:rFonts w:ascii="Arial" w:cs="Arial" w:eastAsia="Arial" w:hAnsi="Arial"/>
          <w:sz w:val="14"/>
          <w:szCs w:val="14"/>
          <w:color w:val="auto"/>
        </w:rPr>
      </w:pPr>
      <w:r>
        <w:rPr>
          <w:rFonts w:ascii="Arial" w:cs="Arial" w:eastAsia="Arial" w:hAnsi="Arial"/>
          <w:sz w:val="14"/>
          <w:szCs w:val="14"/>
          <w:color w:val="auto"/>
        </w:rPr>
        <w:t>Subject to Section 8.2.1(a)(ii), an underwriter or placement agent that participates in a public offering or a private placement of Capital Stock (or securities convertible into or exchangeable for Capital Stock) may Beneficially Own or Constructively Own shares of Capital Stock (or securities convertible into or exchangeable for Capital Stock) in excess of the Aggregate Stock Ownership Limit, the Common Stock Ownership Limit, or both such limits, but only to the extent necessary to facilitate such public offering or private placement.</w:t>
      </w:r>
    </w:p>
    <w:p>
      <w:pPr>
        <w:spacing w:after="0" w:line="112" w:lineRule="exact"/>
        <w:rPr>
          <w:rFonts w:ascii="Arial" w:cs="Arial" w:eastAsia="Arial" w:hAnsi="Arial"/>
          <w:sz w:val="14"/>
          <w:szCs w:val="14"/>
          <w:color w:val="auto"/>
        </w:rPr>
      </w:pPr>
    </w:p>
    <w:p>
      <w:pPr>
        <w:jc w:val="both"/>
        <w:ind w:right="80" w:firstLine="424"/>
        <w:spacing w:after="0" w:line="301" w:lineRule="auto"/>
        <w:tabs>
          <w:tab w:leader="none" w:pos="636" w:val="left"/>
        </w:tabs>
        <w:numPr>
          <w:ilvl w:val="0"/>
          <w:numId w:val="46"/>
        </w:numPr>
        <w:rPr>
          <w:rFonts w:ascii="Arial" w:cs="Arial" w:eastAsia="Arial" w:hAnsi="Arial"/>
          <w:sz w:val="13"/>
          <w:szCs w:val="13"/>
          <w:color w:val="auto"/>
        </w:rPr>
      </w:pPr>
      <w:r>
        <w:rPr>
          <w:rFonts w:ascii="Arial" w:cs="Arial" w:eastAsia="Arial" w:hAnsi="Arial"/>
          <w:sz w:val="13"/>
          <w:szCs w:val="13"/>
          <w:color w:val="auto"/>
        </w:rPr>
        <w:t>The Board of Directors may only reduce the Excepted Holder Limit for an Excepted Holder: (i) with the written consent of such Excepted Holder at any time, or (ii) pursuant to the terms and conditions of the agreements and undertakings entered into with such Excepted Holder in connection with the establishment of the Excepted Holder Limit for that Excepted Holder. No Excepted Holder Limit shall be reduced to a percentage that is less than the Aggregate Stock Ownership Limit or the Common Stock Ownership Limit, as the case may be.</w:t>
      </w:r>
    </w:p>
    <w:p>
      <w:pPr>
        <w:spacing w:after="0" w:line="95" w:lineRule="exact"/>
        <w:rPr>
          <w:sz w:val="20"/>
          <w:szCs w:val="20"/>
          <w:color w:val="auto"/>
        </w:rPr>
      </w:pPr>
    </w:p>
    <w:p>
      <w:pPr>
        <w:ind w:right="60" w:firstLine="432"/>
        <w:spacing w:after="0" w:line="283" w:lineRule="auto"/>
        <w:rPr>
          <w:sz w:val="20"/>
          <w:szCs w:val="20"/>
          <w:color w:val="auto"/>
        </w:rPr>
      </w:pPr>
      <w:r>
        <w:rPr>
          <w:rFonts w:ascii="Arial" w:cs="Arial" w:eastAsia="Arial" w:hAnsi="Arial"/>
          <w:sz w:val="13"/>
          <w:szCs w:val="13"/>
          <w:color w:val="auto"/>
        </w:rPr>
        <w:t xml:space="preserve">Section 8.2.8 </w:t>
      </w:r>
      <w:r>
        <w:rPr>
          <w:rFonts w:ascii="Arial" w:cs="Arial" w:eastAsia="Arial" w:hAnsi="Arial"/>
          <w:sz w:val="13"/>
          <w:szCs w:val="13"/>
          <w:u w:val="single" w:color="auto"/>
          <w:color w:val="auto"/>
        </w:rPr>
        <w:t>Change in Aggregate Stock Ownership Limit and Common Stock Ownership Limit.</w:t>
      </w:r>
      <w:r>
        <w:rPr>
          <w:rFonts w:ascii="Arial" w:cs="Arial" w:eastAsia="Arial" w:hAnsi="Arial"/>
          <w:sz w:val="13"/>
          <w:szCs w:val="13"/>
          <w:color w:val="auto"/>
        </w:rPr>
        <w:t xml:space="preserve"> The Board of Directors may from time to time increase or decrease the Aggregate Stock Ownership Limit and Common Stock Ownership Limit; provided, however, that a decreased Aggregate Stock Ownership Limit or Common Stock Ownership Limit will not be effective for any Person whose percentage ownership of Capital Stock or Common Stock, as the case may be, is in excess of such decreased Aggregate Stock Ownership Limit or Common Stock Ownership Limit until such time as such Person's percentage of Capital Stock or Common Stock, as the case may be, equals or falls below the decreased Aggregate Stock Ownership Limit or Common Stock Ownership, but until such time as such Person's percentage of Capital Stock or Common Stock, as the case may be, falls below such decreased Aggregate Stock Ownership Limit or Common Stock Ownership Limit, any further acquisition of Capital Stock or Common Stock will be in violation of the Aggregate Stock Ownership Limit or Common Stock Ownership Limit and, provided further, that the new Aggregate Stock Ownership Limit or Common Stock Ownership Limit would not allow five or fewer individuals (as defined in Section 542(a)(2) of the Code and taking into account all Excepted Holders) to Beneficially Own more than 49.9% in value of the outstanding Capital Stock. If the Board of Directors changes the Common Stock Ownership Limit and/or Aggregate Stock Ownership Limit, it will (i) notify each stockholder of record of any such change, and (ii) publicly announce any such change, in each case at least 30 days prior to the effective date of such change.</w:t>
      </w:r>
    </w:p>
    <w:p>
      <w:pPr>
        <w:spacing w:after="0" w:line="107" w:lineRule="exact"/>
        <w:rPr>
          <w:sz w:val="20"/>
          <w:szCs w:val="20"/>
          <w:color w:val="auto"/>
        </w:rPr>
      </w:pPr>
    </w:p>
    <w:p>
      <w:pPr>
        <w:ind w:left="420"/>
        <w:spacing w:after="0"/>
        <w:tabs>
          <w:tab w:leader="none" w:pos="1280" w:val="left"/>
        </w:tabs>
        <w:rPr>
          <w:sz w:val="20"/>
          <w:szCs w:val="20"/>
          <w:color w:val="auto"/>
        </w:rPr>
      </w:pPr>
      <w:r>
        <w:rPr>
          <w:rFonts w:ascii="Arial" w:cs="Arial" w:eastAsia="Arial" w:hAnsi="Arial"/>
          <w:sz w:val="14"/>
          <w:szCs w:val="14"/>
          <w:color w:val="auto"/>
        </w:rPr>
        <w:t>Section 8.2.9</w:t>
      </w:r>
      <w:r>
        <w:rPr>
          <w:sz w:val="20"/>
          <w:szCs w:val="20"/>
          <w:color w:val="auto"/>
        </w:rPr>
        <w:tab/>
      </w:r>
      <w:r>
        <w:rPr>
          <w:rFonts w:ascii="Arial" w:cs="Arial" w:eastAsia="Arial" w:hAnsi="Arial"/>
          <w:sz w:val="13"/>
          <w:szCs w:val="13"/>
          <w:u w:val="single" w:color="auto"/>
          <w:color w:val="auto"/>
        </w:rPr>
        <w:t xml:space="preserve">Legend. </w:t>
      </w:r>
      <w:r>
        <w:rPr>
          <w:rFonts w:ascii="Arial" w:cs="Arial" w:eastAsia="Arial" w:hAnsi="Arial"/>
          <w:sz w:val="13"/>
          <w:szCs w:val="13"/>
          <w:color w:val="auto"/>
        </w:rPr>
        <w:t>Each certificate for shares of Capital Stock shall bear substantially the following legend:</w:t>
      </w:r>
    </w:p>
    <w:p>
      <w:pPr>
        <w:spacing w:after="0" w:line="163" w:lineRule="exact"/>
        <w:rPr>
          <w:sz w:val="20"/>
          <w:szCs w:val="20"/>
          <w:color w:val="auto"/>
        </w:rPr>
      </w:pPr>
    </w:p>
    <w:p>
      <w:pPr>
        <w:ind w:right="20" w:firstLine="865"/>
        <w:spacing w:after="0" w:line="271" w:lineRule="auto"/>
        <w:rPr>
          <w:sz w:val="20"/>
          <w:szCs w:val="20"/>
          <w:color w:val="auto"/>
        </w:rPr>
      </w:pPr>
      <w:r>
        <w:rPr>
          <w:rFonts w:ascii="Arial" w:cs="Arial" w:eastAsia="Arial" w:hAnsi="Arial"/>
          <w:sz w:val="14"/>
          <w:szCs w:val="14"/>
          <w:color w:val="auto"/>
        </w:rPr>
        <w:t>“The shares of any class or series of the Corporation’s stock (the “Capital Stock”) represented by this certificate are subject to restrictions on Beneficial Ownership, Constructive Ownership and Transfer (as each such capitalized term is defined in the Corporation’s Certificate of Incorporation, as the same may be amended from time to time (the "Certificate of Incorporation")) for the purpose of the</w:t>
      </w:r>
    </w:p>
    <w:p>
      <w:pPr>
        <w:sectPr>
          <w:pgSz w:w="11900" w:h="16838" w:orient="portrait"/>
          <w:cols w:equalWidth="0" w:num="1">
            <w:col w:w="11480"/>
          </w:cols>
          <w:pgMar w:left="220" w:top="512" w:right="199" w:bottom="1440" w:gutter="0" w:footer="0" w:header="0"/>
        </w:sectPr>
      </w:pPr>
    </w:p>
    <w:bookmarkStart w:id="69" w:name="page70"/>
    <w:bookmarkEnd w:id="69"/>
    <w:p>
      <w:pPr>
        <w:ind w:left="8"/>
        <w:spacing w:after="0" w:line="279" w:lineRule="auto"/>
        <w:rPr>
          <w:sz w:val="20"/>
          <w:szCs w:val="20"/>
          <w:color w:val="auto"/>
        </w:rPr>
      </w:pPr>
      <w:r>
        <w:rPr>
          <w:rFonts w:ascii="Arial" w:cs="Arial" w:eastAsia="Arial" w:hAnsi="Arial"/>
          <w:sz w:val="13"/>
          <w:szCs w:val="13"/>
          <w:color w:val="auto"/>
        </w:rPr>
        <w:t>Corporation's maintenance of its status as a real estate investment trust (a “REIT”) under the Internal Revenue Code of 1986, as amended (the “Code”). Subject to certain further restrictions and except as expressly provided in the Certificate of Incorporation, (i) no Person (as defined in the Certificate of Incorporation) may Beneficially Own or Constructively Own shares of the Corporation’s common stock, par value $0.01 per share (the “Common Stock”) in excess of 9.8% (in value or number of shares, whichever is more restrictive) of the total outstanding shares of Common Stock unless such Person is an Excepted Holder (as defined in the Certificate of Incorporation), in which case the Excepted Holder Limit (as defined in the Certificate of Incorporation) shall be applicable;</w:t>
      </w:r>
    </w:p>
    <w:p>
      <w:pPr>
        <w:spacing w:after="0" w:line="1" w:lineRule="exact"/>
        <w:rPr>
          <w:sz w:val="20"/>
          <w:szCs w:val="20"/>
          <w:color w:val="auto"/>
        </w:rPr>
      </w:pPr>
    </w:p>
    <w:p>
      <w:pPr>
        <w:ind w:left="8" w:right="40" w:hanging="8"/>
        <w:spacing w:after="0" w:line="277" w:lineRule="auto"/>
        <w:tabs>
          <w:tab w:leader="none" w:pos="220" w:val="left"/>
        </w:tabs>
        <w:numPr>
          <w:ilvl w:val="0"/>
          <w:numId w:val="47"/>
        </w:numPr>
        <w:rPr>
          <w:rFonts w:ascii="Arial" w:cs="Arial" w:eastAsia="Arial" w:hAnsi="Arial"/>
          <w:sz w:val="13"/>
          <w:szCs w:val="13"/>
          <w:color w:val="auto"/>
        </w:rPr>
      </w:pPr>
      <w:r>
        <w:rPr>
          <w:rFonts w:ascii="Arial" w:cs="Arial" w:eastAsia="Arial" w:hAnsi="Arial"/>
          <w:sz w:val="13"/>
          <w:szCs w:val="13"/>
          <w:color w:val="auto"/>
        </w:rPr>
        <w:t>no Person may Beneficially Own or Constructively Own shares of Capital Stock in excess of 9.8% (in value or number of shares, whichever is more restrictive) of the total outstanding shares of Capital Stock, unless such Person is an Excepted Holder, in which case the Excepted Holder Limit shall be applicable; (iii) no Person may Beneficially Own or Constructively Own shares of Capital Stock that would result in the Corporation being “closely held” under Section 856(h) of the Code or otherwise cause the Corporation to fail to qualify as a REIT; and (iv) no Person may Transfer shares of Capital Stock if such Transfer would result in the Capital Stock of the Corporation being owned by fewer than 100 Persons. Any Person who Beneficially Owns or Constructively Owns, or attempts to Beneficially Own or Constructively Own shares of Capital Stock which causes or will cause a Person to Beneficially Own or Constructively Own shares of Capital Stock in excess or in violation of the above limitations must immediately notify the Corporation. If any of the above restrictions on Beneficial Ownership, Constructive Ownership or Transfer are violated, the shares of Capital Stock represented hereby will be automatically transferred to a Trust (as defined in the Certificate of Incorporation) for the benefit of one or more Charitable Beneficiaries (as defined in the Certificate of Incorporation). In addition, the Board of Directors shall take such action as it deems advisable to refuse to give effect to or to prevent such Transfer or other event, including, without limitation, causing the Corporation to redeem shares of Capital Stock; provided, however, that any Transfer or attempted Transfer or other event in violation of the above restrictions on Beneficial Ownership, Constructive Ownership and Transfer shall automatically result in the above transfer to the Trust and, where applicable, such Transfer (or other event) shall be void ab initio as provided above irrespective of any action (or non-action) by the Board of Directors. The Board of Directors may, pursuant to Section 8.2.8 of the Certificate of Incorporation, increase or decrease the percentage of Common Stock or Capital Stock that a person may Beneficially Own or Constructively Own.</w:t>
      </w:r>
    </w:p>
    <w:p>
      <w:pPr>
        <w:spacing w:after="0" w:line="116" w:lineRule="exact"/>
        <w:rPr>
          <w:sz w:val="20"/>
          <w:szCs w:val="20"/>
          <w:color w:val="auto"/>
        </w:rPr>
      </w:pPr>
    </w:p>
    <w:p>
      <w:pPr>
        <w:ind w:left="8" w:right="140" w:firstLine="432"/>
        <w:spacing w:after="0" w:line="287" w:lineRule="auto"/>
        <w:rPr>
          <w:sz w:val="20"/>
          <w:szCs w:val="20"/>
          <w:color w:val="auto"/>
        </w:rPr>
      </w:pPr>
      <w:r>
        <w:rPr>
          <w:rFonts w:ascii="Arial" w:cs="Arial" w:eastAsia="Arial" w:hAnsi="Arial"/>
          <w:sz w:val="14"/>
          <w:szCs w:val="14"/>
          <w:color w:val="auto"/>
        </w:rPr>
        <w:t>A copy of the Certificate of Incorporation, including the above restrictions on Beneficial Ownership, Constructive Ownership and Transfer, will be furnished to each holder of Capital Stock on request and without charge. Requests for such a copy may be directed to the Secretary of the Corporation at its principal office.”</w:t>
      </w:r>
    </w:p>
    <w:p>
      <w:pPr>
        <w:spacing w:after="0" w:line="101" w:lineRule="exact"/>
        <w:rPr>
          <w:sz w:val="20"/>
          <w:szCs w:val="20"/>
          <w:color w:val="auto"/>
        </w:rPr>
      </w:pPr>
    </w:p>
    <w:p>
      <w:pPr>
        <w:ind w:left="8" w:right="200" w:firstLine="865"/>
        <w:spacing w:after="0" w:line="287" w:lineRule="auto"/>
        <w:rPr>
          <w:sz w:val="20"/>
          <w:szCs w:val="20"/>
          <w:color w:val="auto"/>
        </w:rPr>
      </w:pPr>
      <w:r>
        <w:rPr>
          <w:rFonts w:ascii="Arial" w:cs="Arial" w:eastAsia="Arial" w:hAnsi="Arial"/>
          <w:sz w:val="14"/>
          <w:szCs w:val="14"/>
          <w:color w:val="auto"/>
        </w:rPr>
        <w:t>Instead of the foregoing legend, the certificate may state that the Corporation will furnish a full statement about certain restrictions on transferability to a stockholder on request and without charge.</w:t>
      </w:r>
    </w:p>
    <w:p>
      <w:pPr>
        <w:spacing w:after="0" w:line="101" w:lineRule="exact"/>
        <w:rPr>
          <w:sz w:val="20"/>
          <w:szCs w:val="20"/>
          <w:color w:val="auto"/>
        </w:rPr>
      </w:pPr>
    </w:p>
    <w:p>
      <w:pPr>
        <w:ind w:left="868"/>
        <w:spacing w:after="0"/>
        <w:tabs>
          <w:tab w:leader="none" w:pos="1608" w:val="left"/>
        </w:tabs>
        <w:rPr>
          <w:sz w:val="20"/>
          <w:szCs w:val="20"/>
          <w:color w:val="auto"/>
        </w:rPr>
      </w:pPr>
      <w:r>
        <w:rPr>
          <w:rFonts w:ascii="Arial" w:cs="Arial" w:eastAsia="Arial" w:hAnsi="Arial"/>
          <w:sz w:val="14"/>
          <w:szCs w:val="14"/>
          <w:color w:val="auto"/>
        </w:rPr>
        <w:t>Section 8.3</w:t>
      </w:r>
      <w:r>
        <w:rPr>
          <w:sz w:val="20"/>
          <w:szCs w:val="20"/>
          <w:color w:val="auto"/>
        </w:rPr>
        <w:tab/>
      </w:r>
      <w:r>
        <w:rPr>
          <w:rFonts w:ascii="Arial" w:cs="Arial" w:eastAsia="Arial" w:hAnsi="Arial"/>
          <w:sz w:val="13"/>
          <w:szCs w:val="13"/>
          <w:u w:val="single" w:color="auto"/>
          <w:color w:val="auto"/>
        </w:rPr>
        <w:t>Transfer of Capital Stock in Trust.</w:t>
      </w:r>
    </w:p>
    <w:p>
      <w:pPr>
        <w:spacing w:after="0" w:line="163" w:lineRule="exact"/>
        <w:rPr>
          <w:sz w:val="20"/>
          <w:szCs w:val="20"/>
          <w:color w:val="auto"/>
        </w:rPr>
      </w:pPr>
    </w:p>
    <w:p>
      <w:pPr>
        <w:ind w:left="8" w:right="20" w:firstLine="432"/>
        <w:spacing w:after="0" w:line="266" w:lineRule="auto"/>
        <w:rPr>
          <w:sz w:val="20"/>
          <w:szCs w:val="20"/>
          <w:color w:val="auto"/>
        </w:rPr>
      </w:pPr>
      <w:r>
        <w:rPr>
          <w:rFonts w:ascii="Arial" w:cs="Arial" w:eastAsia="Arial" w:hAnsi="Arial"/>
          <w:sz w:val="14"/>
          <w:szCs w:val="14"/>
          <w:color w:val="auto"/>
        </w:rPr>
        <w:t xml:space="preserve">Section 8.3.1 </w:t>
      </w:r>
      <w:r>
        <w:rPr>
          <w:rFonts w:ascii="Arial" w:cs="Arial" w:eastAsia="Arial" w:hAnsi="Arial"/>
          <w:sz w:val="14"/>
          <w:szCs w:val="14"/>
          <w:u w:val="single" w:color="auto"/>
          <w:color w:val="auto"/>
        </w:rPr>
        <w:t>Ownership in Trust.</w:t>
      </w:r>
      <w:r>
        <w:rPr>
          <w:rFonts w:ascii="Arial" w:cs="Arial" w:eastAsia="Arial" w:hAnsi="Arial"/>
          <w:sz w:val="14"/>
          <w:szCs w:val="14"/>
          <w:color w:val="auto"/>
        </w:rPr>
        <w:t xml:space="preserve"> Upon any purported Transfer or other event described in Section 8.2.1(a) that would result in a transfer of shares of Capital Stock to a Trust, such shares of Capital Stock shall be deemed to have been transferred to the Trustee as trustee of a Trust for the exclusive benefit of one or more Charitable Beneficiaries. Such transfer to the Trustee shall be deemed to be effective as of the close of business on the Business Day prior to the purported Transfer or other event that results in the transfer to the Trust pursuant to Section 8.2.1(b). The Trustee shall be appointed by the Corporation and shall be a Person unaffiliated with the Corporation and any Prohibited Owner. Each Charitable Beneficiary shall be designated by the Corporation as provided in Section 8.3.6.</w:t>
      </w:r>
    </w:p>
    <w:p>
      <w:pPr>
        <w:spacing w:after="0" w:line="117" w:lineRule="exact"/>
        <w:rPr>
          <w:sz w:val="20"/>
          <w:szCs w:val="20"/>
          <w:color w:val="auto"/>
        </w:rPr>
      </w:pPr>
    </w:p>
    <w:p>
      <w:pPr>
        <w:ind w:left="428"/>
        <w:spacing w:after="0"/>
        <w:tabs>
          <w:tab w:leader="none" w:pos="1288" w:val="left"/>
        </w:tabs>
        <w:rPr>
          <w:sz w:val="20"/>
          <w:szCs w:val="20"/>
          <w:color w:val="auto"/>
        </w:rPr>
      </w:pPr>
      <w:r>
        <w:rPr>
          <w:rFonts w:ascii="Arial" w:cs="Arial" w:eastAsia="Arial" w:hAnsi="Arial"/>
          <w:sz w:val="14"/>
          <w:szCs w:val="14"/>
          <w:color w:val="auto"/>
        </w:rPr>
        <w:t>Section 8.3.2</w:t>
      </w:r>
      <w:r>
        <w:rPr>
          <w:sz w:val="20"/>
          <w:szCs w:val="20"/>
          <w:color w:val="auto"/>
        </w:rPr>
        <w:tab/>
      </w:r>
      <w:r>
        <w:rPr>
          <w:rFonts w:ascii="Arial" w:cs="Arial" w:eastAsia="Arial" w:hAnsi="Arial"/>
          <w:sz w:val="12"/>
          <w:szCs w:val="12"/>
          <w:u w:val="single" w:color="auto"/>
          <w:color w:val="auto"/>
        </w:rPr>
        <w:t xml:space="preserve">Status of Shares Held by the Trustee. </w:t>
      </w:r>
      <w:r>
        <w:rPr>
          <w:rFonts w:ascii="Arial" w:cs="Arial" w:eastAsia="Arial" w:hAnsi="Arial"/>
          <w:sz w:val="12"/>
          <w:szCs w:val="12"/>
          <w:color w:val="auto"/>
        </w:rPr>
        <w:t>Shares of Capital Stock held by the Trustee shall continue to be issued and outstanding shares of Capital Stock of the Corporation. The</w:t>
      </w:r>
    </w:p>
    <w:p>
      <w:pPr>
        <w:sectPr>
          <w:pgSz w:w="11900" w:h="16838" w:orient="portrait"/>
          <w:cols w:equalWidth="0" w:num="1">
            <w:col w:w="11448"/>
          </w:cols>
          <w:pgMar w:left="212" w:top="513" w:right="239" w:bottom="1440" w:gutter="0" w:footer="0" w:header="0"/>
        </w:sectPr>
      </w:pPr>
    </w:p>
    <w:bookmarkStart w:id="70" w:name="page71"/>
    <w:bookmarkEnd w:id="70"/>
    <w:p>
      <w:pPr>
        <w:ind w:right="400"/>
        <w:spacing w:after="0" w:line="287" w:lineRule="auto"/>
        <w:rPr>
          <w:sz w:val="20"/>
          <w:szCs w:val="20"/>
          <w:color w:val="auto"/>
        </w:rPr>
      </w:pPr>
      <w:r>
        <w:rPr>
          <w:rFonts w:ascii="Arial" w:cs="Arial" w:eastAsia="Arial" w:hAnsi="Arial"/>
          <w:sz w:val="14"/>
          <w:szCs w:val="14"/>
          <w:color w:val="auto"/>
        </w:rPr>
        <w:t>Prohibited Owner shall have no rights in the shares of Capital Stock held by the Trustee. The Prohibited Owner shall not benefit economically from ownership of any shares held in trust by the Trustee, shall have no rights to dividends or other distributions and shall not possess any rights to vote or other rights attributable to the shares held in the Trust.</w:t>
      </w:r>
    </w:p>
    <w:p>
      <w:pPr>
        <w:spacing w:after="0" w:line="101" w:lineRule="exact"/>
        <w:rPr>
          <w:sz w:val="20"/>
          <w:szCs w:val="20"/>
          <w:color w:val="auto"/>
        </w:rPr>
      </w:pPr>
    </w:p>
    <w:p>
      <w:pPr>
        <w:ind w:firstLine="432"/>
        <w:spacing w:after="0" w:line="282" w:lineRule="auto"/>
        <w:rPr>
          <w:sz w:val="20"/>
          <w:szCs w:val="20"/>
          <w:color w:val="auto"/>
        </w:rPr>
      </w:pPr>
      <w:r>
        <w:rPr>
          <w:rFonts w:ascii="Arial" w:cs="Arial" w:eastAsia="Arial" w:hAnsi="Arial"/>
          <w:sz w:val="13"/>
          <w:szCs w:val="13"/>
          <w:color w:val="auto"/>
        </w:rPr>
        <w:t xml:space="preserve">Section 8.3.3 </w:t>
      </w:r>
      <w:r>
        <w:rPr>
          <w:rFonts w:ascii="Arial" w:cs="Arial" w:eastAsia="Arial" w:hAnsi="Arial"/>
          <w:sz w:val="13"/>
          <w:szCs w:val="13"/>
          <w:u w:val="single" w:color="auto"/>
          <w:color w:val="auto"/>
        </w:rPr>
        <w:t>Dividend and Voting Rights.</w:t>
      </w:r>
      <w:r>
        <w:rPr>
          <w:rFonts w:ascii="Arial" w:cs="Arial" w:eastAsia="Arial" w:hAnsi="Arial"/>
          <w:sz w:val="13"/>
          <w:szCs w:val="13"/>
          <w:color w:val="auto"/>
        </w:rPr>
        <w:t xml:space="preserve"> The Trustee shall have all voting rights and rights to dividends or other distributions with respect to shares of Capital Stock held in the Trust, which rights shall be exercised for the exclusive benefit of the Charitable Beneficiary. Any dividend or other distribution paid to a Prohibited Owner prior to the discovery by the Corporation that the shares of Capital Stock have been transferred to the Trustee shall be paid with respect to such shares of Capital Stock by the Prohibited Owner to the Trustee upon demand and any dividend or other distribution authorized but unpaid shall be paid when due to the Trustee. Any dividend or distribution so paid to the Trustee shall be held in trust for the Charitable Beneficiary. The Prohibited Owner shall have no voting rights with respect to shares held in the Trust and, subject to the General Corporation Law, effective as of the date that the shares of Capital Stock have been transferred to the Trustee, the Trustee shall have the authority (at the Trustee’s sole discretion) (i) to rescind as void any vote cast by a Prohibited Owner prior to the discovery by the Corporation that the shares of Capital Stock have been transferred to the Trustee and (ii) to recast such vote in accordance with the desires of the Trustee acting for the benefit of the Charitable Beneficiary; provided, however, that if the Corporation has already taken irreversible corporate action, then the Trustee shall not have the authority to rescind and recast such vote. Notwithstanding the provisions of this Article VIII, until the Corporation has received notification that shares of Capital Stock have been transferred into a Trust, the Corporation shall be entitled to rely on its share transfer and other stockholder records for purposes of preparing lists of stockholders entitled to vote at meetings, determining the validity and authority of proxies and otherwise conducting votes of stockholders.</w:t>
      </w:r>
    </w:p>
    <w:p>
      <w:pPr>
        <w:spacing w:after="0" w:line="108" w:lineRule="exact"/>
        <w:rPr>
          <w:sz w:val="20"/>
          <w:szCs w:val="20"/>
          <w:color w:val="auto"/>
        </w:rPr>
      </w:pPr>
    </w:p>
    <w:p>
      <w:pPr>
        <w:ind w:right="20" w:firstLine="865"/>
        <w:spacing w:after="0" w:line="281" w:lineRule="auto"/>
        <w:rPr>
          <w:sz w:val="20"/>
          <w:szCs w:val="20"/>
          <w:color w:val="auto"/>
        </w:rPr>
      </w:pPr>
      <w:r>
        <w:rPr>
          <w:rFonts w:ascii="Arial" w:cs="Arial" w:eastAsia="Arial" w:hAnsi="Arial"/>
          <w:sz w:val="13"/>
          <w:szCs w:val="13"/>
          <w:color w:val="auto"/>
        </w:rPr>
        <w:t xml:space="preserve">Section 8.3.4 </w:t>
      </w:r>
      <w:r>
        <w:rPr>
          <w:rFonts w:ascii="Arial" w:cs="Arial" w:eastAsia="Arial" w:hAnsi="Arial"/>
          <w:sz w:val="13"/>
          <w:szCs w:val="13"/>
          <w:u w:val="single" w:color="auto"/>
          <w:color w:val="auto"/>
        </w:rPr>
        <w:t>Sale of Shares by Trustee.</w:t>
      </w:r>
      <w:r>
        <w:rPr>
          <w:rFonts w:ascii="Arial" w:cs="Arial" w:eastAsia="Arial" w:hAnsi="Arial"/>
          <w:sz w:val="13"/>
          <w:szCs w:val="13"/>
          <w:color w:val="auto"/>
        </w:rPr>
        <w:t xml:space="preserve"> Within 20 days of receiving notice from the Corporation that shares of Capital Stock have been transferred to the Trust, the Trustee of the Trust shall sell the shares held in the Trust to a person, designated by the Trustee, whose ownership of the shares will not violate the ownership limitations set forth in Section 8.2.1(a). Upon such sale, the interest of the Charitable Beneficiary in the shares sold shall terminate and the Trustee shall distribute the net proceeds of the sale to the Prohibited Owner and to the Charitable Beneficiary as provided in this Section 8.3.4. The Prohibited Owner shall receive the lesser of (i) the price paid by the Prohibited Owner for the shares or, if the Prohibited Owner did not give value for the shares in connection with the event causing the shares to be held in the Trust (e.g., in the case of a gift, devise or other such transaction), the Market Price of the shares on the day of the event causing the shares to be held in the Trust and (ii) the price per share received by the Trustee (net of any commissions and other expenses of sale) from the sale or other disposition of the shares held in the Trust. The Trustee may reduce the amount payable to the Prohibited Owner by the amount of dividends and distributions paid to the Prohibited Owner and owned by the Prohibited Owner to the Trustee pursuant to Section 8.3.3 of this Article VIII. Any net sales proceeds in excess of the amount payable to the Prohibited Owner shall be immediately paid to the Charitable Beneficiary. If, prior to the discovery by the Corporation that shares of Capital Stock have been transferred to the Trustee, such shares are sold by a Prohibited Owner, then (a) such shares shall be deemed to have been sold on behalf of the Trust and (b) to the extent that the Prohibited Owner received an amount for such shares that exceeds the amount that such Prohibited Owner was entitled to receive pursuant to this Section 8.3.4, such excess shall be paid to the Trustee upon demand.</w:t>
      </w:r>
    </w:p>
    <w:p>
      <w:pPr>
        <w:spacing w:after="0" w:line="110" w:lineRule="exact"/>
        <w:rPr>
          <w:sz w:val="20"/>
          <w:szCs w:val="20"/>
          <w:color w:val="auto"/>
        </w:rPr>
      </w:pPr>
    </w:p>
    <w:p>
      <w:pPr>
        <w:ind w:right="140" w:firstLine="432"/>
        <w:spacing w:after="0" w:line="277" w:lineRule="auto"/>
        <w:rPr>
          <w:sz w:val="20"/>
          <w:szCs w:val="20"/>
          <w:color w:val="auto"/>
        </w:rPr>
      </w:pPr>
      <w:r>
        <w:rPr>
          <w:rFonts w:ascii="Arial" w:cs="Arial" w:eastAsia="Arial" w:hAnsi="Arial"/>
          <w:sz w:val="14"/>
          <w:szCs w:val="14"/>
          <w:color w:val="auto"/>
        </w:rPr>
        <w:t xml:space="preserve">Section 8.3.5 </w:t>
      </w:r>
      <w:r>
        <w:rPr>
          <w:rFonts w:ascii="Arial" w:cs="Arial" w:eastAsia="Arial" w:hAnsi="Arial"/>
          <w:sz w:val="14"/>
          <w:szCs w:val="14"/>
          <w:u w:val="single" w:color="auto"/>
          <w:color w:val="auto"/>
        </w:rPr>
        <w:t>Purchase Right in Stock Transferred to the Trustee.</w:t>
      </w:r>
      <w:r>
        <w:rPr>
          <w:rFonts w:ascii="Arial" w:cs="Arial" w:eastAsia="Arial" w:hAnsi="Arial"/>
          <w:sz w:val="14"/>
          <w:szCs w:val="14"/>
          <w:color w:val="auto"/>
        </w:rPr>
        <w:t xml:space="preserve"> Shares of Capital Stock transferred to the Trustee shall be deemed to have been offered for sale to the Corporation, or its designee, at a price per share equal to the lesser of (i) the price per share in the transaction that resulted in such transfer to the Trust (or, in the case of a devise or gift, the Market Price at the time of such devise or gift) and (ii) the Market Price on the date the Corporation, or its designee, accepts such offer.</w:t>
      </w:r>
    </w:p>
    <w:p>
      <w:pPr>
        <w:sectPr>
          <w:pgSz w:w="11900" w:h="16838" w:orient="portrait"/>
          <w:cols w:equalWidth="0" w:num="1">
            <w:col w:w="11460"/>
          </w:cols>
          <w:pgMar w:left="220" w:top="512" w:right="219" w:bottom="1440" w:gutter="0" w:footer="0" w:header="0"/>
        </w:sectPr>
      </w:pPr>
    </w:p>
    <w:bookmarkStart w:id="71" w:name="page72"/>
    <w:bookmarkEnd w:id="71"/>
    <w:p>
      <w:pPr>
        <w:ind w:right="20"/>
        <w:spacing w:after="0" w:line="263" w:lineRule="auto"/>
        <w:rPr>
          <w:sz w:val="20"/>
          <w:szCs w:val="20"/>
          <w:color w:val="auto"/>
        </w:rPr>
      </w:pPr>
      <w:r>
        <w:rPr>
          <w:rFonts w:ascii="Arial" w:cs="Arial" w:eastAsia="Arial" w:hAnsi="Arial"/>
          <w:sz w:val="14"/>
          <w:szCs w:val="14"/>
          <w:color w:val="auto"/>
        </w:rPr>
        <w:t>The Corporation may reduce the amount payable to the Prohibited Owner by the amount of dividends and distributions paid to the Prohibited Owner and owed by the Prohibited Owner to the Trustee pursuant to Section 8.3.3 of this Article VIII. The Corporation may pay the amount of such reduction to the Trustee for the benefit of the Charitable Beneficiary. The Corporation shall have the right to accept such offer until the Trustee has sold the shares held in the Trust pursuant to Section 8.3.4. Upon such a sale to the Corporation, the interest of the Charitable Beneficiary in the shares sold shall terminate and the Trustee shall distribute the net proceeds of the sale to the Prohibited Owner and any dividends or other distributions held by the Trustee shall be paid to the Charitable Beneficiary.</w:t>
      </w:r>
    </w:p>
    <w:p>
      <w:pPr>
        <w:spacing w:after="0" w:line="118" w:lineRule="exact"/>
        <w:rPr>
          <w:sz w:val="20"/>
          <w:szCs w:val="20"/>
          <w:color w:val="auto"/>
        </w:rPr>
      </w:pPr>
    </w:p>
    <w:p>
      <w:pPr>
        <w:jc w:val="both"/>
        <w:ind w:right="120" w:firstLine="432"/>
        <w:spacing w:after="0" w:line="270" w:lineRule="auto"/>
        <w:rPr>
          <w:sz w:val="20"/>
          <w:szCs w:val="20"/>
          <w:color w:val="auto"/>
        </w:rPr>
      </w:pPr>
      <w:r>
        <w:rPr>
          <w:rFonts w:ascii="Arial" w:cs="Arial" w:eastAsia="Arial" w:hAnsi="Arial"/>
          <w:sz w:val="14"/>
          <w:szCs w:val="14"/>
          <w:color w:val="auto"/>
        </w:rPr>
        <w:t xml:space="preserve">Section 8.3.6 </w:t>
      </w:r>
      <w:r>
        <w:rPr>
          <w:rFonts w:ascii="Arial" w:cs="Arial" w:eastAsia="Arial" w:hAnsi="Arial"/>
          <w:sz w:val="14"/>
          <w:szCs w:val="14"/>
          <w:u w:val="single" w:color="auto"/>
          <w:color w:val="auto"/>
        </w:rPr>
        <w:t>Designation of Charitable Beneficiaries.</w:t>
      </w:r>
      <w:r>
        <w:rPr>
          <w:rFonts w:ascii="Arial" w:cs="Arial" w:eastAsia="Arial" w:hAnsi="Arial"/>
          <w:sz w:val="14"/>
          <w:szCs w:val="14"/>
          <w:color w:val="auto"/>
        </w:rPr>
        <w:t xml:space="preserve"> By written notice to the Trustee, the Corporation shall designate one or more nonprofit organizations to be the Charitable Beneficiary of the interest in the Trust such that (i) the shares of Capital Stock held in the Trust would not violate the restrictions set forth in Section 8.2.1(a) in the hands of such Charitable Beneficiary and (ii) each such organization must be described in Section 501(c)(3) of the Code and contributions to each such organization must be eligible for deduction under each of Sections 170(b)(1)(A), 2055 and 2522 of the Code.</w:t>
      </w:r>
    </w:p>
    <w:p>
      <w:pPr>
        <w:spacing w:after="0" w:line="113" w:lineRule="exact"/>
        <w:rPr>
          <w:sz w:val="20"/>
          <w:szCs w:val="20"/>
          <w:color w:val="auto"/>
        </w:rPr>
      </w:pPr>
    </w:p>
    <w:p>
      <w:pPr>
        <w:ind w:right="280" w:firstLine="865"/>
        <w:spacing w:after="0" w:line="277" w:lineRule="auto"/>
        <w:rPr>
          <w:sz w:val="20"/>
          <w:szCs w:val="20"/>
          <w:color w:val="auto"/>
        </w:rPr>
      </w:pPr>
      <w:r>
        <w:rPr>
          <w:rFonts w:ascii="Arial" w:cs="Arial" w:eastAsia="Arial" w:hAnsi="Arial"/>
          <w:sz w:val="14"/>
          <w:szCs w:val="14"/>
          <w:color w:val="auto"/>
        </w:rPr>
        <w:t xml:space="preserve">Section 8.4 </w:t>
      </w:r>
      <w:r>
        <w:rPr>
          <w:rFonts w:ascii="Arial" w:cs="Arial" w:eastAsia="Arial" w:hAnsi="Arial"/>
          <w:sz w:val="14"/>
          <w:szCs w:val="14"/>
          <w:u w:val="single" w:color="auto"/>
          <w:color w:val="auto"/>
        </w:rPr>
        <w:t>Nasdaq Transactions.</w:t>
      </w:r>
      <w:r>
        <w:rPr>
          <w:rFonts w:ascii="Arial" w:cs="Arial" w:eastAsia="Arial" w:hAnsi="Arial"/>
          <w:sz w:val="14"/>
          <w:szCs w:val="14"/>
          <w:color w:val="auto"/>
        </w:rPr>
        <w:t xml:space="preserve"> Nothing in this Article VIII shall preclude the settlement of any transaction entered into through the facilities of Nasdaq or any other national securities exchange or automated inter-dealer quotation system. The fact that the settlement of any transaction occurs shall not negate the effect of any other provision of this Article VIII and any transferee in such a transaction shall be subject to all of the provisions and limitations set forth in this Article VIII.</w:t>
      </w:r>
    </w:p>
    <w:p>
      <w:pPr>
        <w:spacing w:after="0" w:line="109" w:lineRule="exact"/>
        <w:rPr>
          <w:sz w:val="20"/>
          <w:szCs w:val="20"/>
          <w:color w:val="auto"/>
        </w:rPr>
      </w:pPr>
    </w:p>
    <w:p>
      <w:pPr>
        <w:ind w:left="860"/>
        <w:spacing w:after="0"/>
        <w:tabs>
          <w:tab w:leader="none" w:pos="1600" w:val="left"/>
        </w:tabs>
        <w:rPr>
          <w:sz w:val="20"/>
          <w:szCs w:val="20"/>
          <w:color w:val="auto"/>
        </w:rPr>
      </w:pPr>
      <w:r>
        <w:rPr>
          <w:rFonts w:ascii="Arial" w:cs="Arial" w:eastAsia="Arial" w:hAnsi="Arial"/>
          <w:sz w:val="14"/>
          <w:szCs w:val="14"/>
          <w:color w:val="auto"/>
        </w:rPr>
        <w:t>Section 8.5</w:t>
      </w:r>
      <w:r>
        <w:rPr>
          <w:sz w:val="20"/>
          <w:szCs w:val="20"/>
          <w:color w:val="auto"/>
        </w:rPr>
        <w:tab/>
      </w:r>
      <w:r>
        <w:rPr>
          <w:rFonts w:ascii="Arial" w:cs="Arial" w:eastAsia="Arial" w:hAnsi="Arial"/>
          <w:sz w:val="13"/>
          <w:szCs w:val="13"/>
          <w:u w:val="single" w:color="auto"/>
          <w:color w:val="auto"/>
        </w:rPr>
        <w:t xml:space="preserve">Enforcement. </w:t>
      </w:r>
      <w:r>
        <w:rPr>
          <w:rFonts w:ascii="Arial" w:cs="Arial" w:eastAsia="Arial" w:hAnsi="Arial"/>
          <w:sz w:val="13"/>
          <w:szCs w:val="13"/>
          <w:color w:val="auto"/>
        </w:rPr>
        <w:t>The Corporation is authorized specifically to seek equitable relief, including injunctive relief, to enforce the provisions of this Article VIII.</w:t>
      </w:r>
    </w:p>
    <w:p>
      <w:pPr>
        <w:spacing w:after="0" w:line="163" w:lineRule="exact"/>
        <w:rPr>
          <w:sz w:val="20"/>
          <w:szCs w:val="20"/>
          <w:color w:val="auto"/>
        </w:rPr>
      </w:pPr>
    </w:p>
    <w:p>
      <w:pPr>
        <w:ind w:right="260" w:firstLine="865"/>
        <w:spacing w:after="0" w:line="300" w:lineRule="auto"/>
        <w:rPr>
          <w:sz w:val="20"/>
          <w:szCs w:val="20"/>
          <w:color w:val="auto"/>
        </w:rPr>
      </w:pPr>
      <w:r>
        <w:rPr>
          <w:rFonts w:ascii="Arial" w:cs="Arial" w:eastAsia="Arial" w:hAnsi="Arial"/>
          <w:sz w:val="14"/>
          <w:szCs w:val="14"/>
          <w:color w:val="auto"/>
        </w:rPr>
        <w:t xml:space="preserve">Section 8.6 </w:t>
      </w:r>
      <w:r>
        <w:rPr>
          <w:rFonts w:ascii="Arial" w:cs="Arial" w:eastAsia="Arial" w:hAnsi="Arial"/>
          <w:sz w:val="14"/>
          <w:szCs w:val="14"/>
          <w:u w:val="single" w:color="auto"/>
          <w:color w:val="auto"/>
        </w:rPr>
        <w:t>Non-Waiver.</w:t>
      </w:r>
      <w:r>
        <w:rPr>
          <w:rFonts w:ascii="Arial" w:cs="Arial" w:eastAsia="Arial" w:hAnsi="Arial"/>
          <w:sz w:val="14"/>
          <w:szCs w:val="14"/>
          <w:color w:val="auto"/>
        </w:rPr>
        <w:t xml:space="preserve"> No delay or failure on the part of the Corporation or the Board of Directors in exercising any right hereunder shall operate as a waiver of any right of the Corporation or the Board of Directors, as the case may be, except to the extent specifically waived in writing.</w:t>
      </w:r>
    </w:p>
    <w:p>
      <w:pPr>
        <w:spacing w:after="0" w:line="93" w:lineRule="exact"/>
        <w:rPr>
          <w:sz w:val="20"/>
          <w:szCs w:val="20"/>
          <w:color w:val="auto"/>
        </w:rPr>
      </w:pPr>
    </w:p>
    <w:p>
      <w:pPr>
        <w:ind w:right="40" w:firstLine="865"/>
        <w:spacing w:after="0" w:line="277" w:lineRule="auto"/>
        <w:rPr>
          <w:sz w:val="20"/>
          <w:szCs w:val="20"/>
          <w:color w:val="auto"/>
        </w:rPr>
      </w:pPr>
      <w:r>
        <w:rPr>
          <w:rFonts w:ascii="Arial" w:cs="Arial" w:eastAsia="Arial" w:hAnsi="Arial"/>
          <w:sz w:val="14"/>
          <w:szCs w:val="14"/>
          <w:color w:val="auto"/>
        </w:rPr>
        <w:t xml:space="preserve">Section 8.7 </w:t>
      </w:r>
      <w:r>
        <w:rPr>
          <w:rFonts w:ascii="Arial" w:cs="Arial" w:eastAsia="Arial" w:hAnsi="Arial"/>
          <w:sz w:val="14"/>
          <w:szCs w:val="14"/>
          <w:u w:val="single" w:color="auto"/>
          <w:color w:val="auto"/>
        </w:rPr>
        <w:t>Severability.</w:t>
      </w:r>
      <w:r>
        <w:rPr>
          <w:rFonts w:ascii="Arial" w:cs="Arial" w:eastAsia="Arial" w:hAnsi="Arial"/>
          <w:sz w:val="14"/>
          <w:szCs w:val="14"/>
          <w:color w:val="auto"/>
        </w:rPr>
        <w:t xml:space="preserve"> If any provision of this Article VIII or any application of any such provision is determined to be invalid by any federal or state court having jurisdiction over the issues, the validity of the remaining provisions shall not be affected and other applications of such provisions shall be affected only to the extent necessary to comply with the determination of such court.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4"/>
          <w:szCs w:val="14"/>
          <w:color w:val="auto"/>
        </w:rPr>
        <w:t>ARTICLE IX</w:t>
      </w:r>
    </w:p>
    <w:p>
      <w:pPr>
        <w:spacing w:after="0" w:line="298" w:lineRule="exact"/>
        <w:rPr>
          <w:sz w:val="20"/>
          <w:szCs w:val="20"/>
          <w:color w:val="auto"/>
        </w:rPr>
      </w:pPr>
    </w:p>
    <w:p>
      <w:pPr>
        <w:jc w:val="center"/>
        <w:ind w:right="-19"/>
        <w:spacing w:after="0"/>
        <w:rPr>
          <w:sz w:val="20"/>
          <w:szCs w:val="20"/>
          <w:color w:val="auto"/>
        </w:rPr>
      </w:pPr>
      <w:r>
        <w:rPr>
          <w:rFonts w:ascii="Arial" w:cs="Arial" w:eastAsia="Arial" w:hAnsi="Arial"/>
          <w:sz w:val="14"/>
          <w:szCs w:val="14"/>
          <w:u w:val="single" w:color="auto"/>
          <w:color w:val="auto"/>
        </w:rPr>
        <w:t>LIMITATION ON LIABILITY OF DIRECTORS</w:t>
      </w:r>
    </w:p>
    <w:p>
      <w:pPr>
        <w:spacing w:after="0" w:line="226" w:lineRule="exact"/>
        <w:rPr>
          <w:sz w:val="20"/>
          <w:szCs w:val="20"/>
          <w:color w:val="auto"/>
        </w:rPr>
      </w:pPr>
    </w:p>
    <w:p>
      <w:pPr>
        <w:jc w:val="both"/>
        <w:ind w:firstLine="865"/>
        <w:spacing w:after="0" w:line="271" w:lineRule="auto"/>
        <w:rPr>
          <w:sz w:val="20"/>
          <w:szCs w:val="20"/>
          <w:color w:val="auto"/>
        </w:rPr>
      </w:pPr>
      <w:r>
        <w:rPr>
          <w:rFonts w:ascii="Arial" w:cs="Arial" w:eastAsia="Arial" w:hAnsi="Arial"/>
          <w:sz w:val="14"/>
          <w:szCs w:val="14"/>
          <w:color w:val="auto"/>
        </w:rPr>
        <w:t>A director of the Corporation shall, to the maximum extent now or hereafter permitted by Section 102(b)(7) of the General Corporation Law (or any successor provision or provisions), have no personal liability to the Corporation or its stockholders for monetary damages for breach of fiduciary duty as a director, except to the extent such director has committed willful misfeasance, bad faith, gross negligence or reckless disregard of such director's duties involved in the conduct of the office of director.</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4"/>
          <w:szCs w:val="14"/>
          <w:color w:val="auto"/>
        </w:rPr>
        <w:t>ARTICLE X</w:t>
      </w:r>
    </w:p>
    <w:p>
      <w:pPr>
        <w:spacing w:after="0" w:line="298" w:lineRule="exact"/>
        <w:rPr>
          <w:sz w:val="20"/>
          <w:szCs w:val="20"/>
          <w:color w:val="auto"/>
        </w:rPr>
      </w:pPr>
    </w:p>
    <w:p>
      <w:pPr>
        <w:jc w:val="center"/>
        <w:ind w:right="-19"/>
        <w:spacing w:after="0"/>
        <w:rPr>
          <w:sz w:val="20"/>
          <w:szCs w:val="20"/>
          <w:color w:val="auto"/>
        </w:rPr>
      </w:pPr>
      <w:r>
        <w:rPr>
          <w:rFonts w:ascii="Arial" w:cs="Arial" w:eastAsia="Arial" w:hAnsi="Arial"/>
          <w:sz w:val="14"/>
          <w:szCs w:val="14"/>
          <w:u w:val="single" w:color="auto"/>
          <w:color w:val="auto"/>
        </w:rPr>
        <w:t>COMPROMISE</w:t>
      </w:r>
    </w:p>
    <w:p>
      <w:pPr>
        <w:spacing w:after="0" w:line="226" w:lineRule="exact"/>
        <w:rPr>
          <w:sz w:val="20"/>
          <w:szCs w:val="20"/>
          <w:color w:val="auto"/>
        </w:rPr>
      </w:pPr>
    </w:p>
    <w:p>
      <w:pPr>
        <w:ind w:right="120" w:firstLine="865"/>
        <w:spacing w:after="0" w:line="287" w:lineRule="auto"/>
        <w:rPr>
          <w:sz w:val="20"/>
          <w:szCs w:val="20"/>
          <w:color w:val="auto"/>
        </w:rPr>
      </w:pPr>
      <w:r>
        <w:rPr>
          <w:rFonts w:ascii="Arial" w:cs="Arial" w:eastAsia="Arial" w:hAnsi="Arial"/>
          <w:sz w:val="14"/>
          <w:szCs w:val="14"/>
          <w:color w:val="auto"/>
        </w:rPr>
        <w:t>Whenever a compromise or arrangement is proposed between this Corporation and its creditors or any class of them and/or between this Corporation and its stockholders or any class of them, any court of equitable jurisdiction within the State of Delaware may, on the application in a summary way</w:t>
      </w:r>
    </w:p>
    <w:p>
      <w:pPr>
        <w:sectPr>
          <w:pgSz w:w="11900" w:h="16838" w:orient="portrait"/>
          <w:cols w:equalWidth="0" w:num="1">
            <w:col w:w="11460"/>
          </w:cols>
          <w:pgMar w:left="220" w:top="513" w:right="219" w:bottom="1440" w:gutter="0" w:footer="0" w:header="0"/>
        </w:sectPr>
      </w:pPr>
    </w:p>
    <w:bookmarkStart w:id="72" w:name="page73"/>
    <w:bookmarkEnd w:id="72"/>
    <w:p>
      <w:pPr>
        <w:spacing w:after="0" w:line="260" w:lineRule="auto"/>
        <w:rPr>
          <w:sz w:val="20"/>
          <w:szCs w:val="20"/>
          <w:color w:val="auto"/>
        </w:rPr>
      </w:pPr>
      <w:r>
        <w:rPr>
          <w:rFonts w:ascii="Arial" w:cs="Arial" w:eastAsia="Arial" w:hAnsi="Arial"/>
          <w:sz w:val="14"/>
          <w:szCs w:val="14"/>
          <w:color w:val="auto"/>
        </w:rPr>
        <w:t>of this Corporation or of any creditor or stockholder thereof or on the application of any receiver or receivers appointed for this Corporation under the provisions of Section 291 of the General Corporation Law, trustees in dissolution or of any receiver or receivers appointed for this Corporation under the provisions of Section 279 of the General Corporation Law, order a meeting of the creditors or class of creditors, and/or of the stockholders or class of stockholders of this Corporation, as the case may be, to be summoned in such manner as the said court directs. If a majority in number representing three fourths in value of the creditors or class of creditors, and/or of the stockholders or class of stockholders of this Corporation, as the case may be, agree to any compromise or arrangement and to any reorganization of this Corporation as consequence of such compromise or arrangement, the said compromise or arrangement and the said reorganization shall, if sanctioned by the court to which the said application has been made, be binding on all the creditors or class of creditors, and/or on all the stockholders or class of stockholders, of this Corporation, as the case may be, and also on this Corporation.</w:t>
      </w:r>
    </w:p>
    <w:p>
      <w:pPr>
        <w:spacing w:after="0" w:line="193"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XI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AMENDMENT OF BY-LAWS</w:t>
      </w:r>
    </w:p>
    <w:p>
      <w:pPr>
        <w:spacing w:after="0" w:line="226" w:lineRule="exact"/>
        <w:rPr>
          <w:sz w:val="20"/>
          <w:szCs w:val="20"/>
          <w:color w:val="auto"/>
        </w:rPr>
      </w:pPr>
    </w:p>
    <w:p>
      <w:pPr>
        <w:ind w:right="20" w:firstLine="865"/>
        <w:spacing w:after="0" w:line="265" w:lineRule="auto"/>
        <w:rPr>
          <w:sz w:val="20"/>
          <w:szCs w:val="20"/>
          <w:color w:val="auto"/>
        </w:rPr>
      </w:pPr>
      <w:r>
        <w:rPr>
          <w:rFonts w:ascii="Arial" w:cs="Arial" w:eastAsia="Arial" w:hAnsi="Arial"/>
          <w:sz w:val="14"/>
          <w:szCs w:val="14"/>
          <w:color w:val="auto"/>
        </w:rPr>
        <w:t>The Board of Directors shall have power to adopt, amend, alter, change and repeal any By-laws by a vote of the majority of the Board of Directors then in office. In addition to any requirements of the General Corporation Law (and notwithstanding the fact that a lesser percentage may be specified by the General Corporation Law), any adoption, amendment, alteration, change or repeal of any By-laws by the stockholders of the Corporation shall require the affirmative vote of the holders of at least sixty-six percent (66%) of the combined voting power of all of the shares of all classes of capital stock of the Corporation then entitled to vote generally in the election of directors.</w:t>
      </w:r>
    </w:p>
    <w:p>
      <w:pPr>
        <w:spacing w:after="0" w:line="190"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ARTICLE XII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u w:val="single" w:color="auto"/>
          <w:color w:val="auto"/>
        </w:rPr>
        <w:t>AMENDMENT OF CERTIFICATE OF INCORPORATION</w:t>
      </w:r>
    </w:p>
    <w:p>
      <w:pPr>
        <w:spacing w:after="0" w:line="226" w:lineRule="exact"/>
        <w:rPr>
          <w:sz w:val="20"/>
          <w:szCs w:val="20"/>
          <w:color w:val="auto"/>
        </w:rPr>
      </w:pPr>
    </w:p>
    <w:p>
      <w:pPr>
        <w:ind w:right="200" w:firstLine="865"/>
        <w:spacing w:after="0" w:line="265" w:lineRule="auto"/>
        <w:rPr>
          <w:sz w:val="20"/>
          <w:szCs w:val="20"/>
          <w:color w:val="auto"/>
        </w:rPr>
      </w:pPr>
      <w:r>
        <w:rPr>
          <w:rFonts w:ascii="Arial" w:cs="Arial" w:eastAsia="Arial" w:hAnsi="Arial"/>
          <w:sz w:val="14"/>
          <w:szCs w:val="14"/>
          <w:color w:val="auto"/>
        </w:rPr>
        <w:t>The Corporation hereby reserves the right to amend, alter, change or repeal any provision contained in this Certificate of Incorporation. Except as may be provided in a resolution or resolutions providing for any class of Preferred Stock pursuant to Article IV hereof and which relate to such class of Preferred Stock and except as provided in Article IV hereof, any such amendment, alteration, change or repeal shall require the affirmative vote of both (a) a majority of the members of the Board of Directors then in office and (b) a majority of the combined voting power of all of the shares of all classes of capital stock of the Corporation then entitled to vote generally in the election of directors.</w:t>
      </w:r>
    </w:p>
    <w:p>
      <w:pPr>
        <w:spacing w:after="0" w:line="118" w:lineRule="exact"/>
        <w:rPr>
          <w:sz w:val="20"/>
          <w:szCs w:val="20"/>
          <w:color w:val="auto"/>
        </w:rPr>
      </w:pPr>
    </w:p>
    <w:p>
      <w:pPr>
        <w:ind w:right="20" w:firstLine="865"/>
        <w:spacing w:after="0" w:line="271" w:lineRule="auto"/>
        <w:rPr>
          <w:sz w:val="20"/>
          <w:szCs w:val="20"/>
          <w:color w:val="auto"/>
        </w:rPr>
      </w:pPr>
      <w:r>
        <w:rPr>
          <w:rFonts w:ascii="Arial" w:cs="Arial" w:eastAsia="Arial" w:hAnsi="Arial"/>
          <w:sz w:val="14"/>
          <w:szCs w:val="14"/>
          <w:color w:val="auto"/>
        </w:rPr>
        <w:t>By a vote of the majority of the Board of Directors then in office, the Board of Directors may adopt a resolution providing that at any time prior to the filing of the amendment with the Secretary of State, notwithstanding authorization of the proposed amendment by the stockholders, the Board of Directors may abandon such proposed amendment without further action by the stockholders.</w:t>
      </w:r>
    </w:p>
    <w:p>
      <w:pPr>
        <w:spacing w:after="0" w:line="112" w:lineRule="exact"/>
        <w:rPr>
          <w:sz w:val="20"/>
          <w:szCs w:val="20"/>
          <w:color w:val="auto"/>
        </w:rPr>
      </w:pPr>
    </w:p>
    <w:p>
      <w:pPr>
        <w:ind w:right="220" w:firstLine="865"/>
        <w:spacing w:after="0" w:line="327" w:lineRule="auto"/>
        <w:rPr>
          <w:sz w:val="20"/>
          <w:szCs w:val="20"/>
          <w:color w:val="auto"/>
        </w:rPr>
      </w:pPr>
      <w:r>
        <w:rPr>
          <w:rFonts w:ascii="Arial" w:cs="Arial" w:eastAsia="Arial" w:hAnsi="Arial"/>
          <w:sz w:val="13"/>
          <w:szCs w:val="13"/>
          <w:color w:val="auto"/>
        </w:rPr>
        <w:t>Notwithstanding anything contained in this Certificate of Incorporation to the contrary, the affirmative vote of the holders of at least sixty-six percent (66%) of the combined voting power of all of the shares of all classes of capital stock of the Corporation then entitled to vote shall be required to amend, repeal or adopt any provision inconsistent with Article V herein.</w:t>
      </w:r>
    </w:p>
    <w:p>
      <w:pPr>
        <w:sectPr>
          <w:pgSz w:w="11900" w:h="16838" w:orient="portrait"/>
          <w:cols w:equalWidth="0" w:num="1">
            <w:col w:w="11460"/>
          </w:cols>
          <w:pgMar w:left="220" w:top="513" w:right="219" w:bottom="1440" w:gutter="0" w:footer="0" w:header="0"/>
        </w:sectPr>
      </w:pPr>
    </w:p>
    <w:bookmarkStart w:id="73" w:name="page74"/>
    <w:bookmarkEnd w:id="73"/>
    <w:p>
      <w:pPr>
        <w:jc w:val="center"/>
        <w:ind w:right="-279"/>
        <w:spacing w:after="0"/>
        <w:rPr>
          <w:sz w:val="20"/>
          <w:szCs w:val="20"/>
          <w:color w:val="auto"/>
        </w:rPr>
      </w:pPr>
      <w:r>
        <w:rPr>
          <w:rFonts w:ascii="Arial" w:cs="Arial" w:eastAsia="Arial" w:hAnsi="Arial"/>
          <w:sz w:val="14"/>
          <w:szCs w:val="14"/>
          <w:color w:val="auto"/>
        </w:rPr>
        <w:t>ARTICLE XIII</w:t>
      </w:r>
    </w:p>
    <w:p>
      <w:pPr>
        <w:spacing w:after="0" w:line="298" w:lineRule="exact"/>
        <w:rPr>
          <w:sz w:val="20"/>
          <w:szCs w:val="20"/>
          <w:color w:val="auto"/>
        </w:rPr>
      </w:pPr>
    </w:p>
    <w:p>
      <w:pPr>
        <w:jc w:val="center"/>
        <w:ind w:right="-279"/>
        <w:spacing w:after="0"/>
        <w:rPr>
          <w:sz w:val="20"/>
          <w:szCs w:val="20"/>
          <w:color w:val="auto"/>
        </w:rPr>
      </w:pPr>
      <w:r>
        <w:rPr>
          <w:rFonts w:ascii="Arial" w:cs="Arial" w:eastAsia="Arial" w:hAnsi="Arial"/>
          <w:sz w:val="14"/>
          <w:szCs w:val="14"/>
          <w:u w:val="single" w:color="auto"/>
          <w:color w:val="auto"/>
        </w:rPr>
        <w:t>MISCELLANEOUS</w:t>
      </w:r>
    </w:p>
    <w:p>
      <w:pPr>
        <w:spacing w:after="0" w:line="226" w:lineRule="exact"/>
        <w:rPr>
          <w:sz w:val="20"/>
          <w:szCs w:val="20"/>
          <w:color w:val="auto"/>
        </w:rPr>
      </w:pPr>
    </w:p>
    <w:p>
      <w:pPr>
        <w:ind w:firstLine="865"/>
        <w:spacing w:after="0" w:line="300" w:lineRule="auto"/>
        <w:rPr>
          <w:sz w:val="20"/>
          <w:szCs w:val="20"/>
          <w:color w:val="auto"/>
        </w:rPr>
      </w:pPr>
      <w:r>
        <w:rPr>
          <w:rFonts w:ascii="Arial" w:cs="Arial" w:eastAsia="Arial" w:hAnsi="Arial"/>
          <w:sz w:val="14"/>
          <w:szCs w:val="14"/>
          <w:color w:val="auto"/>
        </w:rPr>
        <w:t xml:space="preserve">Section 13.1 </w:t>
      </w:r>
      <w:r>
        <w:rPr>
          <w:rFonts w:ascii="Arial" w:cs="Arial" w:eastAsia="Arial" w:hAnsi="Arial"/>
          <w:sz w:val="14"/>
          <w:szCs w:val="14"/>
          <w:u w:val="single" w:color="auto"/>
          <w:color w:val="auto"/>
        </w:rPr>
        <w:t>Books and Records.</w:t>
      </w:r>
      <w:r>
        <w:rPr>
          <w:rFonts w:ascii="Arial" w:cs="Arial" w:eastAsia="Arial" w:hAnsi="Arial"/>
          <w:sz w:val="14"/>
          <w:szCs w:val="14"/>
          <w:color w:val="auto"/>
        </w:rPr>
        <w:t xml:space="preserve"> The books of the Corporation may be kept (subject to any provision contained in the General Corporation Law) outside the State of Delaware at such place or places as may be designated from time to time by the Board of Directors or in the By-laws of the Corporation.</w:t>
      </w:r>
    </w:p>
    <w:p>
      <w:pPr>
        <w:spacing w:after="0" w:line="93" w:lineRule="exact"/>
        <w:rPr>
          <w:sz w:val="20"/>
          <w:szCs w:val="20"/>
          <w:color w:val="auto"/>
        </w:rPr>
      </w:pPr>
    </w:p>
    <w:p>
      <w:pPr>
        <w:ind w:left="860"/>
        <w:spacing w:after="0"/>
        <w:tabs>
          <w:tab w:leader="none" w:pos="1680" w:val="left"/>
        </w:tabs>
        <w:rPr>
          <w:sz w:val="20"/>
          <w:szCs w:val="20"/>
          <w:color w:val="auto"/>
        </w:rPr>
      </w:pPr>
      <w:r>
        <w:rPr>
          <w:rFonts w:ascii="Arial" w:cs="Arial" w:eastAsia="Arial" w:hAnsi="Arial"/>
          <w:sz w:val="14"/>
          <w:szCs w:val="14"/>
          <w:color w:val="auto"/>
        </w:rPr>
        <w:t>Section 13.2</w:t>
      </w:r>
      <w:r>
        <w:rPr>
          <w:sz w:val="20"/>
          <w:szCs w:val="20"/>
          <w:color w:val="auto"/>
        </w:rPr>
        <w:tab/>
      </w:r>
      <w:r>
        <w:rPr>
          <w:rFonts w:ascii="Arial" w:cs="Arial" w:eastAsia="Arial" w:hAnsi="Arial"/>
          <w:sz w:val="13"/>
          <w:szCs w:val="13"/>
          <w:u w:val="single" w:color="auto"/>
          <w:color w:val="auto"/>
        </w:rPr>
        <w:t xml:space="preserve">Section 203. </w:t>
      </w:r>
      <w:r>
        <w:rPr>
          <w:rFonts w:ascii="Arial" w:cs="Arial" w:eastAsia="Arial" w:hAnsi="Arial"/>
          <w:sz w:val="13"/>
          <w:szCs w:val="13"/>
          <w:color w:val="auto"/>
        </w:rPr>
        <w:t>The Corporation expressly elects not to be governed by Section 203 of the General Corporation Law.</w:t>
      </w:r>
    </w:p>
    <w:p>
      <w:pPr>
        <w:sectPr>
          <w:pgSz w:w="11900" w:h="16838" w:orient="portrait"/>
          <w:cols w:equalWidth="0" w:num="1">
            <w:col w:w="11200"/>
          </w:cols>
          <w:pgMar w:left="220" w:top="585" w:right="479" w:bottom="1440" w:gutter="0" w:footer="0" w:header="0"/>
        </w:sectPr>
      </w:pPr>
    </w:p>
    <w:bookmarkStart w:id="74" w:name="page75"/>
    <w:bookmarkEnd w:id="74"/>
    <w:p>
      <w:pPr>
        <w:jc w:val="right"/>
        <w:spacing w:after="0"/>
        <w:rPr>
          <w:sz w:val="20"/>
          <w:szCs w:val="20"/>
          <w:color w:val="auto"/>
        </w:rPr>
      </w:pPr>
      <w:r>
        <w:rPr>
          <w:rFonts w:ascii="Arial" w:cs="Arial" w:eastAsia="Arial" w:hAnsi="Arial"/>
          <w:sz w:val="13"/>
          <w:szCs w:val="13"/>
          <w:color w:val="auto"/>
        </w:rPr>
        <w:t>Exhibit 3.2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THIRD AMENDED AND RESTATED BY-LAWS OF</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AGNC INVESTMENT CORP.</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(hereinafter called the "Corporation")</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AS AMENDED AND RESTATED SEPTEMBER 30, 2016</w:t>
      </w:r>
    </w:p>
    <w:p>
      <w:pPr>
        <w:spacing w:after="0" w:line="222"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OFFICES</w:t>
      </w:r>
    </w:p>
    <w:p>
      <w:pPr>
        <w:spacing w:after="0" w:line="302"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1.1 </w:t>
      </w:r>
      <w:r>
        <w:rPr>
          <w:rFonts w:ascii="Arial" w:cs="Arial" w:eastAsia="Arial" w:hAnsi="Arial"/>
          <w:sz w:val="14"/>
          <w:szCs w:val="14"/>
          <w:u w:val="single" w:color="auto"/>
          <w:color w:val="auto"/>
        </w:rPr>
        <w:t>Registered Office</w:t>
      </w:r>
      <w:r>
        <w:rPr>
          <w:rFonts w:ascii="Arial" w:cs="Arial" w:eastAsia="Arial" w:hAnsi="Arial"/>
          <w:sz w:val="14"/>
          <w:szCs w:val="14"/>
          <w:color w:val="auto"/>
        </w:rPr>
        <w:t>. The address of the registered office of the Corporation in the State of Delaware shall be 1209 Orange Street, in the City of Wilmington, County of New Castle. The name of the registered agent at that address is Corporation Trust Company.</w:t>
      </w:r>
    </w:p>
    <w:p>
      <w:pPr>
        <w:spacing w:after="0" w:line="245" w:lineRule="exact"/>
        <w:rPr>
          <w:sz w:val="20"/>
          <w:szCs w:val="20"/>
          <w:color w:val="auto"/>
        </w:rPr>
      </w:pPr>
    </w:p>
    <w:p>
      <w:pPr>
        <w:ind w:left="660"/>
        <w:spacing w:after="0"/>
        <w:rPr>
          <w:sz w:val="20"/>
          <w:szCs w:val="20"/>
          <w:color w:val="auto"/>
        </w:rPr>
      </w:pPr>
      <w:r>
        <w:rPr>
          <w:rFonts w:ascii="Arial" w:cs="Arial" w:eastAsia="Arial" w:hAnsi="Arial"/>
          <w:sz w:val="13"/>
          <w:szCs w:val="13"/>
          <w:color w:val="auto"/>
        </w:rPr>
        <w:t xml:space="preserve">Section 1.2 </w:t>
      </w:r>
      <w:r>
        <w:rPr>
          <w:rFonts w:ascii="Arial" w:cs="Arial" w:eastAsia="Arial" w:hAnsi="Arial"/>
          <w:sz w:val="13"/>
          <w:szCs w:val="13"/>
          <w:u w:val="single" w:color="auto"/>
          <w:color w:val="auto"/>
        </w:rPr>
        <w:t>Other Offices</w:t>
      </w:r>
      <w:r>
        <w:rPr>
          <w:rFonts w:ascii="Arial" w:cs="Arial" w:eastAsia="Arial" w:hAnsi="Arial"/>
          <w:sz w:val="13"/>
          <w:szCs w:val="13"/>
          <w:color w:val="auto"/>
        </w:rPr>
        <w:t>. The Corporation may also have offices at such other places both within and without the State of Delaware as the Board of Directors may from time to time</w:t>
      </w:r>
    </w:p>
    <w:p>
      <w:pPr>
        <w:spacing w:after="0" w:line="33" w:lineRule="exact"/>
        <w:rPr>
          <w:sz w:val="20"/>
          <w:szCs w:val="20"/>
          <w:color w:val="auto"/>
        </w:rPr>
      </w:pPr>
    </w:p>
    <w:p>
      <w:pPr>
        <w:spacing w:after="0"/>
        <w:rPr>
          <w:sz w:val="20"/>
          <w:szCs w:val="20"/>
          <w:color w:val="auto"/>
        </w:rPr>
      </w:pPr>
      <w:r>
        <w:rPr>
          <w:rFonts w:ascii="Arial" w:cs="Arial" w:eastAsia="Arial" w:hAnsi="Arial"/>
          <w:sz w:val="14"/>
          <w:szCs w:val="14"/>
          <w:color w:val="auto"/>
        </w:rPr>
        <w:t>determine.</w:t>
      </w:r>
    </w:p>
    <w:p>
      <w:pPr>
        <w:spacing w:after="0" w:line="283"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II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MEETINGS OF STOCKHOLDERS</w:t>
      </w:r>
    </w:p>
    <w:p>
      <w:pPr>
        <w:spacing w:after="0" w:line="302" w:lineRule="exact"/>
        <w:rPr>
          <w:sz w:val="20"/>
          <w:szCs w:val="20"/>
          <w:color w:val="auto"/>
        </w:rPr>
      </w:pPr>
    </w:p>
    <w:p>
      <w:pPr>
        <w:jc w:val="both"/>
        <w:ind w:firstLine="667"/>
        <w:spacing w:after="0" w:line="263" w:lineRule="auto"/>
        <w:rPr>
          <w:sz w:val="20"/>
          <w:szCs w:val="20"/>
          <w:color w:val="auto"/>
        </w:rPr>
      </w:pPr>
      <w:r>
        <w:rPr>
          <w:rFonts w:ascii="Arial" w:cs="Arial" w:eastAsia="Arial" w:hAnsi="Arial"/>
          <w:sz w:val="14"/>
          <w:szCs w:val="14"/>
          <w:color w:val="auto"/>
        </w:rPr>
        <w:t xml:space="preserve">Section 2.1 </w:t>
      </w:r>
      <w:r>
        <w:rPr>
          <w:rFonts w:ascii="Arial" w:cs="Arial" w:eastAsia="Arial" w:hAnsi="Arial"/>
          <w:sz w:val="14"/>
          <w:szCs w:val="14"/>
          <w:u w:val="single" w:color="auto"/>
          <w:color w:val="auto"/>
        </w:rPr>
        <w:t>Place of Meetings</w:t>
      </w:r>
      <w:r>
        <w:rPr>
          <w:rFonts w:ascii="Arial" w:cs="Arial" w:eastAsia="Arial" w:hAnsi="Arial"/>
          <w:sz w:val="14"/>
          <w:szCs w:val="14"/>
          <w:color w:val="auto"/>
        </w:rPr>
        <w:t>. Meetings of the stockholders for the election of directors or for any other purpose shall be held at such time and place, either within or without the State of Delaware as shall be designated from time to time by the Board of Directors or, in the absence of a designation by the Board of Directors, by the Chair of the Board or the Chief Executive Officer, and stated in the written notice of the meeting. Notwithstanding the foregoing, the Board of Directors may, in its sole discretion, determine that meetings of the stockholders will not be held at any place, but may instead by held by means of remote communications. The Board of Directors or the Chair of the Board may postpone any previously scheduled Annual or Special Meeting of Stockholders.</w:t>
      </w:r>
    </w:p>
    <w:p>
      <w:pPr>
        <w:spacing w:after="0" w:line="262"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2.2 </w:t>
      </w:r>
      <w:r>
        <w:rPr>
          <w:rFonts w:ascii="Arial" w:cs="Arial" w:eastAsia="Arial" w:hAnsi="Arial"/>
          <w:sz w:val="14"/>
          <w:szCs w:val="14"/>
          <w:u w:val="single" w:color="auto"/>
          <w:color w:val="auto"/>
        </w:rPr>
        <w:t>Annual Meetings</w:t>
      </w:r>
      <w:r>
        <w:rPr>
          <w:rFonts w:ascii="Arial" w:cs="Arial" w:eastAsia="Arial" w:hAnsi="Arial"/>
          <w:sz w:val="14"/>
          <w:szCs w:val="14"/>
          <w:color w:val="auto"/>
        </w:rPr>
        <w:t>. The Annual Meetings of Stockholders for the election of directors shall be held on such date and at such time as shall be designated from time to time by the Board of Directors. At the Annual Meeting of Stockholders, the stockholders will elect directors of the Corporation and transact any other business as brought before the meeting in accordance with these By-laws.</w:t>
      </w:r>
    </w:p>
    <w:p>
      <w:pPr>
        <w:spacing w:after="0" w:line="256" w:lineRule="exact"/>
        <w:rPr>
          <w:sz w:val="20"/>
          <w:szCs w:val="20"/>
          <w:color w:val="auto"/>
        </w:rPr>
      </w:pPr>
    </w:p>
    <w:p>
      <w:pPr>
        <w:jc w:val="both"/>
        <w:ind w:firstLine="667"/>
        <w:spacing w:after="0" w:line="292" w:lineRule="auto"/>
        <w:rPr>
          <w:sz w:val="20"/>
          <w:szCs w:val="20"/>
          <w:color w:val="auto"/>
        </w:rPr>
      </w:pPr>
      <w:r>
        <w:rPr>
          <w:rFonts w:ascii="Arial" w:cs="Arial" w:eastAsia="Arial" w:hAnsi="Arial"/>
          <w:sz w:val="13"/>
          <w:szCs w:val="13"/>
          <w:color w:val="auto"/>
        </w:rPr>
        <w:t xml:space="preserve">Section 2.3 </w:t>
      </w:r>
      <w:r>
        <w:rPr>
          <w:rFonts w:ascii="Arial" w:cs="Arial" w:eastAsia="Arial" w:hAnsi="Arial"/>
          <w:sz w:val="13"/>
          <w:szCs w:val="13"/>
          <w:u w:val="single" w:color="auto"/>
          <w:color w:val="auto"/>
        </w:rPr>
        <w:t>Special Meetings</w:t>
      </w:r>
      <w:r>
        <w:rPr>
          <w:rFonts w:ascii="Arial" w:cs="Arial" w:eastAsia="Arial" w:hAnsi="Arial"/>
          <w:sz w:val="13"/>
          <w:szCs w:val="13"/>
          <w:color w:val="auto"/>
        </w:rPr>
        <w:t>. Unless otherwise required by law or by the certificate of incorporation of the Corporation, as amended and restated from time to time (the "Certificate of Incorporation"), Special Meetings of Stockholders, for any purpose or purposes, may be called only by (i) the Chief Executive Officer, pursuant to a resolution adopted by a majority of the Board of Directors or by a committee of the Board of Directors that has been duly designated by the Board of Directors and whose powers and authority include the power to call such meetings or (ii) the Chair of the Board of Directors. At a Special Meeting of Stockholders, only such business shall be conducted as shall be specified in the notice of meeting (or any supplement thereto).</w:t>
      </w:r>
    </w:p>
    <w:p>
      <w:pPr>
        <w:spacing w:after="0" w:line="245"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2.4 </w:t>
      </w:r>
      <w:r>
        <w:rPr>
          <w:rFonts w:ascii="Arial" w:cs="Arial" w:eastAsia="Arial" w:hAnsi="Arial"/>
          <w:sz w:val="14"/>
          <w:szCs w:val="14"/>
          <w:u w:val="single" w:color="auto"/>
          <w:color w:val="auto"/>
        </w:rPr>
        <w:t>Notice</w:t>
      </w:r>
      <w:r>
        <w:rPr>
          <w:rFonts w:ascii="Arial" w:cs="Arial" w:eastAsia="Arial" w:hAnsi="Arial"/>
          <w:sz w:val="14"/>
          <w:szCs w:val="14"/>
          <w:color w:val="auto"/>
        </w:rPr>
        <w:t>. Whenever stockholders are required or permitted to take any action at a meeting, a written notice of the meeting shall be given which shall state the place, date and hour of the meeting, the means of remote communications, if any, by which stockholders and proxyholders may be</w:t>
      </w:r>
    </w:p>
    <w:p>
      <w:pPr>
        <w:sectPr>
          <w:pgSz w:w="11900" w:h="16838" w:orient="portrait"/>
          <w:cols w:equalWidth="0" w:num="1">
            <w:col w:w="11480"/>
          </w:cols>
          <w:pgMar w:left="220" w:top="435" w:right="199" w:bottom="1440" w:gutter="0" w:footer="0" w:header="0"/>
        </w:sectPr>
      </w:pPr>
    </w:p>
    <w:bookmarkStart w:id="75" w:name="page76"/>
    <w:bookmarkEnd w:id="75"/>
    <w:p>
      <w:pPr>
        <w:jc w:val="both"/>
        <w:spacing w:after="0" w:line="271" w:lineRule="auto"/>
        <w:rPr>
          <w:sz w:val="20"/>
          <w:szCs w:val="20"/>
          <w:color w:val="auto"/>
        </w:rPr>
      </w:pPr>
      <w:r>
        <w:rPr>
          <w:rFonts w:ascii="Arial" w:cs="Arial" w:eastAsia="Arial" w:hAnsi="Arial"/>
          <w:sz w:val="14"/>
          <w:szCs w:val="14"/>
          <w:color w:val="auto"/>
        </w:rPr>
        <w:t>deemed present in person and vote at such meeting, and, in the case of a special meeting, the purpose or purposes for which the meeting is called. Unless otherwise required by law and subject to Section 2 of ARTICLE VII hereof, the written notice of any meeting shall be given not less than ten nor more than 60 days before the date of the meeting to each stockholder of record entitled to vote at such meeting.</w:t>
      </w:r>
    </w:p>
    <w:p>
      <w:pPr>
        <w:spacing w:after="0" w:line="256"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2.5 </w:t>
      </w:r>
      <w:r>
        <w:rPr>
          <w:rFonts w:ascii="Arial" w:cs="Arial" w:eastAsia="Arial" w:hAnsi="Arial"/>
          <w:sz w:val="14"/>
          <w:szCs w:val="14"/>
          <w:u w:val="single" w:color="auto"/>
          <w:color w:val="auto"/>
        </w:rPr>
        <w:t>List of Stockholders</w:t>
      </w:r>
      <w:r>
        <w:rPr>
          <w:rFonts w:ascii="Arial" w:cs="Arial" w:eastAsia="Arial" w:hAnsi="Arial"/>
          <w:sz w:val="14"/>
          <w:szCs w:val="14"/>
          <w:color w:val="auto"/>
        </w:rPr>
        <w:t>. A complete list of the stockholders entitled to vote at any meeting of stockholders, arranged in alphabetical order, and showing the address of each stockholder and the number of shares registered in the name of each stockholder, shall be prepared by the Secretary and shall be open to the examination of any stockholder, for any purpose germane to the meeting, during ordinary business hours, either at a place within the city where the meeting is to be held, which place shall be specified in the notice of the meeting, or, if not so specified, at the place where the meeting is to be held, for at least ten days before the meeting and at the place of the meeting during the whole time of the meeting.</w:t>
      </w:r>
    </w:p>
    <w:p>
      <w:pPr>
        <w:spacing w:after="0" w:line="262"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3"/>
          <w:szCs w:val="13"/>
          <w:color w:val="auto"/>
        </w:rPr>
        <w:t xml:space="preserve">Section 2.6 </w:t>
      </w:r>
      <w:r>
        <w:rPr>
          <w:rFonts w:ascii="Arial" w:cs="Arial" w:eastAsia="Arial" w:hAnsi="Arial"/>
          <w:sz w:val="13"/>
          <w:szCs w:val="13"/>
          <w:u w:val="single" w:color="auto"/>
          <w:color w:val="auto"/>
        </w:rPr>
        <w:t>Quorum</w:t>
      </w:r>
      <w:r>
        <w:rPr>
          <w:rFonts w:ascii="Arial" w:cs="Arial" w:eastAsia="Arial" w:hAnsi="Arial"/>
          <w:sz w:val="13"/>
          <w:szCs w:val="13"/>
          <w:color w:val="auto"/>
        </w:rPr>
        <w:t>. Unless otherwise required by law or the Certificate of Incorporation, or as provided by the Delaware General Corporation Law (the "DGCL"), the holders of a majority of the capital stock issued and outstanding and entitled to vote thereat, present in person, by means of remote communication, if applicable, or represented by proxy, shall constitute a quorum at all meetings of the stockholders for the transaction of business. In the event of a lack of a quorum, the chair of the meeting or a majority in interest of the stockholders present in person, by means of remote communication, if applicable, or represented by proxy may adjourn the meeting from time to time without notice other than an announcement at the meeting, until a quorum shall be obtained. At any such adjourned meeting at which there is a quorum, any business may be transacted that might have been transacted at the meeting originally called.</w:t>
      </w:r>
    </w:p>
    <w:p>
      <w:pPr>
        <w:spacing w:after="0" w:line="250"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2.7 </w:t>
      </w:r>
      <w:r>
        <w:rPr>
          <w:rFonts w:ascii="Arial" w:cs="Arial" w:eastAsia="Arial" w:hAnsi="Arial"/>
          <w:sz w:val="14"/>
          <w:szCs w:val="14"/>
          <w:u w:val="single" w:color="auto"/>
          <w:color w:val="auto"/>
        </w:rPr>
        <w:t>Organization</w:t>
      </w:r>
      <w:r>
        <w:rPr>
          <w:rFonts w:ascii="Arial" w:cs="Arial" w:eastAsia="Arial" w:hAnsi="Arial"/>
          <w:sz w:val="14"/>
          <w:szCs w:val="14"/>
          <w:color w:val="auto"/>
        </w:rPr>
        <w:t>. The Chair of the Board, or, in the absence of the Chair of the Board, the Chief Executive Officer, or, in the absence of the Chair of the Board and the Chief Executive Officer, any Executive Vice President, shall preside at meetings of stockholders. The Secretary of the Corporation shall act as secretary, but in the absence of the Secretary, the presiding officer may appoint a secretary.</w:t>
      </w:r>
    </w:p>
    <w:p>
      <w:pPr>
        <w:spacing w:after="0" w:line="256" w:lineRule="exact"/>
        <w:rPr>
          <w:sz w:val="20"/>
          <w:szCs w:val="20"/>
          <w:color w:val="auto"/>
        </w:rPr>
      </w:pPr>
    </w:p>
    <w:p>
      <w:pPr>
        <w:ind w:left="660"/>
        <w:spacing w:after="0"/>
        <w:rPr>
          <w:sz w:val="20"/>
          <w:szCs w:val="20"/>
          <w:color w:val="auto"/>
        </w:rPr>
      </w:pPr>
      <w:r>
        <w:rPr>
          <w:rFonts w:ascii="Arial" w:cs="Arial" w:eastAsia="Arial" w:hAnsi="Arial"/>
          <w:sz w:val="14"/>
          <w:szCs w:val="14"/>
          <w:color w:val="auto"/>
        </w:rPr>
        <w:t xml:space="preserve">Section 2.8 </w:t>
      </w:r>
      <w:r>
        <w:rPr>
          <w:rFonts w:ascii="Arial" w:cs="Arial" w:eastAsia="Arial" w:hAnsi="Arial"/>
          <w:sz w:val="14"/>
          <w:szCs w:val="14"/>
          <w:u w:val="single" w:color="auto"/>
          <w:color w:val="auto"/>
        </w:rPr>
        <w:t>Stockholder Nominations and Proposals</w:t>
      </w:r>
      <w:r>
        <w:rPr>
          <w:rFonts w:ascii="Arial" w:cs="Arial" w:eastAsia="Arial" w:hAnsi="Arial"/>
          <w:sz w:val="14"/>
          <w:szCs w:val="14"/>
          <w:color w:val="auto"/>
        </w:rPr>
        <w:t>.</w:t>
      </w:r>
    </w:p>
    <w:p>
      <w:pPr>
        <w:spacing w:after="0" w:line="154" w:lineRule="exact"/>
        <w:rPr>
          <w:sz w:val="20"/>
          <w:szCs w:val="20"/>
          <w:color w:val="auto"/>
        </w:rPr>
      </w:pPr>
    </w:p>
    <w:p>
      <w:pPr>
        <w:jc w:val="both"/>
        <w:ind w:left="420" w:firstLine="437"/>
        <w:spacing w:after="0" w:line="260" w:lineRule="auto"/>
        <w:tabs>
          <w:tab w:leader="none" w:pos="1368" w:val="left"/>
        </w:tabs>
        <w:numPr>
          <w:ilvl w:val="0"/>
          <w:numId w:val="48"/>
        </w:numPr>
        <w:rPr>
          <w:rFonts w:ascii="Arial" w:cs="Arial" w:eastAsia="Arial" w:hAnsi="Arial"/>
          <w:sz w:val="12"/>
          <w:szCs w:val="12"/>
          <w:color w:val="auto"/>
        </w:rPr>
      </w:pPr>
      <w:r>
        <w:rPr>
          <w:rFonts w:ascii="Arial" w:cs="Arial" w:eastAsia="Arial" w:hAnsi="Arial"/>
          <w:sz w:val="14"/>
          <w:szCs w:val="14"/>
          <w:color w:val="auto"/>
        </w:rPr>
        <w:t>No proposal for a stockholder vote shall be submitted by a stockholder (a "Stockholder Proposal") to the Corporation's stockholders unless the stockholder submitting such proposal (the "Proponent") shall have filed a written notice setting forth with particularity (i) the names and business addresses of the Proponent and all Persons (as such term is defined in Section 3(a)(9) of the Securities Exchange Act of 1934, as amended through the date of adoption of these Bylaws) acting in concert with the Proponent; (ii) the names and addresses of the Proponent and the Persons identified in clause (i), as they appear on the Corporation's books (if they so appear); (iii) the class and number of shares of the Corporation beneficially owned by the Proponent and the Persons identified in clause (i); (iv) a description of the Stockholder Proposal containing all material information relating thereto; and (v) such other information as the Board of Directors reasonably determines is necessary or appropriate to enable the Board of Directors and stockholders of the Corporation to consider the Stockholder Proposal. Upon receipt of the Stockholder Proposal and prior to the stockholder meeting at which such Stockholder Proposal will be considered, if the Board of Directors or a designated committee or the officer who will preside at the stockholders meeting determines that the information provided in a Stockholder Proposal does not satisfy the informational requirements of these Bylaws or is otherwise not in accordance with law, the Secretary of the Corporation shall promptly notify such Proponent of the deficiency in the notice. Such Proponent shall have an opportunity to cure the deficiency by providing additional</w:t>
      </w:r>
    </w:p>
    <w:p>
      <w:pPr>
        <w:sectPr>
          <w:pgSz w:w="11900" w:h="16838" w:orient="portrait"/>
          <w:cols w:equalWidth="0" w:num="1">
            <w:col w:w="11480"/>
          </w:cols>
          <w:pgMar w:left="220" w:top="585" w:right="199" w:bottom="1440" w:gutter="0" w:footer="0" w:header="0"/>
        </w:sectPr>
      </w:pPr>
    </w:p>
    <w:bookmarkStart w:id="76" w:name="page77"/>
    <w:bookmarkEnd w:id="76"/>
    <w:p>
      <w:pPr>
        <w:jc w:val="both"/>
        <w:ind w:left="428"/>
        <w:spacing w:after="0" w:line="259" w:lineRule="auto"/>
        <w:rPr>
          <w:sz w:val="20"/>
          <w:szCs w:val="20"/>
          <w:color w:val="auto"/>
        </w:rPr>
      </w:pPr>
      <w:r>
        <w:rPr>
          <w:rFonts w:ascii="Arial" w:cs="Arial" w:eastAsia="Arial" w:hAnsi="Arial"/>
          <w:sz w:val="14"/>
          <w:szCs w:val="14"/>
          <w:color w:val="auto"/>
        </w:rPr>
        <w:t>information to the Secretary within the period of time, not to exceed five days from the date such deficiency notice is given to the Proponent, determined by the Board of Directors, such committee or such officer. If the deficiency is not cured within such period, or if the Board of Directors, such committee or such officer determines that the additional information provided by the Proponent, together with the information previously provided, does not satisfy the requirements of this Section 2.8, then such proposal shall not be presented for action at the meeting in question.</w:t>
      </w:r>
    </w:p>
    <w:p>
      <w:pPr>
        <w:spacing w:after="0" w:line="1" w:lineRule="exact"/>
        <w:rPr>
          <w:sz w:val="20"/>
          <w:szCs w:val="20"/>
          <w:color w:val="auto"/>
        </w:rPr>
      </w:pPr>
    </w:p>
    <w:p>
      <w:pPr>
        <w:jc w:val="both"/>
        <w:ind w:left="8" w:firstLine="424"/>
        <w:spacing w:after="0" w:line="275" w:lineRule="auto"/>
        <w:tabs>
          <w:tab w:leader="none" w:pos="963" w:val="left"/>
        </w:tabs>
        <w:numPr>
          <w:ilvl w:val="1"/>
          <w:numId w:val="49"/>
        </w:numPr>
        <w:rPr>
          <w:rFonts w:ascii="Arial" w:cs="Arial" w:eastAsia="Arial" w:hAnsi="Arial"/>
          <w:sz w:val="11"/>
          <w:szCs w:val="11"/>
          <w:color w:val="auto"/>
        </w:rPr>
      </w:pPr>
      <w:r>
        <w:rPr>
          <w:rFonts w:ascii="Arial" w:cs="Arial" w:eastAsia="Arial" w:hAnsi="Arial"/>
          <w:sz w:val="13"/>
          <w:szCs w:val="13"/>
          <w:color w:val="auto"/>
        </w:rPr>
        <w:t>Only persons who are selected and recommended by the Board of Directors or the Nominating Committee thereof, or who are nominated by stockholders in accordance with the procedures set forth in this Section 2.8, shall be eligible for election, or qualified to serve, as directors. Nominations of individuals for election to the Board of Directors of the Corporation at any annual meeting or any special meeting of stockholders at which directors are to be elected may be made by any stockholder of the Corporation entitled to vote for the election of directors at that meeting by compliance with the procedures set forth in this Section 2.8. Nominations by stockholders shall be made by written notice (a "Nomination Notice"), which shall set forth (i) as to each individual nominated, (A) the name, date of birth, business address and residence address of such individual; (B) the business experience during the past five years of such nominee, including his or her principal occupations and employment during such period, the name and principal business of any corporation or other organization in which such occupations and employment were carried on and such other information as to the nature of his or her responsibilities and level of professional competence as may be sufficient to permit assessment of his or her prior business experience; (C) whether the nominee is or has ever been at any time a director, officer or owner of 5% or more of any class of capital stock, partnership interests or other equity interest of any corporation, partnership or other entity; (D) any directorships held by such nominee in any company with a class of securities registered pursuant to section 12 of the Securities Exchange Act of 1934, as amended, or subject to the requirements of section 15(d) of such Act or any company registered as an investment company under the Investment Company Act of 1940, as amended; and (E) whether, in the last five years, such nominee has been convicted in a criminal proceeding or has been subject to a judgment, order, finding or decree of any federal, state or other governmental entity, concerning any violation of federal, state or other law, or any proceeding in bankruptcy, which conviction, judgment, order, finding, decree or proceeding may be material to an evaluation of the ability or integrity of the nominee; and (ii) as to the Person submitting the Nomination Notice and any Person acting in concert with such Person, (x) the name and business address of such Persons,</w:t>
      </w:r>
    </w:p>
    <w:p>
      <w:pPr>
        <w:spacing w:after="0" w:line="6" w:lineRule="exact"/>
        <w:rPr>
          <w:rFonts w:ascii="Arial" w:cs="Arial" w:eastAsia="Arial" w:hAnsi="Arial"/>
          <w:sz w:val="11"/>
          <w:szCs w:val="11"/>
          <w:color w:val="auto"/>
        </w:rPr>
      </w:pPr>
    </w:p>
    <w:p>
      <w:pPr>
        <w:jc w:val="both"/>
        <w:ind w:left="8" w:hanging="8"/>
        <w:spacing w:after="0" w:line="255" w:lineRule="auto"/>
        <w:tabs>
          <w:tab w:leader="none" w:pos="214" w:val="left"/>
        </w:tabs>
        <w:numPr>
          <w:ilvl w:val="0"/>
          <w:numId w:val="50"/>
        </w:numPr>
        <w:rPr>
          <w:rFonts w:ascii="Arial" w:cs="Arial" w:eastAsia="Arial" w:hAnsi="Arial"/>
          <w:sz w:val="14"/>
          <w:szCs w:val="14"/>
          <w:color w:val="auto"/>
        </w:rPr>
      </w:pPr>
      <w:r>
        <w:rPr>
          <w:rFonts w:ascii="Arial" w:cs="Arial" w:eastAsia="Arial" w:hAnsi="Arial"/>
          <w:sz w:val="14"/>
          <w:szCs w:val="14"/>
          <w:color w:val="auto"/>
        </w:rPr>
        <w:t>the name and address of such Persons and as they appear on the Corporation's books (if they so appear) and (z) the class and number of shares of the Corporation which are beneficially owned by such Persons. A written consent to being named in a proxy statement as a nominee, and to serve as a director if elected, signed by the nominee, shall be filed with any Nomination Notice. If the presiding officer at any stockholders meeting determines that a nomination was not made in accordance with the procedures prescribed by these Bylaws, he shall so declare to the meeting and the defective nomination shall be disregarded.</w:t>
      </w:r>
    </w:p>
    <w:p>
      <w:pPr>
        <w:jc w:val="both"/>
        <w:ind w:left="8" w:firstLine="424"/>
        <w:spacing w:after="0" w:line="260" w:lineRule="auto"/>
        <w:tabs>
          <w:tab w:leader="none" w:pos="956" w:val="left"/>
        </w:tabs>
        <w:numPr>
          <w:ilvl w:val="1"/>
          <w:numId w:val="50"/>
        </w:numPr>
        <w:rPr>
          <w:rFonts w:ascii="Arial" w:cs="Arial" w:eastAsia="Arial" w:hAnsi="Arial"/>
          <w:sz w:val="12"/>
          <w:szCs w:val="12"/>
          <w:color w:val="auto"/>
        </w:rPr>
      </w:pPr>
      <w:r>
        <w:rPr>
          <w:rFonts w:ascii="Arial" w:cs="Arial" w:eastAsia="Arial" w:hAnsi="Arial"/>
          <w:sz w:val="14"/>
          <w:szCs w:val="14"/>
          <w:color w:val="auto"/>
        </w:rPr>
        <w:t>Nomination Notices and Stockholder Proposals shall be delivered to the Secretary at the principal executive office of the Corporation not less than sixty and not more than ninety days prior to the date of the meeting of stockholders if such Nomination Notice or Stockholder Proposal is to be submitted at an annual stockholders meeting (provided, however, that if such annual meeting is called to be held before the date specified in Section 2.2 hereof, such Nomination Notice or Stockholder Proposal shall be so delivered no later than the close of business on the tenth day following the day on which notice of the date of the annual stockholders meeting was given). Nomination Notices and Stockholder Proposals shall be delivered to the Secretary at the principal executive office of the Corporation no later than the close of business on the tenth day following the day on which notice of the date of a special meeting of stockholders was given if the Nomination Notice or Stockholder Proposal is to be submitted at a special stockholders meeting.</w:t>
      </w:r>
    </w:p>
    <w:p>
      <w:pPr>
        <w:sectPr>
          <w:pgSz w:w="11900" w:h="16838" w:orient="portrait"/>
          <w:cols w:equalWidth="0" w:num="1">
            <w:col w:w="11488"/>
          </w:cols>
          <w:pgMar w:left="212" w:top="440" w:right="199" w:bottom="1440" w:gutter="0" w:footer="0" w:header="0"/>
        </w:sectPr>
      </w:pPr>
    </w:p>
    <w:bookmarkStart w:id="77" w:name="page78"/>
    <w:bookmarkEnd w:id="77"/>
    <w:p>
      <w:pPr>
        <w:jc w:val="both"/>
        <w:ind w:firstLine="667"/>
        <w:spacing w:after="0" w:line="271" w:lineRule="auto"/>
        <w:rPr>
          <w:sz w:val="20"/>
          <w:szCs w:val="20"/>
          <w:color w:val="auto"/>
        </w:rPr>
      </w:pPr>
      <w:r>
        <w:rPr>
          <w:rFonts w:ascii="Arial" w:cs="Arial" w:eastAsia="Arial" w:hAnsi="Arial"/>
          <w:sz w:val="14"/>
          <w:szCs w:val="14"/>
          <w:color w:val="auto"/>
        </w:rPr>
        <w:t xml:space="preserve">Section 2.9 </w:t>
      </w:r>
      <w:r>
        <w:rPr>
          <w:rFonts w:ascii="Arial" w:cs="Arial" w:eastAsia="Arial" w:hAnsi="Arial"/>
          <w:sz w:val="14"/>
          <w:szCs w:val="14"/>
          <w:u w:val="single" w:color="auto"/>
          <w:color w:val="auto"/>
        </w:rPr>
        <w:t>Voting</w:t>
      </w:r>
      <w:r>
        <w:rPr>
          <w:rFonts w:ascii="Arial" w:cs="Arial" w:eastAsia="Arial" w:hAnsi="Arial"/>
          <w:sz w:val="14"/>
          <w:szCs w:val="14"/>
          <w:color w:val="auto"/>
        </w:rPr>
        <w:t>. Unless otherwise required by law, the Certificate of Incorporation or these By-laws, any question brought before any meeting of stockholders, other than the election of directors, shall be decided by the vote of the holders of a majority of the total number of votes of the capital stock represented and entitled to vote thereat, voting as a single class. Abstentions shall not be considered to be votes cast.</w:t>
      </w:r>
    </w:p>
    <w:p>
      <w:pPr>
        <w:spacing w:after="0" w:line="256" w:lineRule="exact"/>
        <w:rPr>
          <w:sz w:val="20"/>
          <w:szCs w:val="20"/>
          <w:color w:val="auto"/>
        </w:rPr>
      </w:pPr>
    </w:p>
    <w:p>
      <w:pPr>
        <w:jc w:val="both"/>
        <w:ind w:firstLine="667"/>
        <w:spacing w:after="0" w:line="327" w:lineRule="auto"/>
        <w:rPr>
          <w:sz w:val="20"/>
          <w:szCs w:val="20"/>
          <w:color w:val="auto"/>
        </w:rPr>
      </w:pPr>
      <w:r>
        <w:rPr>
          <w:rFonts w:ascii="Arial" w:cs="Arial" w:eastAsia="Arial" w:hAnsi="Arial"/>
          <w:sz w:val="13"/>
          <w:szCs w:val="13"/>
          <w:color w:val="auto"/>
        </w:rPr>
        <w:t xml:space="preserve">Section 2.10 </w:t>
      </w:r>
      <w:r>
        <w:rPr>
          <w:rFonts w:ascii="Arial" w:cs="Arial" w:eastAsia="Arial" w:hAnsi="Arial"/>
          <w:sz w:val="13"/>
          <w:szCs w:val="13"/>
          <w:u w:val="single" w:color="auto"/>
          <w:color w:val="auto"/>
        </w:rPr>
        <w:t>Inspectors</w:t>
      </w:r>
      <w:r>
        <w:rPr>
          <w:rFonts w:ascii="Arial" w:cs="Arial" w:eastAsia="Arial" w:hAnsi="Arial"/>
          <w:sz w:val="13"/>
          <w:szCs w:val="13"/>
          <w:color w:val="auto"/>
        </w:rPr>
        <w:t>. Votes by written ballot at any meeting of stockholders may be conducted by one or more inspectors, appointed for that purpose, either by the Board of Directors or by the chair of the meeting. The inspector or inspectors may decide upon the qualifications of voters and the validity of proxies, and may count the votes and declare the results.</w:t>
      </w:r>
    </w:p>
    <w:p>
      <w:pPr>
        <w:spacing w:after="0" w:line="223"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2.11 </w:t>
      </w:r>
      <w:r>
        <w:rPr>
          <w:rFonts w:ascii="Arial" w:cs="Arial" w:eastAsia="Arial" w:hAnsi="Arial"/>
          <w:sz w:val="14"/>
          <w:szCs w:val="14"/>
          <w:u w:val="single" w:color="auto"/>
          <w:color w:val="auto"/>
        </w:rPr>
        <w:t>Remote Communications</w:t>
      </w:r>
      <w:r>
        <w:rPr>
          <w:rFonts w:ascii="Arial" w:cs="Arial" w:eastAsia="Arial" w:hAnsi="Arial"/>
          <w:sz w:val="14"/>
          <w:szCs w:val="14"/>
          <w:color w:val="auto"/>
        </w:rPr>
        <w:t>. If authorized by the Board of Directors and subject to the guidelines and procedures as the Board of Directors may from time to time adopt, stockholders and proxyholders not physically present at a meeting of stockholders may participate in such meeting by means of remote communication, so long as the stockholder or proxyholder participating in the meeting can read or hear the proceedings of the meeting substantially concurrently with such proceedings.</w:t>
      </w:r>
    </w:p>
    <w:p>
      <w:pPr>
        <w:spacing w:after="0" w:line="108" w:lineRule="exact"/>
        <w:rPr>
          <w:sz w:val="20"/>
          <w:szCs w:val="20"/>
          <w:color w:val="auto"/>
        </w:rPr>
      </w:pPr>
    </w:p>
    <w:p>
      <w:pPr>
        <w:ind w:left="5300"/>
        <w:spacing w:after="0"/>
        <w:rPr>
          <w:sz w:val="20"/>
          <w:szCs w:val="20"/>
          <w:color w:val="auto"/>
        </w:rPr>
      </w:pPr>
      <w:r>
        <w:rPr>
          <w:rFonts w:ascii="Arial" w:cs="Arial" w:eastAsia="Arial" w:hAnsi="Arial"/>
          <w:sz w:val="14"/>
          <w:szCs w:val="14"/>
          <w:b w:val="1"/>
          <w:bCs w:val="1"/>
          <w:color w:val="auto"/>
        </w:rPr>
        <w:t>ARTICLE III</w:t>
      </w:r>
    </w:p>
    <w:p>
      <w:pPr>
        <w:spacing w:after="0" w:line="25" w:lineRule="exact"/>
        <w:rPr>
          <w:sz w:val="20"/>
          <w:szCs w:val="20"/>
          <w:color w:val="auto"/>
        </w:rPr>
      </w:pPr>
    </w:p>
    <w:p>
      <w:pPr>
        <w:ind w:left="5300"/>
        <w:spacing w:after="0"/>
        <w:rPr>
          <w:sz w:val="20"/>
          <w:szCs w:val="20"/>
          <w:color w:val="auto"/>
        </w:rPr>
      </w:pPr>
      <w:r>
        <w:rPr>
          <w:rFonts w:ascii="Arial" w:cs="Arial" w:eastAsia="Arial" w:hAnsi="Arial"/>
          <w:sz w:val="14"/>
          <w:szCs w:val="14"/>
          <w:b w:val="1"/>
          <w:bCs w:val="1"/>
          <w:color w:val="auto"/>
        </w:rPr>
        <w:t>DIRECTORS</w:t>
      </w:r>
    </w:p>
    <w:p>
      <w:pPr>
        <w:spacing w:after="0" w:line="143" w:lineRule="exact"/>
        <w:rPr>
          <w:sz w:val="20"/>
          <w:szCs w:val="20"/>
          <w:color w:val="auto"/>
        </w:rPr>
      </w:pPr>
    </w:p>
    <w:p>
      <w:pPr>
        <w:jc w:val="both"/>
        <w:ind w:firstLine="667"/>
        <w:spacing w:after="0" w:line="259" w:lineRule="auto"/>
        <w:rPr>
          <w:sz w:val="20"/>
          <w:szCs w:val="20"/>
          <w:color w:val="auto"/>
        </w:rPr>
      </w:pPr>
      <w:r>
        <w:rPr>
          <w:rFonts w:ascii="Arial" w:cs="Arial" w:eastAsia="Arial" w:hAnsi="Arial"/>
          <w:sz w:val="14"/>
          <w:szCs w:val="14"/>
          <w:color w:val="auto"/>
        </w:rPr>
        <w:t xml:space="preserve">Section 3.1 </w:t>
      </w:r>
      <w:r>
        <w:rPr>
          <w:rFonts w:ascii="Arial" w:cs="Arial" w:eastAsia="Arial" w:hAnsi="Arial"/>
          <w:sz w:val="14"/>
          <w:szCs w:val="14"/>
          <w:u w:val="single" w:color="auto"/>
          <w:color w:val="auto"/>
        </w:rPr>
        <w:t>Number and Election of Directors</w:t>
      </w:r>
      <w:r>
        <w:rPr>
          <w:rFonts w:ascii="Arial" w:cs="Arial" w:eastAsia="Arial" w:hAnsi="Arial"/>
          <w:sz w:val="14"/>
          <w:szCs w:val="14"/>
          <w:color w:val="auto"/>
        </w:rPr>
        <w:t>. The Board of Directors shall consist of not less than one nor more than fifteen members, the exact number of which shall initially be fixed by the Incorporator and thereafter from time to time by a majority vote of the members of the Board of Directors then in office, provided that no amendment to the Bylaws decreasing the number of directors shall have the effect of shortening the term of any incumbent director and provided that the number of directors shall not be increased by fifty percent (50%) or more in any twelve-month period without the approval of at least sixty-six percent (66%) of the members of the Board of Directors then in office. Except as provided in Section 3.3 hereof, directors shall be elected by a majority of the votes cast at the Annual Meetings of Stockholders and each director so elected shall hold office until the next Annual Meeting of Stockholders and until such director's successor is duly elected and qualified, or until such director's earlier death, resignation or removal; provided that if the number of nominees exceeds the number of directors to be elected, each director shall be elected by the vote of a plurality of the votes cast. For purposes of this Section, a majority of the votes cast means that the number of votes cast “for” a director nominee must exceed the votes cast “against” that nominee. Directors need not be stockholders.</w:t>
      </w:r>
    </w:p>
    <w:p>
      <w:pPr>
        <w:spacing w:after="0" w:line="267"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3.2 </w:t>
      </w:r>
      <w:r>
        <w:rPr>
          <w:rFonts w:ascii="Arial" w:cs="Arial" w:eastAsia="Arial" w:hAnsi="Arial"/>
          <w:sz w:val="14"/>
          <w:szCs w:val="14"/>
          <w:u w:val="single" w:color="auto"/>
          <w:color w:val="auto"/>
        </w:rPr>
        <w:t>Resignation</w:t>
      </w:r>
      <w:r>
        <w:rPr>
          <w:rFonts w:ascii="Arial" w:cs="Arial" w:eastAsia="Arial" w:hAnsi="Arial"/>
          <w:sz w:val="14"/>
          <w:szCs w:val="14"/>
          <w:color w:val="auto"/>
        </w:rPr>
        <w:t>. Any director may resign at any time upon written notice to the Chair of the Board, the Chief Executive Officer or the Secretary. Unless otherwise stated in such notice of resignation, the acceptance thereof shall not be necessary to make it effective; and such resignation shall take effect at the time specified therein or, in the absence of such specification, it shall take effect upon the receipt thereof.</w:t>
      </w:r>
    </w:p>
    <w:p>
      <w:pPr>
        <w:spacing w:after="0" w:line="256" w:lineRule="exact"/>
        <w:rPr>
          <w:sz w:val="20"/>
          <w:szCs w:val="20"/>
          <w:color w:val="auto"/>
        </w:rPr>
      </w:pPr>
    </w:p>
    <w:p>
      <w:pPr>
        <w:jc w:val="both"/>
        <w:ind w:right="20" w:firstLine="667"/>
        <w:spacing w:after="0" w:line="271" w:lineRule="auto"/>
        <w:rPr>
          <w:sz w:val="20"/>
          <w:szCs w:val="20"/>
          <w:color w:val="auto"/>
        </w:rPr>
      </w:pPr>
      <w:r>
        <w:rPr>
          <w:rFonts w:ascii="Arial" w:cs="Arial" w:eastAsia="Arial" w:hAnsi="Arial"/>
          <w:sz w:val="14"/>
          <w:szCs w:val="14"/>
          <w:color w:val="auto"/>
        </w:rPr>
        <w:t xml:space="preserve">Section 3.3 </w:t>
      </w:r>
      <w:r>
        <w:rPr>
          <w:rFonts w:ascii="Arial" w:cs="Arial" w:eastAsia="Arial" w:hAnsi="Arial"/>
          <w:sz w:val="14"/>
          <w:szCs w:val="14"/>
          <w:u w:val="single" w:color="auto"/>
          <w:color w:val="auto"/>
        </w:rPr>
        <w:t>Vacancies and New Directorships</w:t>
      </w:r>
      <w:r>
        <w:rPr>
          <w:rFonts w:ascii="Arial" w:cs="Arial" w:eastAsia="Arial" w:hAnsi="Arial"/>
          <w:sz w:val="14"/>
          <w:szCs w:val="14"/>
          <w:color w:val="auto"/>
        </w:rPr>
        <w:t>. Unless otherwise required by law or the Certificate of Incorporation, vacancies arising through death, resignation, removal, an increase in the number of directors or otherwise may be filled only by a majority of the directors then in office, though less than a quorum, or by a sole remaining director. The directors so chosen shall hold office until the next annual election and until their successors are duly elected and qualified, or until their earlier death, resignation or removal.</w:t>
      </w:r>
    </w:p>
    <w:p>
      <w:pPr>
        <w:spacing w:after="0" w:line="256"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3.4 </w:t>
      </w:r>
      <w:r>
        <w:rPr>
          <w:rFonts w:ascii="Arial" w:cs="Arial" w:eastAsia="Arial" w:hAnsi="Arial"/>
          <w:sz w:val="14"/>
          <w:szCs w:val="14"/>
          <w:u w:val="single" w:color="auto"/>
          <w:color w:val="auto"/>
        </w:rPr>
        <w:t>Duties and Powers</w:t>
      </w:r>
      <w:r>
        <w:rPr>
          <w:rFonts w:ascii="Arial" w:cs="Arial" w:eastAsia="Arial" w:hAnsi="Arial"/>
          <w:sz w:val="14"/>
          <w:szCs w:val="14"/>
          <w:color w:val="auto"/>
        </w:rPr>
        <w:t>. The business and affairs of the Corporation shall be managed by or under the direction of the Board of Directors which may exercise all such powers of the Corporation</w:t>
      </w:r>
    </w:p>
    <w:p>
      <w:pPr>
        <w:sectPr>
          <w:pgSz w:w="11900" w:h="16838" w:orient="portrait"/>
          <w:cols w:equalWidth="0" w:num="1">
            <w:col w:w="11480"/>
          </w:cols>
          <w:pgMar w:left="220" w:top="585" w:right="199" w:bottom="1440" w:gutter="0" w:footer="0" w:header="0"/>
        </w:sectPr>
      </w:pPr>
    </w:p>
    <w:bookmarkStart w:id="78" w:name="page79"/>
    <w:bookmarkEnd w:id="78"/>
    <w:p>
      <w:pPr>
        <w:spacing w:after="0"/>
        <w:rPr>
          <w:sz w:val="20"/>
          <w:szCs w:val="20"/>
          <w:color w:val="auto"/>
        </w:rPr>
      </w:pPr>
      <w:r>
        <w:rPr>
          <w:rFonts w:ascii="Arial" w:cs="Arial" w:eastAsia="Arial" w:hAnsi="Arial"/>
          <w:sz w:val="14"/>
          <w:szCs w:val="14"/>
          <w:color w:val="auto"/>
        </w:rPr>
        <w:t>and do all such lawful acts and things as are not by statute or by the Certificate of Incorporation or by these By-Laws required to be exercised or done by the stockholders.</w:t>
      </w:r>
    </w:p>
    <w:p>
      <w:pPr>
        <w:spacing w:after="0" w:line="298" w:lineRule="exact"/>
        <w:rPr>
          <w:sz w:val="20"/>
          <w:szCs w:val="20"/>
          <w:color w:val="auto"/>
        </w:rPr>
      </w:pPr>
    </w:p>
    <w:p>
      <w:pPr>
        <w:jc w:val="both"/>
        <w:ind w:firstLine="667"/>
        <w:spacing w:after="0" w:line="263" w:lineRule="auto"/>
        <w:rPr>
          <w:sz w:val="20"/>
          <w:szCs w:val="20"/>
          <w:color w:val="auto"/>
        </w:rPr>
      </w:pPr>
      <w:r>
        <w:rPr>
          <w:rFonts w:ascii="Arial" w:cs="Arial" w:eastAsia="Arial" w:hAnsi="Arial"/>
          <w:sz w:val="14"/>
          <w:szCs w:val="14"/>
          <w:color w:val="auto"/>
        </w:rPr>
        <w:t xml:space="preserve">Section 3.5 </w:t>
      </w:r>
      <w:r>
        <w:rPr>
          <w:rFonts w:ascii="Arial" w:cs="Arial" w:eastAsia="Arial" w:hAnsi="Arial"/>
          <w:sz w:val="14"/>
          <w:szCs w:val="14"/>
          <w:u w:val="single" w:color="auto"/>
          <w:color w:val="auto"/>
        </w:rPr>
        <w:t>Meetings</w:t>
      </w:r>
      <w:r>
        <w:rPr>
          <w:rFonts w:ascii="Arial" w:cs="Arial" w:eastAsia="Arial" w:hAnsi="Arial"/>
          <w:sz w:val="14"/>
          <w:szCs w:val="14"/>
          <w:color w:val="auto"/>
        </w:rPr>
        <w:t>. The Board of Directors may hold meetings, both regular and special, either within or without the State of Delaware. Regular meetings of the Board of Directors may be held without notice at such time and at such place as may from time to time be determined by the Board of Directors. Special meetings of the Board of Directors may be called by the Chair of the Board, the Vice Chair of the Board, if any, the Chief Executive Officer or at the request in writing of a majority of the members of the Board of Directors then in office. Notice thereof stating the place, date and hour of the meeting shall be given to each director either by mail not less than 48 hours before the date of the meeting, by telephone or telegram on 24 hours' notice, or on such shorter notice as the person or persons calling such meeting may deem necessary or appropriate in the circumstances.</w:t>
      </w:r>
    </w:p>
    <w:p>
      <w:pPr>
        <w:spacing w:after="0" w:line="262"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3.6 </w:t>
      </w:r>
      <w:r>
        <w:rPr>
          <w:rFonts w:ascii="Arial" w:cs="Arial" w:eastAsia="Arial" w:hAnsi="Arial"/>
          <w:sz w:val="14"/>
          <w:szCs w:val="14"/>
          <w:u w:val="single" w:color="auto"/>
          <w:color w:val="auto"/>
        </w:rPr>
        <w:t>Quorum</w:t>
      </w:r>
      <w:r>
        <w:rPr>
          <w:rFonts w:ascii="Arial" w:cs="Arial" w:eastAsia="Arial" w:hAnsi="Arial"/>
          <w:sz w:val="14"/>
          <w:szCs w:val="14"/>
          <w:color w:val="auto"/>
        </w:rPr>
        <w:t>. Except as otherwise required by law or the Certificate of Incorporation, at all meetings of the Board of Directors, a majority of the entire Board of Directors shall constitute a quorum for the transaction of business and the act of a majority of the directors present at any meeting at which there is a quorum shall be the act of the Board of Directors. If a quorum shall not be present at any meeting of the Board of Directors, the directors present thereat may adjourn the meeting from time to time, without notice other than announcement at the meeting of the time and place of the adjourned meeting, until a quorum shall be present.</w:t>
      </w:r>
    </w:p>
    <w:p>
      <w:pPr>
        <w:spacing w:after="0" w:line="262"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3.7 </w:t>
      </w:r>
      <w:r>
        <w:rPr>
          <w:rFonts w:ascii="Arial" w:cs="Arial" w:eastAsia="Arial" w:hAnsi="Arial"/>
          <w:sz w:val="14"/>
          <w:szCs w:val="14"/>
          <w:u w:val="single" w:color="auto"/>
          <w:color w:val="auto"/>
        </w:rPr>
        <w:t>Actions by Written Consent</w:t>
      </w:r>
      <w:r>
        <w:rPr>
          <w:rFonts w:ascii="Arial" w:cs="Arial" w:eastAsia="Arial" w:hAnsi="Arial"/>
          <w:sz w:val="14"/>
          <w:szCs w:val="14"/>
          <w:color w:val="auto"/>
        </w:rPr>
        <w:t>. Unless otherwise provided in the Certificate of Incorporation, or these By-Laws, any action required or permitted to be taken at any meeting of the Board of Directors or of any committee thereof may be taken without a meeting, if all the members of the Board of Directors or committee, as the case may be, consent thereto in writing or by electronic transmission, and the writing or writings or by electronic transmission or transmissions are filed with the minutes of proceedings of the Board of Directors or committee. Such filings shall be in paper form if the minutes are maintained in paper form and shall be in electronic form if the minutes are maintained in electronic form.</w:t>
      </w:r>
    </w:p>
    <w:p>
      <w:pPr>
        <w:spacing w:after="0" w:line="262" w:lineRule="exact"/>
        <w:rPr>
          <w:sz w:val="20"/>
          <w:szCs w:val="20"/>
          <w:color w:val="auto"/>
        </w:rPr>
      </w:pPr>
    </w:p>
    <w:p>
      <w:pPr>
        <w:jc w:val="both"/>
        <w:ind w:firstLine="667"/>
        <w:spacing w:after="0" w:line="301" w:lineRule="auto"/>
        <w:rPr>
          <w:sz w:val="20"/>
          <w:szCs w:val="20"/>
          <w:color w:val="auto"/>
        </w:rPr>
      </w:pPr>
      <w:r>
        <w:rPr>
          <w:rFonts w:ascii="Arial" w:cs="Arial" w:eastAsia="Arial" w:hAnsi="Arial"/>
          <w:sz w:val="13"/>
          <w:szCs w:val="13"/>
          <w:color w:val="auto"/>
        </w:rPr>
        <w:t xml:space="preserve">Section 3.8 </w:t>
      </w:r>
      <w:r>
        <w:rPr>
          <w:rFonts w:ascii="Arial" w:cs="Arial" w:eastAsia="Arial" w:hAnsi="Arial"/>
          <w:sz w:val="13"/>
          <w:szCs w:val="13"/>
          <w:u w:val="single" w:color="auto"/>
          <w:color w:val="auto"/>
        </w:rPr>
        <w:t>Meetings by Means of Remote Communications</w:t>
      </w:r>
      <w:r>
        <w:rPr>
          <w:rFonts w:ascii="Arial" w:cs="Arial" w:eastAsia="Arial" w:hAnsi="Arial"/>
          <w:sz w:val="13"/>
          <w:szCs w:val="13"/>
          <w:color w:val="auto"/>
        </w:rPr>
        <w:t>. Unless otherwise provided in the Certificate of Incorporation, members of the Board of Directors of the Corporation, or any committee thereof, may participate in a meeting of the Board of Directors or such committee by means of a conference telephone or other communications equipment by means of which all persons participating in the meeting can hear each other, and participation in a meeting pursuant to this Section 3.8 shall constitute presence in person at such meeting.</w:t>
      </w:r>
    </w:p>
    <w:p>
      <w:pPr>
        <w:spacing w:after="0" w:line="239"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3.9 </w:t>
      </w:r>
      <w:r>
        <w:rPr>
          <w:rFonts w:ascii="Arial" w:cs="Arial" w:eastAsia="Arial" w:hAnsi="Arial"/>
          <w:sz w:val="14"/>
          <w:szCs w:val="14"/>
          <w:u w:val="single" w:color="auto"/>
          <w:color w:val="auto"/>
        </w:rPr>
        <w:t>Presumption of Assent</w:t>
      </w:r>
      <w:r>
        <w:rPr>
          <w:rFonts w:ascii="Arial" w:cs="Arial" w:eastAsia="Arial" w:hAnsi="Arial"/>
          <w:sz w:val="14"/>
          <w:szCs w:val="14"/>
          <w:color w:val="auto"/>
        </w:rPr>
        <w:t>. A Director of the Corporation who is present at a meeting of the Board of Directors when a vote on any matter is taken is deemed to have assented to the action taken unless he votes against or abstains from the action taken, or unless at the beginning of the meeting or promptly upon arrival, the director objects to the holding of the meeting or the transacting of specified business at the meeting. Any such dissenting votes, abstentions or objections shall be entered in the minutes of the meeting.</w:t>
      </w:r>
    </w:p>
    <w:p>
      <w:pPr>
        <w:spacing w:after="0" w:line="256"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3.10 </w:t>
      </w:r>
      <w:r>
        <w:rPr>
          <w:rFonts w:ascii="Arial" w:cs="Arial" w:eastAsia="Arial" w:hAnsi="Arial"/>
          <w:sz w:val="14"/>
          <w:szCs w:val="14"/>
          <w:u w:val="single" w:color="auto"/>
          <w:color w:val="auto"/>
        </w:rPr>
        <w:t>Voting</w:t>
      </w:r>
      <w:r>
        <w:rPr>
          <w:rFonts w:ascii="Arial" w:cs="Arial" w:eastAsia="Arial" w:hAnsi="Arial"/>
          <w:sz w:val="14"/>
          <w:szCs w:val="14"/>
          <w:color w:val="auto"/>
        </w:rPr>
        <w:t>. Except as otherwise required by law, the Certificate of Incorporation or these Bylaws, all actions taken by the Board of Directors shall be taken by a majority vote of the members then in office.</w:t>
      </w:r>
    </w:p>
    <w:p>
      <w:pPr>
        <w:spacing w:after="0" w:line="245"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3.11 </w:t>
      </w:r>
      <w:r>
        <w:rPr>
          <w:rFonts w:ascii="Arial" w:cs="Arial" w:eastAsia="Arial" w:hAnsi="Arial"/>
          <w:sz w:val="14"/>
          <w:szCs w:val="14"/>
          <w:u w:val="single" w:color="auto"/>
          <w:color w:val="auto"/>
        </w:rPr>
        <w:t>Compensation</w:t>
      </w:r>
      <w:r>
        <w:rPr>
          <w:rFonts w:ascii="Arial" w:cs="Arial" w:eastAsia="Arial" w:hAnsi="Arial"/>
          <w:sz w:val="14"/>
          <w:szCs w:val="14"/>
          <w:color w:val="auto"/>
        </w:rPr>
        <w:t>. The directors may be paid their expenses, if any, of attendance at each meeting of the Board of Directors and may be paid a fixed sum for attendance at each meeting of the Board of Directors or a stated salary as director, payable in cash or securities as may be established by the</w:t>
      </w:r>
    </w:p>
    <w:p>
      <w:pPr>
        <w:sectPr>
          <w:pgSz w:w="11900" w:h="16838" w:orient="portrait"/>
          <w:cols w:equalWidth="0" w:num="1">
            <w:col w:w="11480"/>
          </w:cols>
          <w:pgMar w:left="220" w:top="584" w:right="199" w:bottom="1440" w:gutter="0" w:footer="0" w:header="0"/>
        </w:sectPr>
      </w:pPr>
    </w:p>
    <w:bookmarkStart w:id="79" w:name="page80"/>
    <w:bookmarkEnd w:id="79"/>
    <w:p>
      <w:pPr>
        <w:jc w:val="both"/>
        <w:spacing w:after="0" w:line="287" w:lineRule="auto"/>
        <w:rPr>
          <w:sz w:val="20"/>
          <w:szCs w:val="20"/>
          <w:color w:val="auto"/>
        </w:rPr>
      </w:pPr>
      <w:r>
        <w:rPr>
          <w:rFonts w:ascii="Arial" w:cs="Arial" w:eastAsia="Arial" w:hAnsi="Arial"/>
          <w:sz w:val="14"/>
          <w:szCs w:val="14"/>
          <w:color w:val="auto"/>
        </w:rPr>
        <w:t>Board of Directors. No such payment shall preclude any director from serving the Corporation in any other capacity and receiving compensation therefor. Members of special or standing committees may be allowed like compensation for attending committee meetings.</w:t>
      </w:r>
    </w:p>
    <w:p>
      <w:pPr>
        <w:spacing w:after="0" w:line="245"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3.12 </w:t>
      </w:r>
      <w:r>
        <w:rPr>
          <w:rFonts w:ascii="Arial" w:cs="Arial" w:eastAsia="Arial" w:hAnsi="Arial"/>
          <w:sz w:val="14"/>
          <w:szCs w:val="14"/>
          <w:u w:val="single" w:color="auto"/>
          <w:color w:val="auto"/>
        </w:rPr>
        <w:t>Loss of Deposits</w:t>
      </w:r>
      <w:r>
        <w:rPr>
          <w:rFonts w:ascii="Arial" w:cs="Arial" w:eastAsia="Arial" w:hAnsi="Arial"/>
          <w:sz w:val="14"/>
          <w:szCs w:val="14"/>
          <w:color w:val="auto"/>
        </w:rPr>
        <w:t>. No director shall be liable for any loss which may occur by reason of the failure of the bank, trust company, savings and loan association, or other institution with whom moneys or stock have been deposited.</w:t>
      </w:r>
    </w:p>
    <w:p>
      <w:pPr>
        <w:spacing w:after="0" w:line="245" w:lineRule="exact"/>
        <w:rPr>
          <w:sz w:val="20"/>
          <w:szCs w:val="20"/>
          <w:color w:val="auto"/>
        </w:rPr>
      </w:pPr>
    </w:p>
    <w:p>
      <w:pPr>
        <w:ind w:left="660"/>
        <w:spacing w:after="0"/>
        <w:rPr>
          <w:sz w:val="20"/>
          <w:szCs w:val="20"/>
          <w:color w:val="auto"/>
        </w:rPr>
      </w:pPr>
      <w:r>
        <w:rPr>
          <w:rFonts w:ascii="Arial" w:cs="Arial" w:eastAsia="Arial" w:hAnsi="Arial"/>
          <w:sz w:val="14"/>
          <w:szCs w:val="14"/>
          <w:color w:val="auto"/>
        </w:rPr>
        <w:t xml:space="preserve">Section 3.13 </w:t>
      </w:r>
      <w:r>
        <w:rPr>
          <w:rFonts w:ascii="Arial" w:cs="Arial" w:eastAsia="Arial" w:hAnsi="Arial"/>
          <w:sz w:val="14"/>
          <w:szCs w:val="14"/>
          <w:u w:val="single" w:color="auto"/>
          <w:color w:val="auto"/>
        </w:rPr>
        <w:t>Surety Bonds</w:t>
      </w:r>
      <w:r>
        <w:rPr>
          <w:rFonts w:ascii="Arial" w:cs="Arial" w:eastAsia="Arial" w:hAnsi="Arial"/>
          <w:sz w:val="14"/>
          <w:szCs w:val="14"/>
          <w:color w:val="auto"/>
        </w:rPr>
        <w:t>. Unless required by law, no director shall be obligated to give any bond or surety or other security for the performance of any of his or her duties.</w:t>
      </w:r>
    </w:p>
    <w:p>
      <w:pPr>
        <w:spacing w:after="0" w:line="298"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3.14 </w:t>
      </w:r>
      <w:r>
        <w:rPr>
          <w:rFonts w:ascii="Arial" w:cs="Arial" w:eastAsia="Arial" w:hAnsi="Arial"/>
          <w:sz w:val="14"/>
          <w:szCs w:val="14"/>
          <w:u w:val="single" w:color="auto"/>
          <w:color w:val="auto"/>
        </w:rPr>
        <w:t>Reliance</w:t>
      </w:r>
      <w:r>
        <w:rPr>
          <w:rFonts w:ascii="Arial" w:cs="Arial" w:eastAsia="Arial" w:hAnsi="Arial"/>
          <w:sz w:val="14"/>
          <w:szCs w:val="14"/>
          <w:color w:val="auto"/>
        </w:rPr>
        <w:t>. Each director, officer, employee and agent of the Corporation shall, in the performance of his or her duties with respect to the Corporation, be fully justified and protected with regard to any act or failure to act in reliance in good faith upon the books of account or other records of the Corporation, upon an opinion of counsel or upon reports made to the Corporation by any of its officers or employees or by the adviser, accountants, appraisers or other experts or consultants selected by the Board of Directors or officers of the Corporation, regardless of whether such counsel or expert may also be a director.</w:t>
      </w:r>
    </w:p>
    <w:p>
      <w:pPr>
        <w:spacing w:after="0" w:line="262" w:lineRule="exact"/>
        <w:rPr>
          <w:sz w:val="20"/>
          <w:szCs w:val="20"/>
          <w:color w:val="auto"/>
        </w:rPr>
      </w:pPr>
    </w:p>
    <w:p>
      <w:pPr>
        <w:jc w:val="both"/>
        <w:ind w:firstLine="667"/>
        <w:spacing w:after="0" w:line="281" w:lineRule="auto"/>
        <w:rPr>
          <w:sz w:val="20"/>
          <w:szCs w:val="20"/>
          <w:color w:val="auto"/>
        </w:rPr>
      </w:pPr>
      <w:r>
        <w:rPr>
          <w:rFonts w:ascii="Arial" w:cs="Arial" w:eastAsia="Arial" w:hAnsi="Arial"/>
          <w:sz w:val="13"/>
          <w:szCs w:val="13"/>
          <w:color w:val="auto"/>
        </w:rPr>
        <w:t xml:space="preserve">Section 3.15 </w:t>
      </w:r>
      <w:r>
        <w:rPr>
          <w:rFonts w:ascii="Arial" w:cs="Arial" w:eastAsia="Arial" w:hAnsi="Arial"/>
          <w:sz w:val="13"/>
          <w:szCs w:val="13"/>
          <w:u w:val="single" w:color="auto"/>
          <w:color w:val="auto"/>
        </w:rPr>
        <w:t>Interested Directors</w:t>
      </w:r>
      <w:r>
        <w:rPr>
          <w:rFonts w:ascii="Arial" w:cs="Arial" w:eastAsia="Arial" w:hAnsi="Arial"/>
          <w:sz w:val="13"/>
          <w:szCs w:val="13"/>
          <w:color w:val="auto"/>
        </w:rPr>
        <w:t>. No contract or transaction between the Corporation and one or more of its directors or officers, or between the Corporation and any other corporation, partnership, association, or other organization in which one or more of its directors or officers are directors or officers or have a financial interest, shall be void or voidable solely for this reason, or solely because the director or officer is present at or participates in the meeting of the Board of Directors or committee thereof which authorizes the contract or transaction, or solely because the director or officer's vote is counted for such purpose if (i) the material facts as to the director or officer's relationship or interest and as to the contract or transaction are disclosed or are known to the Board of Directors or the committee, and the Board of Directors or committee in good faith authorizes the contract or transaction by the affirmative votes of a majority of the disinterested directors, even though the disinterested directors be less than a quorum; or (ii) the material facts as to the director or officer's relationship or interest and as to the contract or transaction are disclosed or are known to the stockholders entitled to vote thereon, and the contract or transaction is specifically approved in good faith by vote of the stockholders; or (iii) the contract or transaction is fair as to the Corporation as of the time it is authorized, approved or ratified by the Board of Directors, a committee thereof or the stockholders. Common or interested directors may be counted in determining the presence of a quorum at a meeting of the Board of Directors or of a committee which authorizes the contract or transaction.</w:t>
      </w:r>
    </w:p>
    <w:p>
      <w:pPr>
        <w:spacing w:after="0" w:line="253"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3.16 </w:t>
      </w:r>
      <w:r>
        <w:rPr>
          <w:rFonts w:ascii="Arial" w:cs="Arial" w:eastAsia="Arial" w:hAnsi="Arial"/>
          <w:sz w:val="14"/>
          <w:szCs w:val="14"/>
          <w:u w:val="single" w:color="auto"/>
          <w:color w:val="auto"/>
        </w:rPr>
        <w:t>Certain Rights of Directors, Officers, Employees and Agents</w:t>
      </w:r>
      <w:r>
        <w:rPr>
          <w:rFonts w:ascii="Arial" w:cs="Arial" w:eastAsia="Arial" w:hAnsi="Arial"/>
          <w:sz w:val="14"/>
          <w:szCs w:val="14"/>
          <w:color w:val="auto"/>
        </w:rPr>
        <w:t>. The directors shall have no responsibility to devote their full time to the affairs of the Corporation. Any director or officer, employee or agent of the Corporation, in his or her personal capacity or in a capacity as an affiliate, employee, or agent of any other person, or otherwise, may have business interests and engage in business activities similar to or in addition to or in competition with those of or relating to the Corporation.</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IV</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COMMITTEES</w:t>
      </w:r>
    </w:p>
    <w:p>
      <w:pPr>
        <w:spacing w:after="0" w:line="302"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4.1 </w:t>
      </w:r>
      <w:r>
        <w:rPr>
          <w:rFonts w:ascii="Arial" w:cs="Arial" w:eastAsia="Arial" w:hAnsi="Arial"/>
          <w:sz w:val="14"/>
          <w:szCs w:val="14"/>
          <w:u w:val="single" w:color="auto"/>
          <w:color w:val="auto"/>
        </w:rPr>
        <w:t>Nominating Committee</w:t>
      </w:r>
      <w:r>
        <w:rPr>
          <w:rFonts w:ascii="Arial" w:cs="Arial" w:eastAsia="Arial" w:hAnsi="Arial"/>
          <w:sz w:val="14"/>
          <w:szCs w:val="14"/>
          <w:color w:val="auto"/>
        </w:rPr>
        <w:t>. The Board shall, by resolution passed by a majority of the members of the Board of Directors then in office, designate a Nominating Committee to consist of two or more members of the Board. A majority of the Board of Directors then in office shall have the power to</w:t>
      </w:r>
    </w:p>
    <w:p>
      <w:pPr>
        <w:sectPr>
          <w:pgSz w:w="11900" w:h="16838" w:orient="portrait"/>
          <w:cols w:equalWidth="0" w:num="1">
            <w:col w:w="11480"/>
          </w:cols>
          <w:pgMar w:left="220" w:top="585" w:right="199" w:bottom="1440" w:gutter="0" w:footer="0" w:header="0"/>
        </w:sectPr>
      </w:pPr>
    </w:p>
    <w:bookmarkStart w:id="80" w:name="page81"/>
    <w:bookmarkEnd w:id="80"/>
    <w:p>
      <w:pPr>
        <w:jc w:val="both"/>
        <w:spacing w:after="0" w:line="265" w:lineRule="auto"/>
        <w:rPr>
          <w:sz w:val="20"/>
          <w:szCs w:val="20"/>
          <w:color w:val="auto"/>
        </w:rPr>
      </w:pPr>
      <w:r>
        <w:rPr>
          <w:rFonts w:ascii="Arial" w:cs="Arial" w:eastAsia="Arial" w:hAnsi="Arial"/>
          <w:sz w:val="14"/>
          <w:szCs w:val="14"/>
          <w:color w:val="auto"/>
        </w:rPr>
        <w:t>change the membership of the Nominating Committee, fill vacancies therein or remove any members thereof, either with or without cause, at any time. Unless otherwise provided by the Board of Directors or the Nominating Committee, quorum, voting, and other procedures of the Nominating Committee shall be the same as those applicable to actions taken by the Board of Director. The Nominating Committee may fix its rules of procedure, determine its manner of acting and fix the time and place, whether within or without the State of Delaware, of its meetings and specify what notice thereof, if any, shall be given, unless the majority of the Board of Directors shall otherwise by resolution provide.</w:t>
      </w:r>
    </w:p>
    <w:p>
      <w:pPr>
        <w:spacing w:after="0" w:line="262" w:lineRule="exact"/>
        <w:rPr>
          <w:sz w:val="20"/>
          <w:szCs w:val="20"/>
          <w:color w:val="auto"/>
        </w:rPr>
      </w:pPr>
    </w:p>
    <w:p>
      <w:pPr>
        <w:jc w:val="both"/>
        <w:ind w:firstLine="667"/>
        <w:spacing w:after="0" w:line="260" w:lineRule="auto"/>
        <w:rPr>
          <w:sz w:val="20"/>
          <w:szCs w:val="20"/>
          <w:color w:val="auto"/>
        </w:rPr>
      </w:pPr>
      <w:r>
        <w:rPr>
          <w:rFonts w:ascii="Arial" w:cs="Arial" w:eastAsia="Arial" w:hAnsi="Arial"/>
          <w:sz w:val="14"/>
          <w:szCs w:val="14"/>
          <w:color w:val="auto"/>
        </w:rPr>
        <w:t xml:space="preserve">Section 4.2 </w:t>
      </w:r>
      <w:r>
        <w:rPr>
          <w:rFonts w:ascii="Arial" w:cs="Arial" w:eastAsia="Arial" w:hAnsi="Arial"/>
          <w:sz w:val="14"/>
          <w:szCs w:val="14"/>
          <w:u w:val="single" w:color="auto"/>
          <w:color w:val="auto"/>
        </w:rPr>
        <w:t>Other Committees</w:t>
      </w:r>
      <w:r>
        <w:rPr>
          <w:rFonts w:ascii="Arial" w:cs="Arial" w:eastAsia="Arial" w:hAnsi="Arial"/>
          <w:sz w:val="14"/>
          <w:szCs w:val="14"/>
          <w:color w:val="auto"/>
        </w:rPr>
        <w:t>. The Board of Directors may, by resolutions passed by a majority of the members of the Board of Directors then in office, designate members of the Board of Directors to constitute other committees which shall in each case consist of such number of directors, and shall have and may execute such powers as may be determined and specified in the respective resolutions appointing them. Any such committee may fix its rules of procedure, determine its manner of acting and fix the time and place, whether within or without the State of Delaware, of its meetings and specify what notice thereof, if any, shall be given, unless the Board of Directors shall otherwise by resolution provide. Unless otherwise provided by the Board of Directors or such committee, quorum, voting and other procedures shall be the same as those applicable to actions taken by the Board of Director. A majority of the members of the Board of Directors then in office shall have the power to change the membership of any such committee at any time, to fill vacancies therein and to discharge any such committee or to remove any member thereof, either with or without cause, at any time.</w:t>
      </w:r>
    </w:p>
    <w:p>
      <w:pPr>
        <w:spacing w:after="0" w:line="26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V</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OFFICERS</w:t>
      </w:r>
    </w:p>
    <w:p>
      <w:pPr>
        <w:spacing w:after="0" w:line="302"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5.1 </w:t>
      </w:r>
      <w:r>
        <w:rPr>
          <w:rFonts w:ascii="Arial" w:cs="Arial" w:eastAsia="Arial" w:hAnsi="Arial"/>
          <w:sz w:val="14"/>
          <w:szCs w:val="14"/>
          <w:u w:val="single" w:color="auto"/>
          <w:color w:val="auto"/>
        </w:rPr>
        <w:t>General</w:t>
      </w:r>
      <w:r>
        <w:rPr>
          <w:rFonts w:ascii="Arial" w:cs="Arial" w:eastAsia="Arial" w:hAnsi="Arial"/>
          <w:sz w:val="14"/>
          <w:szCs w:val="14"/>
          <w:color w:val="auto"/>
        </w:rPr>
        <w:t>. The officers of the Corporation shall be chosen by the Board of Directors and shall include a Chief Executive Officer, President, Chief Financial Officer and Secretary. The Board of Directors, in its discretion, also may choose a Chair of the Board of Directors (who must be a director), one or more Vice Presidents and select and appoint such other officers it deems necessary. Any number of offices may be held by the same person, unless otherwise prohibited by law or the Certificate of Incorporation. The officers of the Corporation need not be stockholders of the Corporation nor, except in the case of the Chair of the Board of Directors, need such officers be directors of the Corporation.</w:t>
      </w:r>
    </w:p>
    <w:p>
      <w:pPr>
        <w:spacing w:after="0" w:line="262" w:lineRule="exact"/>
        <w:rPr>
          <w:sz w:val="20"/>
          <w:szCs w:val="20"/>
          <w:color w:val="auto"/>
        </w:rPr>
      </w:pPr>
    </w:p>
    <w:p>
      <w:pPr>
        <w:jc w:val="both"/>
        <w:ind w:firstLine="667"/>
        <w:spacing w:after="0" w:line="263" w:lineRule="auto"/>
        <w:rPr>
          <w:sz w:val="20"/>
          <w:szCs w:val="20"/>
          <w:color w:val="auto"/>
        </w:rPr>
      </w:pPr>
      <w:r>
        <w:rPr>
          <w:rFonts w:ascii="Arial" w:cs="Arial" w:eastAsia="Arial" w:hAnsi="Arial"/>
          <w:sz w:val="14"/>
          <w:szCs w:val="14"/>
          <w:color w:val="auto"/>
        </w:rPr>
        <w:t xml:space="preserve">Section 5.2 </w:t>
      </w:r>
      <w:r>
        <w:rPr>
          <w:rFonts w:ascii="Arial" w:cs="Arial" w:eastAsia="Arial" w:hAnsi="Arial"/>
          <w:sz w:val="14"/>
          <w:szCs w:val="14"/>
          <w:u w:val="single" w:color="auto"/>
          <w:color w:val="auto"/>
        </w:rPr>
        <w:t>Election</w:t>
      </w:r>
      <w:r>
        <w:rPr>
          <w:rFonts w:ascii="Arial" w:cs="Arial" w:eastAsia="Arial" w:hAnsi="Arial"/>
          <w:sz w:val="14"/>
          <w:szCs w:val="14"/>
          <w:color w:val="auto"/>
        </w:rPr>
        <w:t>. The Board of Directors, at its first meeting held after each Annual Meeting of Stockholders (or action by written consent of stockholders in lieu of the Annual Meeting of Stockholders), shall elect the officers of the Corporation who shall hold their offices for such terms and shall exercise such powers and perform such duties as shall be determined from time to time by the Board of Directors; and all officers of the Corporation shall hold office until their successors are chosen and qualified, or until their earlier death, resignation or removal. Any officer elected by the Board of Directors may be removed at any time by the affirmative vote of the Board of Directors. Any vacancy occurring in any office of the Corporation shall be filled by the Board of Directors. The salaries of all officers of the Corporation shall be fixed by the Board of Directors.</w:t>
      </w:r>
    </w:p>
    <w:p>
      <w:pPr>
        <w:spacing w:after="0" w:line="262" w:lineRule="exact"/>
        <w:rPr>
          <w:sz w:val="20"/>
          <w:szCs w:val="20"/>
          <w:color w:val="auto"/>
        </w:rPr>
      </w:pPr>
    </w:p>
    <w:p>
      <w:pPr>
        <w:jc w:val="both"/>
        <w:ind w:right="20" w:firstLine="667"/>
        <w:spacing w:after="0" w:line="287" w:lineRule="auto"/>
        <w:rPr>
          <w:sz w:val="20"/>
          <w:szCs w:val="20"/>
          <w:color w:val="auto"/>
        </w:rPr>
      </w:pPr>
      <w:r>
        <w:rPr>
          <w:rFonts w:ascii="Arial" w:cs="Arial" w:eastAsia="Arial" w:hAnsi="Arial"/>
          <w:sz w:val="14"/>
          <w:szCs w:val="14"/>
          <w:color w:val="auto"/>
        </w:rPr>
        <w:t xml:space="preserve">Section 5.3 </w:t>
      </w:r>
      <w:r>
        <w:rPr>
          <w:rFonts w:ascii="Arial" w:cs="Arial" w:eastAsia="Arial" w:hAnsi="Arial"/>
          <w:sz w:val="14"/>
          <w:szCs w:val="14"/>
          <w:u w:val="single" w:color="auto"/>
          <w:color w:val="auto"/>
        </w:rPr>
        <w:t>Vacancies</w:t>
      </w:r>
      <w:r>
        <w:rPr>
          <w:rFonts w:ascii="Arial" w:cs="Arial" w:eastAsia="Arial" w:hAnsi="Arial"/>
          <w:sz w:val="14"/>
          <w:szCs w:val="14"/>
          <w:color w:val="auto"/>
        </w:rPr>
        <w:t>. A vacancy in any office may be filled for the unexpired portion of the term by the Board of Directors or, in the case of offices held by officers who may be appointed by other officers, by any officer authorized to appoint such officer.</w:t>
      </w:r>
    </w:p>
    <w:p>
      <w:pPr>
        <w:spacing w:after="0" w:line="245" w:lineRule="exact"/>
        <w:rPr>
          <w:sz w:val="20"/>
          <w:szCs w:val="20"/>
          <w:color w:val="auto"/>
        </w:rPr>
      </w:pPr>
    </w:p>
    <w:p>
      <w:pPr>
        <w:jc w:val="both"/>
        <w:ind w:right="20" w:firstLine="667"/>
        <w:spacing w:after="0" w:line="287" w:lineRule="auto"/>
        <w:rPr>
          <w:sz w:val="20"/>
          <w:szCs w:val="20"/>
          <w:color w:val="auto"/>
        </w:rPr>
      </w:pPr>
      <w:r>
        <w:rPr>
          <w:rFonts w:ascii="Arial" w:cs="Arial" w:eastAsia="Arial" w:hAnsi="Arial"/>
          <w:sz w:val="14"/>
          <w:szCs w:val="14"/>
          <w:color w:val="auto"/>
        </w:rPr>
        <w:t xml:space="preserve">Section 5.4 </w:t>
      </w:r>
      <w:r>
        <w:rPr>
          <w:rFonts w:ascii="Arial" w:cs="Arial" w:eastAsia="Arial" w:hAnsi="Arial"/>
          <w:sz w:val="14"/>
          <w:szCs w:val="14"/>
          <w:u w:val="single" w:color="auto"/>
          <w:color w:val="auto"/>
        </w:rPr>
        <w:t>Chief Executive Officer</w:t>
      </w:r>
      <w:r>
        <w:rPr>
          <w:rFonts w:ascii="Arial" w:cs="Arial" w:eastAsia="Arial" w:hAnsi="Arial"/>
          <w:sz w:val="14"/>
          <w:szCs w:val="14"/>
          <w:color w:val="auto"/>
        </w:rPr>
        <w:t>. The Chair of the Board shall initially be the Chief Executive Officer of the Corporation and thereafter, at such time as the Board of Directors shall determine, the Chief Executive Officer shall be such officer as the Board of Directors shall designate from time to time. The</w:t>
      </w:r>
    </w:p>
    <w:p>
      <w:pPr>
        <w:sectPr>
          <w:pgSz w:w="11900" w:h="16838" w:orient="portrait"/>
          <w:cols w:equalWidth="0" w:num="1">
            <w:col w:w="11480"/>
          </w:cols>
          <w:pgMar w:left="220" w:top="584" w:right="199" w:bottom="1440" w:gutter="0" w:footer="0" w:header="0"/>
        </w:sectPr>
      </w:pPr>
    </w:p>
    <w:bookmarkStart w:id="81" w:name="page82"/>
    <w:bookmarkEnd w:id="81"/>
    <w:p>
      <w:pPr>
        <w:jc w:val="both"/>
        <w:spacing w:after="0" w:line="265" w:lineRule="auto"/>
        <w:rPr>
          <w:sz w:val="20"/>
          <w:szCs w:val="20"/>
          <w:color w:val="auto"/>
        </w:rPr>
      </w:pPr>
      <w:r>
        <w:rPr>
          <w:rFonts w:ascii="Arial" w:cs="Arial" w:eastAsia="Arial" w:hAnsi="Arial"/>
          <w:sz w:val="14"/>
          <w:szCs w:val="14"/>
          <w:color w:val="auto"/>
        </w:rPr>
        <w:t>Chief Executive Officer shall have general responsibility for implementation of the policies of the Corporation, as determined by the Board of Directors, and for the management of the business and affairs of the Corporation. The Chief Executive Officer may execute any deed, mortgage, bond, contract or other instrument, except in cases where the execution thereof shall be expressly delegated by the Board of Directors or by these Bylaws to some other officer or agent of the Corporation or shall be required by law to be otherwise executed; and in general shall perform all duties incident to the office of Chief Executive Officer and such other duties as may be prescribed by the Board of Directors from time to time.</w:t>
      </w:r>
    </w:p>
    <w:p>
      <w:pPr>
        <w:spacing w:after="0" w:line="262" w:lineRule="exact"/>
        <w:rPr>
          <w:sz w:val="20"/>
          <w:szCs w:val="20"/>
          <w:color w:val="auto"/>
        </w:rPr>
      </w:pPr>
    </w:p>
    <w:p>
      <w:pPr>
        <w:jc w:val="both"/>
        <w:ind w:right="20" w:firstLine="667"/>
        <w:spacing w:after="0" w:line="287" w:lineRule="auto"/>
        <w:rPr>
          <w:sz w:val="20"/>
          <w:szCs w:val="20"/>
          <w:color w:val="auto"/>
        </w:rPr>
      </w:pPr>
      <w:r>
        <w:rPr>
          <w:rFonts w:ascii="Arial" w:cs="Arial" w:eastAsia="Arial" w:hAnsi="Arial"/>
          <w:sz w:val="14"/>
          <w:szCs w:val="14"/>
          <w:color w:val="auto"/>
        </w:rPr>
        <w:t xml:space="preserve">Section 5.5 </w:t>
      </w:r>
      <w:r>
        <w:rPr>
          <w:rFonts w:ascii="Arial" w:cs="Arial" w:eastAsia="Arial" w:hAnsi="Arial"/>
          <w:sz w:val="14"/>
          <w:szCs w:val="14"/>
          <w:u w:val="single" w:color="auto"/>
          <w:color w:val="auto"/>
        </w:rPr>
        <w:t>Chair of the Board</w:t>
      </w:r>
      <w:r>
        <w:rPr>
          <w:rFonts w:ascii="Arial" w:cs="Arial" w:eastAsia="Arial" w:hAnsi="Arial"/>
          <w:sz w:val="14"/>
          <w:szCs w:val="14"/>
          <w:color w:val="auto"/>
        </w:rPr>
        <w:t>. The Chair of the Board shall have such powers and perform such duties as may be provided for herein and as may be incident to the office and as may be assigned by the Board of Directors.</w:t>
      </w:r>
    </w:p>
    <w:p>
      <w:pPr>
        <w:spacing w:after="0" w:line="245" w:lineRule="exact"/>
        <w:rPr>
          <w:sz w:val="20"/>
          <w:szCs w:val="20"/>
          <w:color w:val="auto"/>
        </w:rPr>
      </w:pPr>
    </w:p>
    <w:p>
      <w:pPr>
        <w:ind w:left="660"/>
        <w:spacing w:after="0"/>
        <w:rPr>
          <w:sz w:val="20"/>
          <w:szCs w:val="20"/>
          <w:color w:val="auto"/>
        </w:rPr>
      </w:pPr>
      <w:r>
        <w:rPr>
          <w:rFonts w:ascii="Arial" w:cs="Arial" w:eastAsia="Arial" w:hAnsi="Arial"/>
          <w:sz w:val="14"/>
          <w:szCs w:val="14"/>
          <w:color w:val="auto"/>
        </w:rPr>
        <w:t xml:space="preserve">Section 5.6 </w:t>
      </w:r>
      <w:r>
        <w:rPr>
          <w:rFonts w:ascii="Arial" w:cs="Arial" w:eastAsia="Arial" w:hAnsi="Arial"/>
          <w:sz w:val="14"/>
          <w:szCs w:val="14"/>
          <w:u w:val="single" w:color="auto"/>
          <w:color w:val="auto"/>
        </w:rPr>
        <w:t>President</w:t>
      </w:r>
      <w:r>
        <w:rPr>
          <w:rFonts w:ascii="Arial" w:cs="Arial" w:eastAsia="Arial" w:hAnsi="Arial"/>
          <w:sz w:val="14"/>
          <w:szCs w:val="14"/>
          <w:color w:val="auto"/>
        </w:rPr>
        <w:t>. The President shall have the responsibilities or duties as may be prescribed by the Chief Executive Officer or the Board of Directors from time to time.</w:t>
      </w:r>
    </w:p>
    <w:p>
      <w:pPr>
        <w:spacing w:after="0" w:line="298" w:lineRule="exact"/>
        <w:rPr>
          <w:sz w:val="20"/>
          <w:szCs w:val="20"/>
          <w:color w:val="auto"/>
        </w:rPr>
      </w:pPr>
    </w:p>
    <w:p>
      <w:pPr>
        <w:jc w:val="both"/>
        <w:ind w:firstLine="667"/>
        <w:spacing w:after="0" w:line="263" w:lineRule="auto"/>
        <w:rPr>
          <w:sz w:val="20"/>
          <w:szCs w:val="20"/>
          <w:color w:val="auto"/>
        </w:rPr>
      </w:pPr>
      <w:r>
        <w:rPr>
          <w:rFonts w:ascii="Arial" w:cs="Arial" w:eastAsia="Arial" w:hAnsi="Arial"/>
          <w:sz w:val="14"/>
          <w:szCs w:val="14"/>
          <w:color w:val="auto"/>
        </w:rPr>
        <w:t xml:space="preserve">Section 5.7 </w:t>
      </w:r>
      <w:r>
        <w:rPr>
          <w:rFonts w:ascii="Arial" w:cs="Arial" w:eastAsia="Arial" w:hAnsi="Arial"/>
          <w:sz w:val="14"/>
          <w:szCs w:val="14"/>
          <w:u w:val="single" w:color="auto"/>
          <w:color w:val="auto"/>
        </w:rPr>
        <w:t>Chief Financial Officer</w:t>
      </w:r>
      <w:r>
        <w:rPr>
          <w:rFonts w:ascii="Arial" w:cs="Arial" w:eastAsia="Arial" w:hAnsi="Arial"/>
          <w:sz w:val="14"/>
          <w:szCs w:val="14"/>
          <w:color w:val="auto"/>
        </w:rPr>
        <w:t>. The Chief Financial Officer shall have the custody of the corporate funds and securities and shall keep full and accurate accounts of receipts and disbursements in books belonging to the Corporation and shall deposit all moneys and other valuable effects in the name and to the credit of the Corporation in such depositories as may be designated by the Board of Directors. The Chief Financial Officer shall disburse the funds of the Corporation as may be ordered by the Board of Directors, taking proper vouchers for such disbursements, and shall render to the Chief Executive Officer and the Board of Directors, at its regular meetings, or when the Board of Directors so requires, an account of all transactions as Chief Financial Officer and of the financial condition of the Corporation.</w:t>
      </w:r>
    </w:p>
    <w:p>
      <w:pPr>
        <w:spacing w:after="0" w:line="262" w:lineRule="exact"/>
        <w:rPr>
          <w:sz w:val="20"/>
          <w:szCs w:val="20"/>
          <w:color w:val="auto"/>
        </w:rPr>
      </w:pPr>
    </w:p>
    <w:p>
      <w:pPr>
        <w:ind w:left="660"/>
        <w:spacing w:after="0"/>
        <w:rPr>
          <w:sz w:val="20"/>
          <w:szCs w:val="20"/>
          <w:color w:val="auto"/>
        </w:rPr>
      </w:pPr>
      <w:r>
        <w:rPr>
          <w:rFonts w:ascii="Arial" w:cs="Arial" w:eastAsia="Arial" w:hAnsi="Arial"/>
          <w:sz w:val="13"/>
          <w:szCs w:val="13"/>
          <w:color w:val="auto"/>
        </w:rPr>
        <w:t xml:space="preserve">Section 5.8 </w:t>
      </w:r>
      <w:r>
        <w:rPr>
          <w:rFonts w:ascii="Arial" w:cs="Arial" w:eastAsia="Arial" w:hAnsi="Arial"/>
          <w:sz w:val="13"/>
          <w:szCs w:val="13"/>
          <w:u w:val="single" w:color="auto"/>
          <w:color w:val="auto"/>
        </w:rPr>
        <w:t>Vice Presidents</w:t>
      </w:r>
      <w:r>
        <w:rPr>
          <w:rFonts w:ascii="Arial" w:cs="Arial" w:eastAsia="Arial" w:hAnsi="Arial"/>
          <w:sz w:val="13"/>
          <w:szCs w:val="13"/>
          <w:color w:val="auto"/>
        </w:rPr>
        <w:t>. Each Vice President shall perform such duties as from time to time may be assigned to such Vice President by the Chief Executive Officer or by the Board of</w:t>
      </w:r>
    </w:p>
    <w:p>
      <w:pPr>
        <w:spacing w:after="0" w:line="33" w:lineRule="exact"/>
        <w:rPr>
          <w:sz w:val="20"/>
          <w:szCs w:val="20"/>
          <w:color w:val="auto"/>
        </w:rPr>
      </w:pPr>
    </w:p>
    <w:p>
      <w:pPr>
        <w:spacing w:after="0"/>
        <w:rPr>
          <w:sz w:val="20"/>
          <w:szCs w:val="20"/>
          <w:color w:val="auto"/>
        </w:rPr>
      </w:pPr>
      <w:r>
        <w:rPr>
          <w:rFonts w:ascii="Arial" w:cs="Arial" w:eastAsia="Arial" w:hAnsi="Arial"/>
          <w:sz w:val="14"/>
          <w:szCs w:val="14"/>
          <w:color w:val="auto"/>
        </w:rPr>
        <w:t>Directors.</w:t>
      </w:r>
    </w:p>
    <w:p>
      <w:pPr>
        <w:spacing w:after="0" w:line="287" w:lineRule="exact"/>
        <w:rPr>
          <w:sz w:val="20"/>
          <w:szCs w:val="20"/>
          <w:color w:val="auto"/>
        </w:rPr>
      </w:pPr>
    </w:p>
    <w:p>
      <w:pPr>
        <w:jc w:val="both"/>
        <w:ind w:firstLine="667"/>
        <w:spacing w:after="0" w:line="285" w:lineRule="auto"/>
        <w:rPr>
          <w:sz w:val="20"/>
          <w:szCs w:val="20"/>
          <w:color w:val="auto"/>
        </w:rPr>
      </w:pPr>
      <w:r>
        <w:rPr>
          <w:rFonts w:ascii="Arial" w:cs="Arial" w:eastAsia="Arial" w:hAnsi="Arial"/>
          <w:sz w:val="13"/>
          <w:szCs w:val="13"/>
          <w:color w:val="auto"/>
        </w:rPr>
        <w:t xml:space="preserve">Section 5.9 </w:t>
      </w:r>
      <w:r>
        <w:rPr>
          <w:rFonts w:ascii="Arial" w:cs="Arial" w:eastAsia="Arial" w:hAnsi="Arial"/>
          <w:sz w:val="13"/>
          <w:szCs w:val="13"/>
          <w:u w:val="single" w:color="auto"/>
          <w:color w:val="auto"/>
        </w:rPr>
        <w:t>Secretary</w:t>
      </w:r>
      <w:r>
        <w:rPr>
          <w:rFonts w:ascii="Arial" w:cs="Arial" w:eastAsia="Arial" w:hAnsi="Arial"/>
          <w:sz w:val="13"/>
          <w:szCs w:val="13"/>
          <w:color w:val="auto"/>
        </w:rPr>
        <w:t>. The Secretary shall attend all meetings of the Board of Directors and all meetings of stockholders and record all the proceedings thereat in a book or books to be kept for that purpose; the Secretary shall also perform like duties for committees of the Board of Directors when required. The Secretary shall give, or cause to be given, notice of all meetings of the stockholders and special meetings of the Board of Directors, and shall perform such other duties as may be prescribed by the Board of Directors. The Secretary shall have custody of the seal of the Corporation and the Secretary shall have authority to affix the same to any instrument requiring it and when so affixed, it may be attested by the signature of the Secretary. The Board of Directors may give general authority to any other officer to affix the seal of the Corporation and to attest to the affixing by such officer's signature. The Secretary shall see that all books, reports, statements, certificates and other documents and records required by law to be kept or filed are properly kept or filed, as the case may be.</w:t>
      </w:r>
    </w:p>
    <w:p>
      <w:pPr>
        <w:spacing w:after="0" w:line="250" w:lineRule="exact"/>
        <w:rPr>
          <w:sz w:val="20"/>
          <w:szCs w:val="20"/>
          <w:color w:val="auto"/>
        </w:rPr>
      </w:pPr>
    </w:p>
    <w:p>
      <w:pPr>
        <w:jc w:val="both"/>
        <w:ind w:firstLine="667"/>
        <w:spacing w:after="0" w:line="327" w:lineRule="auto"/>
        <w:rPr>
          <w:sz w:val="20"/>
          <w:szCs w:val="20"/>
          <w:color w:val="auto"/>
        </w:rPr>
      </w:pPr>
      <w:r>
        <w:rPr>
          <w:rFonts w:ascii="Arial" w:cs="Arial" w:eastAsia="Arial" w:hAnsi="Arial"/>
          <w:sz w:val="13"/>
          <w:szCs w:val="13"/>
          <w:color w:val="auto"/>
        </w:rPr>
        <w:t xml:space="preserve">Section 5.10 </w:t>
      </w:r>
      <w:r>
        <w:rPr>
          <w:rFonts w:ascii="Arial" w:cs="Arial" w:eastAsia="Arial" w:hAnsi="Arial"/>
          <w:sz w:val="13"/>
          <w:szCs w:val="13"/>
          <w:u w:val="single" w:color="auto"/>
          <w:color w:val="auto"/>
        </w:rPr>
        <w:t>Other Officers</w:t>
      </w:r>
      <w:r>
        <w:rPr>
          <w:rFonts w:ascii="Arial" w:cs="Arial" w:eastAsia="Arial" w:hAnsi="Arial"/>
          <w:sz w:val="13"/>
          <w:szCs w:val="13"/>
          <w:color w:val="auto"/>
        </w:rPr>
        <w:t>. Such other officers as the Board of Directors may choose shall perform such duties and have such powers as from time to time may be assigned to them by the Board of Directors. The Board of Directors may delegate to any other officer of the Corporation the power to choose such other officers and to prescribe their respective duties and powers.</w:t>
      </w:r>
    </w:p>
    <w:p>
      <w:pPr>
        <w:spacing w:after="0" w:line="223"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5.11 </w:t>
      </w:r>
      <w:r>
        <w:rPr>
          <w:rFonts w:ascii="Arial" w:cs="Arial" w:eastAsia="Arial" w:hAnsi="Arial"/>
          <w:sz w:val="14"/>
          <w:szCs w:val="14"/>
          <w:u w:val="single" w:color="auto"/>
          <w:color w:val="auto"/>
        </w:rPr>
        <w:t>Execution of Instruments</w:t>
      </w:r>
      <w:r>
        <w:rPr>
          <w:rFonts w:ascii="Arial" w:cs="Arial" w:eastAsia="Arial" w:hAnsi="Arial"/>
          <w:sz w:val="14"/>
          <w:szCs w:val="14"/>
          <w:color w:val="auto"/>
        </w:rPr>
        <w:t>. Checks, notes, drafts, other commercial instruments, assignments, guarantees of signatures and contracts (except as otherwise provided herein or by law) shall be executed by the Chair of the Board, any Vice Chair of the Board, the Chief Executive Officer, the President, any Vice President or such officers or employees or agents as the Board of Directors or any of such designated officers may direct.</w:t>
      </w:r>
    </w:p>
    <w:p>
      <w:pPr>
        <w:sectPr>
          <w:pgSz w:w="11900" w:h="16838" w:orient="portrait"/>
          <w:cols w:equalWidth="0" w:num="1">
            <w:col w:w="11480"/>
          </w:cols>
          <w:pgMar w:left="220" w:top="584" w:right="199" w:bottom="1440" w:gutter="0" w:footer="0" w:header="0"/>
        </w:sectPr>
      </w:pPr>
    </w:p>
    <w:bookmarkStart w:id="82" w:name="page83"/>
    <w:bookmarkEnd w:id="82"/>
    <w:p>
      <w:pPr>
        <w:jc w:val="both"/>
        <w:ind w:firstLine="667"/>
        <w:spacing w:after="0" w:line="287" w:lineRule="auto"/>
        <w:rPr>
          <w:sz w:val="20"/>
          <w:szCs w:val="20"/>
          <w:color w:val="auto"/>
        </w:rPr>
      </w:pPr>
      <w:r>
        <w:rPr>
          <w:rFonts w:ascii="Arial" w:cs="Arial" w:eastAsia="Arial" w:hAnsi="Arial"/>
          <w:sz w:val="14"/>
          <w:szCs w:val="14"/>
          <w:color w:val="auto"/>
        </w:rPr>
        <w:t xml:space="preserve">Section 5.12 </w:t>
      </w:r>
      <w:r>
        <w:rPr>
          <w:rFonts w:ascii="Arial" w:cs="Arial" w:eastAsia="Arial" w:hAnsi="Arial"/>
          <w:sz w:val="14"/>
          <w:szCs w:val="14"/>
          <w:u w:val="single" w:color="auto"/>
          <w:color w:val="auto"/>
        </w:rPr>
        <w:t>Mechanical Endorsement</w:t>
      </w:r>
      <w:r>
        <w:rPr>
          <w:rFonts w:ascii="Arial" w:cs="Arial" w:eastAsia="Arial" w:hAnsi="Arial"/>
          <w:sz w:val="14"/>
          <w:szCs w:val="14"/>
          <w:color w:val="auto"/>
        </w:rPr>
        <w:t>. The Chair of the Board, any Vice Chair of the Board, the Chief Executive Officer, the President, any Vice President or the Secretary may authorize any endorsement on behalf of the Corporation to be made by such mechanical means or stamps as any such officers may deem appropriate.</w:t>
      </w: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VI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STOCK</w:t>
      </w:r>
    </w:p>
    <w:p>
      <w:pPr>
        <w:spacing w:after="0" w:line="302" w:lineRule="exact"/>
        <w:rPr>
          <w:sz w:val="20"/>
          <w:szCs w:val="20"/>
          <w:color w:val="auto"/>
        </w:rPr>
      </w:pPr>
    </w:p>
    <w:p>
      <w:pPr>
        <w:jc w:val="both"/>
        <w:ind w:firstLine="667"/>
        <w:spacing w:after="0" w:line="261" w:lineRule="auto"/>
        <w:rPr>
          <w:sz w:val="20"/>
          <w:szCs w:val="20"/>
          <w:color w:val="auto"/>
        </w:rPr>
      </w:pPr>
      <w:r>
        <w:rPr>
          <w:rFonts w:ascii="Arial" w:cs="Arial" w:eastAsia="Arial" w:hAnsi="Arial"/>
          <w:sz w:val="14"/>
          <w:szCs w:val="14"/>
          <w:color w:val="auto"/>
        </w:rPr>
        <w:t xml:space="preserve">Section 6.1 </w:t>
      </w:r>
      <w:r>
        <w:rPr>
          <w:rFonts w:ascii="Arial" w:cs="Arial" w:eastAsia="Arial" w:hAnsi="Arial"/>
          <w:sz w:val="14"/>
          <w:szCs w:val="14"/>
          <w:u w:val="single" w:color="auto"/>
          <w:color w:val="auto"/>
        </w:rPr>
        <w:t>Shares of Stock</w:t>
      </w:r>
      <w:r>
        <w:rPr>
          <w:rFonts w:ascii="Arial" w:cs="Arial" w:eastAsia="Arial" w:hAnsi="Arial"/>
          <w:sz w:val="14"/>
          <w:szCs w:val="14"/>
          <w:color w:val="auto"/>
        </w:rPr>
        <w:t>. Except as otherwise provided in a resolution approved by the Board of Directors, all shares of capital stock of the Corporation issued after May 19, 2008 shall be uncertificated shares. Notwithstanding the foregoing, shares of capital stock of the Corporation represented by a certificate issued on or prior to May 19, 2008, shall be certificated shares until such certificate is surrendered to the Corporation. Within a reasonable time after the issuance or transfer of uncertificated shares of stock, the Corporation shall send the registered owner a written notice confirming the information required to be set forth or stated on certificates pursuant to Sections 151, 156, 202(a) or 218(a) of the DGCL or a statement that the Corporation will furnish, without charge, to each stockholder who so requests, the powers, designations, preferences and relative participating, optional or other special rights of each class of stock or shares thereof and the qualifications, limitations or restrictions of such preferences and/or rights.</w:t>
      </w:r>
    </w:p>
    <w:p>
      <w:pPr>
        <w:spacing w:after="0" w:line="265"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6.2 </w:t>
      </w:r>
      <w:r>
        <w:rPr>
          <w:rFonts w:ascii="Arial" w:cs="Arial" w:eastAsia="Arial" w:hAnsi="Arial"/>
          <w:sz w:val="14"/>
          <w:szCs w:val="14"/>
          <w:u w:val="single" w:color="auto"/>
          <w:color w:val="auto"/>
        </w:rPr>
        <w:t>Signatures</w:t>
      </w:r>
      <w:r>
        <w:rPr>
          <w:rFonts w:ascii="Arial" w:cs="Arial" w:eastAsia="Arial" w:hAnsi="Arial"/>
          <w:sz w:val="14"/>
          <w:szCs w:val="14"/>
          <w:color w:val="auto"/>
        </w:rPr>
        <w:t>. Any or all of the signatures on a certificate may be a facsimile. In case any officer, transfer agent or registrar who has signed or whose facsimile signature has been placed upon a certificate shall have ceased to be such officer, transfer agent or registrar before such certificate is issued, it may be issued by the Corporation with the same effect as if such person were such officer, transfer agent or registrar at the date of issue.</w:t>
      </w:r>
    </w:p>
    <w:p>
      <w:pPr>
        <w:spacing w:after="0" w:line="256"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3"/>
          <w:szCs w:val="13"/>
          <w:color w:val="auto"/>
        </w:rPr>
        <w:t xml:space="preserve">Section 6.3 </w:t>
      </w:r>
      <w:r>
        <w:rPr>
          <w:rFonts w:ascii="Arial" w:cs="Arial" w:eastAsia="Arial" w:hAnsi="Arial"/>
          <w:sz w:val="13"/>
          <w:szCs w:val="13"/>
          <w:u w:val="single" w:color="auto"/>
          <w:color w:val="auto"/>
        </w:rPr>
        <w:t>Lost Certificates</w:t>
      </w:r>
      <w:r>
        <w:rPr>
          <w:rFonts w:ascii="Arial" w:cs="Arial" w:eastAsia="Arial" w:hAnsi="Arial"/>
          <w:sz w:val="13"/>
          <w:szCs w:val="13"/>
          <w:color w:val="auto"/>
        </w:rPr>
        <w:t>. The Board of Directors may direct a new certificate or uncertificated shares be issued in place of any certificate theretofore issued by the Corporation alleged to have been lost, stolen or destroyed, upon the making of an affidavit of that fact by the person claiming the certificate of stock to be lost, stolen or destroyed. When authorizing such issuance of a new certificate or uncertificated shares, the Board of Directors may, in its discretion and as a condition precedent to the issuance thereof, require the owner of such lost, stolen or destroyed certificate, or such owner's legal representative, to advertise the same in such manner as the Board of Directors shall require and/or to give the Corporation a bond in such sum as it may direct as indemnity against any claim that may be made against the Corporation on account of the alleged loss, theft or destruction of such certificate or the issuance of such new certificate or uncertificated shares.</w:t>
      </w:r>
    </w:p>
    <w:p>
      <w:pPr>
        <w:spacing w:after="0" w:line="250" w:lineRule="exact"/>
        <w:rPr>
          <w:sz w:val="20"/>
          <w:szCs w:val="20"/>
          <w:color w:val="auto"/>
        </w:rPr>
      </w:pPr>
    </w:p>
    <w:p>
      <w:pPr>
        <w:jc w:val="both"/>
        <w:ind w:firstLine="667"/>
        <w:spacing w:after="0" w:line="260" w:lineRule="auto"/>
        <w:rPr>
          <w:sz w:val="20"/>
          <w:szCs w:val="20"/>
          <w:color w:val="auto"/>
        </w:rPr>
      </w:pPr>
      <w:r>
        <w:rPr>
          <w:rFonts w:ascii="Arial" w:cs="Arial" w:eastAsia="Arial" w:hAnsi="Arial"/>
          <w:sz w:val="14"/>
          <w:szCs w:val="14"/>
          <w:color w:val="auto"/>
        </w:rPr>
        <w:t xml:space="preserve">Section 6.4 </w:t>
      </w:r>
      <w:r>
        <w:rPr>
          <w:rFonts w:ascii="Arial" w:cs="Arial" w:eastAsia="Arial" w:hAnsi="Arial"/>
          <w:sz w:val="14"/>
          <w:szCs w:val="14"/>
          <w:u w:val="single" w:color="auto"/>
          <w:color w:val="auto"/>
        </w:rPr>
        <w:t>Transfers</w:t>
      </w:r>
      <w:r>
        <w:rPr>
          <w:rFonts w:ascii="Arial" w:cs="Arial" w:eastAsia="Arial" w:hAnsi="Arial"/>
          <w:sz w:val="14"/>
          <w:szCs w:val="14"/>
          <w:color w:val="auto"/>
        </w:rPr>
        <w:t>. Stock of the Corporation shall be transferable in the manner prescribed by applicable law, the Certificate of Incorporation and in these By-Laws. Transfers of stock shall be made on the books of the Corporation, and in the case of certificated shares of stock, only by the person named in the certificate or by such person's attorney lawfully constituted in writing and upon the surrender of the certificate therefor, properly endorsed for transfer and payment of all necessary transfer taxes; or, in the case of uncertificated shares of stock, upon receipt of proper transfer instructions from the registered holder of the shares or by such person's attorney lawfully constituted in writing, and upon payment of all necessary transfer taxes and compliance with appropriate procedures for transferring shares in uncertificated form; provided, however, that such surrender and endorsement, compliance or payment of taxes shall not be required in any case in which the officers of the Corporation shall determine to waive such requirement. With respect to certificated shares of stock, every certificate exchanged, returned or surrendered to the Corporation shall be marked "Cancelled," with the date of cancellation, by the Secretary or Assistant</w:t>
      </w:r>
    </w:p>
    <w:p>
      <w:pPr>
        <w:sectPr>
          <w:pgSz w:w="11900" w:h="16838" w:orient="portrait"/>
          <w:cols w:equalWidth="0" w:num="1">
            <w:col w:w="11480"/>
          </w:cols>
          <w:pgMar w:left="220" w:top="584" w:right="199" w:bottom="1440" w:gutter="0" w:footer="0" w:header="0"/>
        </w:sectPr>
      </w:pPr>
    </w:p>
    <w:bookmarkStart w:id="83" w:name="page84"/>
    <w:bookmarkEnd w:id="83"/>
    <w:p>
      <w:pPr>
        <w:jc w:val="both"/>
        <w:spacing w:after="0" w:line="287" w:lineRule="auto"/>
        <w:rPr>
          <w:sz w:val="20"/>
          <w:szCs w:val="20"/>
          <w:color w:val="auto"/>
        </w:rPr>
      </w:pPr>
      <w:r>
        <w:rPr>
          <w:rFonts w:ascii="Arial" w:cs="Arial" w:eastAsia="Arial" w:hAnsi="Arial"/>
          <w:sz w:val="14"/>
          <w:szCs w:val="14"/>
          <w:color w:val="auto"/>
        </w:rPr>
        <w:t>Secretary of the Corporation or the transfer agent thereof. No transfer of stock shall be valid as against the Corporation for any purpose until it shall have been entered in the stock records of the Corporation by an entry showing from and to whom transferred.</w:t>
      </w:r>
    </w:p>
    <w:p>
      <w:pPr>
        <w:spacing w:after="0" w:line="245" w:lineRule="exact"/>
        <w:rPr>
          <w:sz w:val="20"/>
          <w:szCs w:val="20"/>
          <w:color w:val="auto"/>
        </w:rPr>
      </w:pPr>
    </w:p>
    <w:p>
      <w:pPr>
        <w:jc w:val="both"/>
        <w:ind w:firstLine="667"/>
        <w:spacing w:after="0" w:line="260" w:lineRule="auto"/>
        <w:rPr>
          <w:sz w:val="20"/>
          <w:szCs w:val="20"/>
          <w:color w:val="auto"/>
        </w:rPr>
      </w:pPr>
      <w:r>
        <w:rPr>
          <w:rFonts w:ascii="Arial" w:cs="Arial" w:eastAsia="Arial" w:hAnsi="Arial"/>
          <w:sz w:val="14"/>
          <w:szCs w:val="14"/>
          <w:color w:val="auto"/>
        </w:rPr>
        <w:t xml:space="preserve">Section 6.5 </w:t>
      </w:r>
      <w:r>
        <w:rPr>
          <w:rFonts w:ascii="Arial" w:cs="Arial" w:eastAsia="Arial" w:hAnsi="Arial"/>
          <w:sz w:val="14"/>
          <w:szCs w:val="14"/>
          <w:u w:val="single" w:color="auto"/>
          <w:color w:val="auto"/>
        </w:rPr>
        <w:t>Record Date</w:t>
      </w:r>
      <w:r>
        <w:rPr>
          <w:rFonts w:ascii="Arial" w:cs="Arial" w:eastAsia="Arial" w:hAnsi="Arial"/>
          <w:sz w:val="14"/>
          <w:szCs w:val="14"/>
          <w:color w:val="auto"/>
        </w:rPr>
        <w:t>. The Board of Directors may fix in advance a future date, not exceeding sixty days (nor, in the case of a stockholders' meeting, less than ten days) preceding the date of any meeting of stockholders, payment of dividend or other distribution, allotment of rights, or change, conversion or exchange of capital stock or for the purpose of any other lawful action, as the record date for determination of the stockholders entitled to notice of and to vote at any such meeting and any adjournment thereof, or to receive any such dividend or other distribution or allotment of rights, or to exercise the rights in respect of any such change, conversion or exchange of capital stock, or to participate in any such other lawful action, and, in such case, such stockholders and only such stockholders as shall be stockholders of record on the date so fixed shall be entitled to such notice of and to vote at such meeting and any adjournment thereof, or to receive such dividend or other distribution or allotment of rights, or to exercise such rights or to participate in any such other lawful action, as the case may be, notwithstanding any transfer of any stock on the books of the Corporation after any such record date fixed as aforesaid.</w:t>
      </w:r>
    </w:p>
    <w:p>
      <w:pPr>
        <w:spacing w:after="0" w:line="265"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6.6 </w:t>
      </w:r>
      <w:r>
        <w:rPr>
          <w:rFonts w:ascii="Arial" w:cs="Arial" w:eastAsia="Arial" w:hAnsi="Arial"/>
          <w:sz w:val="14"/>
          <w:szCs w:val="14"/>
          <w:u w:val="single" w:color="auto"/>
          <w:color w:val="auto"/>
        </w:rPr>
        <w:t>Stock Ledger</w:t>
      </w:r>
      <w:r>
        <w:rPr>
          <w:rFonts w:ascii="Arial" w:cs="Arial" w:eastAsia="Arial" w:hAnsi="Arial"/>
          <w:sz w:val="14"/>
          <w:szCs w:val="14"/>
          <w:color w:val="auto"/>
        </w:rPr>
        <w:t>. The Corporation shall maintain at its principal office or at the office of its counsel, accountants or transfer agent, an original or duplicate share ledger containing the name and address of each stockholder and the number of shares of each class held by such stockholder.</w:t>
      </w:r>
    </w:p>
    <w:p>
      <w:pPr>
        <w:spacing w:after="0" w:line="245"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6.7 </w:t>
      </w:r>
      <w:r>
        <w:rPr>
          <w:rFonts w:ascii="Arial" w:cs="Arial" w:eastAsia="Arial" w:hAnsi="Arial"/>
          <w:sz w:val="14"/>
          <w:szCs w:val="14"/>
          <w:u w:val="single" w:color="auto"/>
          <w:color w:val="auto"/>
        </w:rPr>
        <w:t>Record Owners</w:t>
      </w:r>
      <w:r>
        <w:rPr>
          <w:rFonts w:ascii="Arial" w:cs="Arial" w:eastAsia="Arial" w:hAnsi="Arial"/>
          <w:sz w:val="14"/>
          <w:szCs w:val="14"/>
          <w:color w:val="auto"/>
        </w:rPr>
        <w:t>. The Corporation shall be entitled to recognize the exclusive right of a person registered on its books as the owner of shares to receive dividends, and to vote as such owner, and to hold liable for calls and assessments a person registered on its books as the owner of shares, and shall not be bound to recognize any equitable or other claim to or interest in such share or shares on the part of any other person, whether or not it shall have express or other notice thereof, except as otherwise required by law.</w:t>
      </w:r>
    </w:p>
    <w:p>
      <w:pPr>
        <w:spacing w:after="0" w:line="256"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6.8 </w:t>
      </w:r>
      <w:r>
        <w:rPr>
          <w:rFonts w:ascii="Arial" w:cs="Arial" w:eastAsia="Arial" w:hAnsi="Arial"/>
          <w:sz w:val="14"/>
          <w:szCs w:val="14"/>
          <w:u w:val="single" w:color="auto"/>
          <w:color w:val="auto"/>
        </w:rPr>
        <w:t>Transfer and Registry Agents</w:t>
      </w:r>
      <w:r>
        <w:rPr>
          <w:rFonts w:ascii="Arial" w:cs="Arial" w:eastAsia="Arial" w:hAnsi="Arial"/>
          <w:sz w:val="14"/>
          <w:szCs w:val="14"/>
          <w:color w:val="auto"/>
        </w:rPr>
        <w:t>. The Corporation may from time to time maintain one or more transfer offices or agencies and registry offices or agencies at such place or places as may be determined from time to time by the Board of Directors.</w:t>
      </w: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VII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NOTICES</w:t>
      </w:r>
    </w:p>
    <w:p>
      <w:pPr>
        <w:spacing w:after="0" w:line="302"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7.1 </w:t>
      </w:r>
      <w:r>
        <w:rPr>
          <w:rFonts w:ascii="Arial" w:cs="Arial" w:eastAsia="Arial" w:hAnsi="Arial"/>
          <w:sz w:val="14"/>
          <w:szCs w:val="14"/>
          <w:u w:val="single" w:color="auto"/>
          <w:color w:val="auto"/>
        </w:rPr>
        <w:t>Notices</w:t>
      </w:r>
      <w:r>
        <w:rPr>
          <w:rFonts w:ascii="Arial" w:cs="Arial" w:eastAsia="Arial" w:hAnsi="Arial"/>
          <w:sz w:val="14"/>
          <w:szCs w:val="14"/>
          <w:color w:val="auto"/>
        </w:rPr>
        <w:t>. Whenever written notice is required by law, the Certificate of Incorporation or these By-Laws, to be given to any director, member of a committee or stockholder, such notice may be given by mail, addressed to such director, member of a committee or stockholder, at such person's address as it appears on the records of the Corporation, with postage thereon prepaid, and such notice shall be deemed to be given at the time when the same shall be deposited in the United States mail. Written notice may be given personally or by telegram, telex, cable or other electronic transmission.</w:t>
      </w:r>
    </w:p>
    <w:p>
      <w:pPr>
        <w:spacing w:after="0" w:line="262"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7.2 </w:t>
      </w:r>
      <w:r>
        <w:rPr>
          <w:rFonts w:ascii="Arial" w:cs="Arial" w:eastAsia="Arial" w:hAnsi="Arial"/>
          <w:sz w:val="14"/>
          <w:szCs w:val="14"/>
          <w:u w:val="single" w:color="auto"/>
          <w:color w:val="auto"/>
        </w:rPr>
        <w:t>Waivers of Notice</w:t>
      </w:r>
      <w:r>
        <w:rPr>
          <w:rFonts w:ascii="Arial" w:cs="Arial" w:eastAsia="Arial" w:hAnsi="Arial"/>
          <w:sz w:val="14"/>
          <w:szCs w:val="14"/>
          <w:color w:val="auto"/>
        </w:rPr>
        <w:t>. Whenever any notice is required by law, the Certificate of Incorporation or these By-Laws, to be given to any director, member of a committee or stockholder, a waiver thereof in writing, signed, by the person or persons entitled to said notice or a waiver by electronic transmission by the person entitled to notice, whether before or after the time stated therein, shall be deemed equivalent thereto. Attendance of a person at a meeting, present in person or represented by proxy, shall constitute a waiver of notice of such meeting, except where the person attends the meeting for the express purpose of objecting at the beginning of the meeting to the transaction of any business because the meeting</w:t>
      </w:r>
    </w:p>
    <w:p>
      <w:pPr>
        <w:sectPr>
          <w:pgSz w:w="11900" w:h="16838" w:orient="portrait"/>
          <w:cols w:equalWidth="0" w:num="1">
            <w:col w:w="11480"/>
          </w:cols>
          <w:pgMar w:left="220" w:top="585" w:right="199" w:bottom="1440" w:gutter="0" w:footer="0" w:header="0"/>
        </w:sectPr>
      </w:pPr>
    </w:p>
    <w:bookmarkStart w:id="84" w:name="page85"/>
    <w:bookmarkEnd w:id="84"/>
    <w:p>
      <w:pPr>
        <w:spacing w:after="0"/>
        <w:rPr>
          <w:sz w:val="20"/>
          <w:szCs w:val="20"/>
          <w:color w:val="auto"/>
        </w:rPr>
      </w:pPr>
      <w:r>
        <w:rPr>
          <w:rFonts w:ascii="Arial" w:cs="Arial" w:eastAsia="Arial" w:hAnsi="Arial"/>
          <w:sz w:val="14"/>
          <w:szCs w:val="14"/>
          <w:color w:val="auto"/>
        </w:rPr>
        <w:t>is not lawfully called or convened.</w:t>
      </w:r>
    </w:p>
    <w:p>
      <w:pPr>
        <w:spacing w:after="0" w:line="294"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VIII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GENERAL PROVISIONS</w:t>
      </w:r>
    </w:p>
    <w:p>
      <w:pPr>
        <w:spacing w:after="0" w:line="302"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3"/>
          <w:szCs w:val="13"/>
          <w:color w:val="auto"/>
        </w:rPr>
        <w:t xml:space="preserve">Section 8.1 </w:t>
      </w:r>
      <w:r>
        <w:rPr>
          <w:rFonts w:ascii="Arial" w:cs="Arial" w:eastAsia="Arial" w:hAnsi="Arial"/>
          <w:sz w:val="13"/>
          <w:szCs w:val="13"/>
          <w:u w:val="single" w:color="auto"/>
          <w:color w:val="auto"/>
        </w:rPr>
        <w:t>Dividends</w:t>
      </w:r>
      <w:r>
        <w:rPr>
          <w:rFonts w:ascii="Arial" w:cs="Arial" w:eastAsia="Arial" w:hAnsi="Arial"/>
          <w:sz w:val="13"/>
          <w:szCs w:val="13"/>
          <w:color w:val="auto"/>
        </w:rPr>
        <w:t>. Dividends upon the capital stock of the Corporation, subject to the requirements of the DGCL and the provisions of the Certificate of Incorporation, if any, may be declared by the Board of Directors at any regular or special meeting of the Board of Directors (or any action by written consent in lieu thereof in accordance with Section 3.7 of ARTICLE III hereof), and may be paid in cash, in property, or in shares of the Corporation's capital stock. Before payment of any dividend, there may be set aside out of any funds of the Corporation available for dividends such sum or sums as the Board of Directors from time to time, in its absolute discretion, deems proper as a reserve or reserves to meet contingencies, or for equalizing dividends, or for repairing or maintaining any property of the Corporation, or for any proper purpose, and the Board of Directors may modify or abolish any such reserve.</w:t>
      </w:r>
    </w:p>
    <w:p>
      <w:pPr>
        <w:spacing w:after="0" w:line="250"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8.2 </w:t>
      </w:r>
      <w:r>
        <w:rPr>
          <w:rFonts w:ascii="Arial" w:cs="Arial" w:eastAsia="Arial" w:hAnsi="Arial"/>
          <w:sz w:val="14"/>
          <w:szCs w:val="14"/>
          <w:u w:val="single" w:color="auto"/>
          <w:color w:val="auto"/>
        </w:rPr>
        <w:t>Disbursements</w:t>
      </w:r>
      <w:r>
        <w:rPr>
          <w:rFonts w:ascii="Arial" w:cs="Arial" w:eastAsia="Arial" w:hAnsi="Arial"/>
          <w:sz w:val="14"/>
          <w:szCs w:val="14"/>
          <w:color w:val="auto"/>
        </w:rPr>
        <w:t>. All checks or demands for money and notes of the Corporation shall be signed by such officer or officers or such other person or persons as the Board of Directors may from time to time designate.</w:t>
      </w:r>
    </w:p>
    <w:p>
      <w:pPr>
        <w:spacing w:after="0" w:line="245" w:lineRule="exact"/>
        <w:rPr>
          <w:sz w:val="20"/>
          <w:szCs w:val="20"/>
          <w:color w:val="auto"/>
        </w:rPr>
      </w:pPr>
    </w:p>
    <w:p>
      <w:pPr>
        <w:ind w:left="660"/>
        <w:spacing w:after="0"/>
        <w:rPr>
          <w:sz w:val="20"/>
          <w:szCs w:val="20"/>
          <w:color w:val="auto"/>
        </w:rPr>
      </w:pPr>
      <w:r>
        <w:rPr>
          <w:rFonts w:ascii="Arial" w:cs="Arial" w:eastAsia="Arial" w:hAnsi="Arial"/>
          <w:sz w:val="14"/>
          <w:szCs w:val="14"/>
          <w:color w:val="auto"/>
        </w:rPr>
        <w:t xml:space="preserve">Section 8.3 </w:t>
      </w:r>
      <w:r>
        <w:rPr>
          <w:rFonts w:ascii="Arial" w:cs="Arial" w:eastAsia="Arial" w:hAnsi="Arial"/>
          <w:sz w:val="14"/>
          <w:szCs w:val="14"/>
          <w:u w:val="single" w:color="auto"/>
          <w:color w:val="auto"/>
        </w:rPr>
        <w:t>Fiscal Year</w:t>
      </w:r>
      <w:r>
        <w:rPr>
          <w:rFonts w:ascii="Arial" w:cs="Arial" w:eastAsia="Arial" w:hAnsi="Arial"/>
          <w:sz w:val="14"/>
          <w:szCs w:val="14"/>
          <w:color w:val="auto"/>
        </w:rPr>
        <w:t>. The fiscal year of the Corporation shall be fixed by resolution of the Board of Directors.</w:t>
      </w:r>
    </w:p>
    <w:p>
      <w:pPr>
        <w:spacing w:after="0" w:line="298"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 xml:space="preserve">Section 8.4 </w:t>
      </w:r>
      <w:r>
        <w:rPr>
          <w:rFonts w:ascii="Arial" w:cs="Arial" w:eastAsia="Arial" w:hAnsi="Arial"/>
          <w:sz w:val="14"/>
          <w:szCs w:val="14"/>
          <w:u w:val="single" w:color="auto"/>
          <w:color w:val="auto"/>
        </w:rPr>
        <w:t>Corporate Seal</w:t>
      </w:r>
      <w:r>
        <w:rPr>
          <w:rFonts w:ascii="Arial" w:cs="Arial" w:eastAsia="Arial" w:hAnsi="Arial"/>
          <w:sz w:val="14"/>
          <w:szCs w:val="14"/>
          <w:color w:val="auto"/>
        </w:rPr>
        <w:t>. The corporate seal shall have inscribed thereon the name of the Corporation, the year of its organization and the words "Corporate Seal, Delaware". The seal may be used by causing it or a facsimile thereof to be impressed or affixed or reproduced or otherwise.</w:t>
      </w:r>
    </w:p>
    <w:p>
      <w:pPr>
        <w:spacing w:after="0" w:line="245" w:lineRule="exact"/>
        <w:rPr>
          <w:sz w:val="20"/>
          <w:szCs w:val="20"/>
          <w:color w:val="auto"/>
        </w:rPr>
      </w:pPr>
    </w:p>
    <w:p>
      <w:pPr>
        <w:jc w:val="both"/>
        <w:ind w:firstLine="667"/>
        <w:spacing w:after="0" w:line="271" w:lineRule="auto"/>
        <w:rPr>
          <w:sz w:val="20"/>
          <w:szCs w:val="20"/>
          <w:color w:val="auto"/>
        </w:rPr>
      </w:pPr>
      <w:r>
        <w:rPr>
          <w:rFonts w:ascii="Arial" w:cs="Arial" w:eastAsia="Arial" w:hAnsi="Arial"/>
          <w:sz w:val="14"/>
          <w:szCs w:val="14"/>
          <w:color w:val="auto"/>
        </w:rPr>
        <w:t xml:space="preserve">Section 8.5 </w:t>
      </w:r>
      <w:r>
        <w:rPr>
          <w:rFonts w:ascii="Arial" w:cs="Arial" w:eastAsia="Arial" w:hAnsi="Arial"/>
          <w:sz w:val="14"/>
          <w:szCs w:val="14"/>
          <w:u w:val="single" w:color="auto"/>
          <w:color w:val="auto"/>
        </w:rPr>
        <w:t>Executive Office</w:t>
      </w:r>
      <w:r>
        <w:rPr>
          <w:rFonts w:ascii="Arial" w:cs="Arial" w:eastAsia="Arial" w:hAnsi="Arial"/>
          <w:sz w:val="14"/>
          <w:szCs w:val="14"/>
          <w:color w:val="auto"/>
        </w:rPr>
        <w:t>. The principal executive office of the Corporation shall be located in Bethesda, Maryland or such other location as may be specified by the Board of Directors. The books of account and records shall be kept in such office. The Corporation also may have offices at such other places, both within and without Delaware, as the Board of Directors from time to time shall determine or the business and affairs of the Corporation may require.</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IX</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INVESTMENT POLICY</w:t>
      </w:r>
    </w:p>
    <w:p>
      <w:pPr>
        <w:spacing w:after="0" w:line="302" w:lineRule="exact"/>
        <w:rPr>
          <w:sz w:val="20"/>
          <w:szCs w:val="20"/>
          <w:color w:val="auto"/>
        </w:rPr>
      </w:pPr>
    </w:p>
    <w:p>
      <w:pPr>
        <w:jc w:val="both"/>
        <w:ind w:firstLine="667"/>
        <w:spacing w:after="0" w:line="287" w:lineRule="auto"/>
        <w:rPr>
          <w:sz w:val="20"/>
          <w:szCs w:val="20"/>
          <w:color w:val="auto"/>
        </w:rPr>
      </w:pPr>
      <w:r>
        <w:rPr>
          <w:rFonts w:ascii="Arial" w:cs="Arial" w:eastAsia="Arial" w:hAnsi="Arial"/>
          <w:sz w:val="14"/>
          <w:szCs w:val="14"/>
          <w:color w:val="auto"/>
        </w:rPr>
        <w:t>Subject to the provisions of the Certificate of Incorporation, the Board of Directors may from time to time adopt, amend, revise or terminate any policy or policies with respect to investments by the Corporation as it shall deem appropriate in its sole discretion.</w:t>
      </w: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ARTICLE X</w:t>
      </w:r>
    </w:p>
    <w:p>
      <w:pPr>
        <w:spacing w:after="0" w:line="226"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INDEMNIFICATION</w:t>
      </w:r>
    </w:p>
    <w:p>
      <w:pPr>
        <w:spacing w:after="0" w:line="302" w:lineRule="exact"/>
        <w:rPr>
          <w:sz w:val="20"/>
          <w:szCs w:val="20"/>
          <w:color w:val="auto"/>
        </w:rPr>
      </w:pPr>
    </w:p>
    <w:p>
      <w:pPr>
        <w:jc w:val="both"/>
        <w:ind w:firstLine="667"/>
        <w:spacing w:after="0" w:line="301" w:lineRule="auto"/>
        <w:rPr>
          <w:sz w:val="20"/>
          <w:szCs w:val="20"/>
          <w:color w:val="auto"/>
        </w:rPr>
      </w:pPr>
      <w:r>
        <w:rPr>
          <w:rFonts w:ascii="Arial" w:cs="Arial" w:eastAsia="Arial" w:hAnsi="Arial"/>
          <w:sz w:val="13"/>
          <w:szCs w:val="13"/>
          <w:color w:val="auto"/>
        </w:rPr>
        <w:t xml:space="preserve">Section 10.1 </w:t>
      </w:r>
      <w:r>
        <w:rPr>
          <w:rFonts w:ascii="Arial" w:cs="Arial" w:eastAsia="Arial" w:hAnsi="Arial"/>
          <w:sz w:val="13"/>
          <w:szCs w:val="13"/>
          <w:u w:val="single" w:color="auto"/>
          <w:color w:val="auto"/>
        </w:rPr>
        <w:t>Indemnification Provisions in Certificate of Incorporation</w:t>
      </w:r>
      <w:r>
        <w:rPr>
          <w:rFonts w:ascii="Arial" w:cs="Arial" w:eastAsia="Arial" w:hAnsi="Arial"/>
          <w:sz w:val="13"/>
          <w:szCs w:val="13"/>
          <w:color w:val="auto"/>
        </w:rPr>
        <w:t>. The provisions of this ARTICLE X are intended to supplement Article VII of the Certificate of Incorporation pursuant to Section 7.2 therein. To the extent that this ARTICLE X contains any provisions inconsistent with such Article VII, the provisions of the Certificate of Incorporation shall govern. Terms used in this ARTICLE X but not otherwise defined shall have the respective meanings given such terms in such Article VII of the Certificate of Incorporation.</w:t>
      </w:r>
    </w:p>
    <w:p>
      <w:pPr>
        <w:sectPr>
          <w:pgSz w:w="11900" w:h="16838" w:orient="portrait"/>
          <w:cols w:equalWidth="0" w:num="1">
            <w:col w:w="11480"/>
          </w:cols>
          <w:pgMar w:left="220" w:top="585" w:right="199" w:bottom="1440" w:gutter="0" w:footer="0" w:header="0"/>
        </w:sectPr>
      </w:pPr>
    </w:p>
    <w:bookmarkStart w:id="85" w:name="page86"/>
    <w:bookmarkEnd w:id="85"/>
    <w:p>
      <w:pPr>
        <w:jc w:val="both"/>
        <w:ind w:firstLine="667"/>
        <w:spacing w:after="0" w:line="292" w:lineRule="auto"/>
        <w:rPr>
          <w:sz w:val="20"/>
          <w:szCs w:val="20"/>
          <w:color w:val="auto"/>
        </w:rPr>
      </w:pPr>
      <w:r>
        <w:rPr>
          <w:rFonts w:ascii="Arial" w:cs="Arial" w:eastAsia="Arial" w:hAnsi="Arial"/>
          <w:sz w:val="13"/>
          <w:szCs w:val="13"/>
          <w:color w:val="auto"/>
        </w:rPr>
        <w:t xml:space="preserve">Section 10.2 </w:t>
      </w:r>
      <w:r>
        <w:rPr>
          <w:rFonts w:ascii="Arial" w:cs="Arial" w:eastAsia="Arial" w:hAnsi="Arial"/>
          <w:sz w:val="13"/>
          <w:szCs w:val="13"/>
          <w:u w:val="single" w:color="auto"/>
          <w:color w:val="auto"/>
        </w:rPr>
        <w:t>Undertakings for Advances of Expenses</w:t>
      </w:r>
      <w:r>
        <w:rPr>
          <w:rFonts w:ascii="Arial" w:cs="Arial" w:eastAsia="Arial" w:hAnsi="Arial"/>
          <w:sz w:val="13"/>
          <w:szCs w:val="13"/>
          <w:color w:val="auto"/>
        </w:rPr>
        <w:t>. If and to the extent the DGCL requires, an advancement by the Corporation of expenses incurred by an indemnitee pursuant to clause (iii) of the last sentence of Section 7.1 of the Certificate of Incorporation (hereinafter an "advancement of expenses") shall be made only upon delivery to the Corporation of an undertaking (hereinafter an "undertaking"), by or on behalf of such indemnitee, to repay all amounts so advanced if it shall ultimately be determined by final judicial decision from which there is no further right to appeal (hereinafter a "final adjudication") that such indemnitee is not entitled to be indemnified for such expenses under Article VII of the Certificate of Incorporation or otherwise.</w:t>
      </w:r>
    </w:p>
    <w:p>
      <w:pPr>
        <w:spacing w:after="0" w:line="245" w:lineRule="exact"/>
        <w:rPr>
          <w:sz w:val="20"/>
          <w:szCs w:val="20"/>
          <w:color w:val="auto"/>
        </w:rPr>
      </w:pPr>
    </w:p>
    <w:p>
      <w:pPr>
        <w:jc w:val="both"/>
        <w:ind w:firstLine="667"/>
        <w:spacing w:after="0" w:line="257" w:lineRule="auto"/>
        <w:rPr>
          <w:sz w:val="20"/>
          <w:szCs w:val="20"/>
          <w:color w:val="auto"/>
        </w:rPr>
      </w:pPr>
      <w:r>
        <w:rPr>
          <w:rFonts w:ascii="Arial" w:cs="Arial" w:eastAsia="Arial" w:hAnsi="Arial"/>
          <w:sz w:val="14"/>
          <w:szCs w:val="14"/>
          <w:color w:val="auto"/>
        </w:rPr>
        <w:t xml:space="preserve">Section 10.3 </w:t>
      </w:r>
      <w:r>
        <w:rPr>
          <w:rFonts w:ascii="Arial" w:cs="Arial" w:eastAsia="Arial" w:hAnsi="Arial"/>
          <w:sz w:val="14"/>
          <w:szCs w:val="14"/>
          <w:u w:val="single" w:color="auto"/>
          <w:color w:val="auto"/>
        </w:rPr>
        <w:t>Claims for Indemnification</w:t>
      </w:r>
      <w:r>
        <w:rPr>
          <w:rFonts w:ascii="Arial" w:cs="Arial" w:eastAsia="Arial" w:hAnsi="Arial"/>
          <w:sz w:val="14"/>
          <w:szCs w:val="14"/>
          <w:color w:val="auto"/>
        </w:rPr>
        <w:t>. If a claim for indemnification under Section 7.1 of the Certificate of Incorporation is not paid in full by the Corporation within sixty (60) days after it has been received in writing by the Corporation, except in the case of a claim for an advancement of expenses, in which case the applicable period shall be twenty (20) days, the indemnitee may at any time thereafter bring suit against the Corporation to recover the unpaid amount of the claim. If successful in whole or in part in any such suit, or in a suit brought by the Corporation to recover an advancement of expenses pursuant to the terms of an undertaking, the indemnitee shall be entitled to be paid also the expense of prosecuting or defending such suit. In any suit brought by the indemnitee to enforce a right to indemnification hereunder (but not in a suit brought by the indemnitee to enforce a right to an advancement of expenses) it shall be a defense that, and in any suit by the Corporation to recover an advancement of expenses pursuant to the terms of an undertaking, the Corporation shall be entitled to recover such expenses only upon a final adjudication that, the indemnitee has not met the applicable standard of conduct set forth in Section 145 of the DGCL (or any successor provision or provisions). Neither the failure of the Corporation (including the Board of Directors, independent legal counsel or its stockholders) to have made a determination prior to commencement of such suit that indemnification of the indemnitee is proper in the circumstances because the indemnitee has met the applicable standard of conduct set forth in Section 145 of the DGCL (or any successor provision or provisions), nor an actual determination by the Corporation (including the Board of Directors, independent legal counsel, or its stockholders) that the indemnitee has not met such applicable standard of conduct, shall create a presumption that the indemnitee has not met the applicable standard of conduct or, in the case of such a suit brought by the indemnitee, be a defense to such suit. In any suit brought by the indemnitee to enforce a right to indemnification or to an advancement of expenses hereunder, or by the Corporation to recover an advancement of expenses pursuant to the terms of an undertaking, the burden of proving that the indemnitee is not entitled to be indemnified, or to have or retain such advancement of expenses, under Article VII of the Certificate of Incorporation or this ARTICLE X or otherwise, shall be on the Corporation.</w:t>
      </w:r>
    </w:p>
    <w:p>
      <w:pPr>
        <w:spacing w:after="0" w:line="271"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10.4 </w:t>
      </w:r>
      <w:r>
        <w:rPr>
          <w:rFonts w:ascii="Arial" w:cs="Arial" w:eastAsia="Arial" w:hAnsi="Arial"/>
          <w:sz w:val="14"/>
          <w:szCs w:val="14"/>
          <w:u w:val="single" w:color="auto"/>
          <w:color w:val="auto"/>
        </w:rPr>
        <w:t>Insurance</w:t>
      </w:r>
      <w:r>
        <w:rPr>
          <w:rFonts w:ascii="Arial" w:cs="Arial" w:eastAsia="Arial" w:hAnsi="Arial"/>
          <w:sz w:val="14"/>
          <w:szCs w:val="14"/>
          <w:color w:val="auto"/>
        </w:rPr>
        <w:t>. The Corporation shall have power to purchase and maintain insurance on behalf of any person who is or was a director, officer, employee or agent of the Corporation, or is or was serving at the request of the Corporation as a director, officer, employee or agent of another corporation, partnership, joint venture, trust or other enterprise against any liability asserted against such person and incurred by such person in any such capacity, or arising out of such person's status as such, whether or not the Corporation would have the power to indemnify such person against such liability under the DGCL or any other provision of law.</w:t>
      </w:r>
    </w:p>
    <w:p>
      <w:pPr>
        <w:spacing w:after="0" w:line="262" w:lineRule="exact"/>
        <w:rPr>
          <w:sz w:val="20"/>
          <w:szCs w:val="20"/>
          <w:color w:val="auto"/>
        </w:rPr>
      </w:pPr>
    </w:p>
    <w:p>
      <w:pPr>
        <w:jc w:val="both"/>
        <w:ind w:right="20" w:firstLine="667"/>
        <w:spacing w:after="0" w:line="287" w:lineRule="auto"/>
        <w:rPr>
          <w:sz w:val="20"/>
          <w:szCs w:val="20"/>
          <w:color w:val="auto"/>
        </w:rPr>
      </w:pPr>
      <w:r>
        <w:rPr>
          <w:rFonts w:ascii="Arial" w:cs="Arial" w:eastAsia="Arial" w:hAnsi="Arial"/>
          <w:sz w:val="14"/>
          <w:szCs w:val="14"/>
          <w:color w:val="auto"/>
        </w:rPr>
        <w:t xml:space="preserve">Section 10.5 </w:t>
      </w:r>
      <w:r>
        <w:rPr>
          <w:rFonts w:ascii="Arial" w:cs="Arial" w:eastAsia="Arial" w:hAnsi="Arial"/>
          <w:sz w:val="14"/>
          <w:szCs w:val="14"/>
          <w:u w:val="single" w:color="auto"/>
          <w:color w:val="auto"/>
        </w:rPr>
        <w:t>Severability</w:t>
      </w:r>
      <w:r>
        <w:rPr>
          <w:rFonts w:ascii="Arial" w:cs="Arial" w:eastAsia="Arial" w:hAnsi="Arial"/>
          <w:sz w:val="14"/>
          <w:szCs w:val="14"/>
          <w:color w:val="auto"/>
        </w:rPr>
        <w:t>. In the event that any of the provisions of this ARTICLE X (including any provision within a single section, paragraph or sentence) is held by a court of competent jurisdiction to be invalid, void or otherwise unenforceable, the remaining provisions are severable and shall remain enforceable to the full extent permitted by law.</w:t>
      </w:r>
    </w:p>
    <w:p>
      <w:pPr>
        <w:sectPr>
          <w:pgSz w:w="11900" w:h="16838" w:orient="portrait"/>
          <w:cols w:equalWidth="0" w:num="1">
            <w:col w:w="11480"/>
          </w:cols>
          <w:pgMar w:left="220" w:top="584" w:right="199" w:bottom="1440" w:gutter="0" w:footer="0" w:header="0"/>
        </w:sectPr>
      </w:pPr>
    </w:p>
    <w:bookmarkStart w:id="86" w:name="page87"/>
    <w:bookmarkEnd w:id="86"/>
    <w:p>
      <w:pPr>
        <w:jc w:val="center"/>
        <w:spacing w:after="0"/>
        <w:rPr>
          <w:sz w:val="20"/>
          <w:szCs w:val="20"/>
          <w:color w:val="auto"/>
        </w:rPr>
      </w:pPr>
      <w:r>
        <w:rPr>
          <w:rFonts w:ascii="Arial" w:cs="Arial" w:eastAsia="Arial" w:hAnsi="Arial"/>
          <w:sz w:val="14"/>
          <w:szCs w:val="14"/>
          <w:b w:val="1"/>
          <w:bCs w:val="1"/>
          <w:color w:val="auto"/>
        </w:rPr>
        <w:t>ARTICLE XI</w:t>
      </w:r>
    </w:p>
    <w:p>
      <w:pPr>
        <w:spacing w:after="0" w:line="298"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AMENDMENTS</w:t>
      </w:r>
    </w:p>
    <w:p>
      <w:pPr>
        <w:spacing w:after="0" w:line="302" w:lineRule="exact"/>
        <w:rPr>
          <w:sz w:val="20"/>
          <w:szCs w:val="20"/>
          <w:color w:val="auto"/>
        </w:rPr>
      </w:pPr>
    </w:p>
    <w:p>
      <w:pPr>
        <w:jc w:val="both"/>
        <w:ind w:firstLine="667"/>
        <w:spacing w:after="0" w:line="265" w:lineRule="auto"/>
        <w:rPr>
          <w:sz w:val="20"/>
          <w:szCs w:val="20"/>
          <w:color w:val="auto"/>
        </w:rPr>
      </w:pPr>
      <w:r>
        <w:rPr>
          <w:rFonts w:ascii="Arial" w:cs="Arial" w:eastAsia="Arial" w:hAnsi="Arial"/>
          <w:sz w:val="14"/>
          <w:szCs w:val="14"/>
          <w:color w:val="auto"/>
        </w:rPr>
        <w:t xml:space="preserve">Section 11.1 </w:t>
      </w:r>
      <w:r>
        <w:rPr>
          <w:rFonts w:ascii="Arial" w:cs="Arial" w:eastAsia="Arial" w:hAnsi="Arial"/>
          <w:sz w:val="14"/>
          <w:szCs w:val="14"/>
          <w:u w:val="single" w:color="auto"/>
          <w:color w:val="auto"/>
        </w:rPr>
        <w:t>Amendments</w:t>
      </w:r>
      <w:r>
        <w:rPr>
          <w:rFonts w:ascii="Arial" w:cs="Arial" w:eastAsia="Arial" w:hAnsi="Arial"/>
          <w:sz w:val="14"/>
          <w:szCs w:val="14"/>
          <w:color w:val="auto"/>
        </w:rPr>
        <w:t>. These By-Laws may be altered, amended or repealed, in whole or in part, or new By-Laws may be adopted by the stockholders or by the Board of Directors, provided, however, that notice of such alteration, amendment, repeal or adoption of new By-Laws be contained in the notice of such meeting of stockholders or Board of Directors as the case may be. All such amendments must be approved by either the holders of sixty-six percent (66%) of the outstanding capital stock entitled to vote thereon or by a majority of the entire Board of Directors then in office.</w:t>
      </w:r>
    </w:p>
    <w:p>
      <w:pPr>
        <w:spacing w:after="0" w:line="262" w:lineRule="exact"/>
        <w:rPr>
          <w:sz w:val="20"/>
          <w:szCs w:val="20"/>
          <w:color w:val="auto"/>
        </w:rPr>
      </w:pPr>
    </w:p>
    <w:p>
      <w:pPr>
        <w:jc w:val="both"/>
        <w:ind w:right="20" w:firstLine="667"/>
        <w:spacing w:after="0" w:line="287" w:lineRule="auto"/>
        <w:rPr>
          <w:sz w:val="20"/>
          <w:szCs w:val="20"/>
          <w:color w:val="auto"/>
        </w:rPr>
      </w:pPr>
      <w:r>
        <w:rPr>
          <w:rFonts w:ascii="Arial" w:cs="Arial" w:eastAsia="Arial" w:hAnsi="Arial"/>
          <w:sz w:val="14"/>
          <w:szCs w:val="14"/>
          <w:color w:val="auto"/>
        </w:rPr>
        <w:t xml:space="preserve">Section 11.2 </w:t>
      </w:r>
      <w:r>
        <w:rPr>
          <w:rFonts w:ascii="Arial" w:cs="Arial" w:eastAsia="Arial" w:hAnsi="Arial"/>
          <w:sz w:val="14"/>
          <w:szCs w:val="14"/>
          <w:u w:val="single" w:color="auto"/>
          <w:color w:val="auto"/>
        </w:rPr>
        <w:t>Entire Board of Directors</w:t>
      </w:r>
      <w:r>
        <w:rPr>
          <w:rFonts w:ascii="Arial" w:cs="Arial" w:eastAsia="Arial" w:hAnsi="Arial"/>
          <w:sz w:val="14"/>
          <w:szCs w:val="14"/>
          <w:color w:val="auto"/>
        </w:rPr>
        <w:t>. As used in this ARTICLE XI and in these By-Laws generally, the term "entire Board of Directors" means the total number of directors which the Corporation would have if there were no vacancies.</w:t>
      </w:r>
    </w:p>
    <w:p>
      <w:pPr>
        <w:spacing w:after="0" w:line="245" w:lineRule="exact"/>
        <w:rPr>
          <w:sz w:val="20"/>
          <w:szCs w:val="20"/>
          <w:color w:val="auto"/>
        </w:rPr>
      </w:pPr>
    </w:p>
    <w:p>
      <w:pPr>
        <w:ind w:left="660"/>
        <w:spacing w:after="0"/>
        <w:rPr>
          <w:sz w:val="20"/>
          <w:szCs w:val="20"/>
          <w:color w:val="auto"/>
        </w:rPr>
      </w:pPr>
      <w:r>
        <w:rPr>
          <w:rFonts w:ascii="Arial" w:cs="Arial" w:eastAsia="Arial" w:hAnsi="Arial"/>
          <w:sz w:val="14"/>
          <w:szCs w:val="14"/>
          <w:color w:val="auto"/>
        </w:rPr>
        <w:t>Adopted as of: September 30, 2016 (amending and restating the Second Amended and Restated By-laws of the Corporation, adopted as of May 26, 2011, as amended)</w:t>
      </w:r>
    </w:p>
    <w:p>
      <w:pPr>
        <w:sectPr>
          <w:pgSz w:w="11900" w:h="16838" w:orient="portrait"/>
          <w:cols w:equalWidth="0" w:num="1">
            <w:col w:w="11480"/>
          </w:cols>
          <w:pgMar w:left="220" w:top="580" w:right="199" w:bottom="1440" w:gutter="0" w:footer="0" w:header="0"/>
        </w:sectPr>
      </w:pPr>
    </w:p>
    <w:bookmarkStart w:id="87" w:name="page88"/>
    <w:bookmarkEnd w:id="8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271780</wp:posOffset>
            </wp:positionV>
            <wp:extent cx="7244715" cy="46932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44715" cy="46932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8" w:name="page89"/>
    <w:bookmarkEnd w:id="8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222885</wp:posOffset>
            </wp:positionH>
            <wp:positionV relativeFrom="page">
              <wp:posOffset>374650</wp:posOffset>
            </wp:positionV>
            <wp:extent cx="7244715" cy="76561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44715" cy="76561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9" w:name="page90"/>
    <w:bookmarkEnd w:id="89"/>
    <w:p>
      <w:pPr>
        <w:spacing w:after="0"/>
        <w:rPr>
          <w:sz w:val="20"/>
          <w:szCs w:val="20"/>
          <w:color w:val="auto"/>
        </w:rPr>
      </w:pPr>
    </w:p>
    <w:p>
      <w:pPr>
        <w:sectPr>
          <w:pgSz w:w="11900" w:h="16838" w:orient="portrait"/>
          <w:cols w:equalWidth="1" w:num="1" w:space="0"/>
          <w:pgMar w:left="1440" w:top="1440" w:right="1440" w:bottom="875" w:gutter="0" w:footer="0" w:header="0"/>
        </w:sectPr>
      </w:pPr>
    </w:p>
    <w:bookmarkStart w:id="90" w:name="page91"/>
    <w:bookmarkEnd w:id="90"/>
    <w:p>
      <w:pPr>
        <w:jc w:val="right"/>
        <w:spacing w:after="0"/>
        <w:rPr>
          <w:sz w:val="20"/>
          <w:szCs w:val="20"/>
          <w:color w:val="auto"/>
        </w:rPr>
      </w:pPr>
      <w:r>
        <w:rPr>
          <w:rFonts w:ascii="Arial" w:cs="Arial" w:eastAsia="Arial" w:hAnsi="Arial"/>
          <w:sz w:val="12"/>
          <w:szCs w:val="12"/>
          <w:b w:val="1"/>
          <w:bCs w:val="1"/>
          <w:color w:val="auto"/>
        </w:rPr>
        <w:t>Exhibit 31.1</w:t>
      </w:r>
    </w:p>
    <w:p>
      <w:pPr>
        <w:spacing w:after="0" w:line="19"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AGNC Investment Corp.</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Certification Pursuant to Section 302(a)</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of the Sarbanes-Oxley Act of 2002</w:t>
      </w:r>
    </w:p>
    <w:p>
      <w:pPr>
        <w:spacing w:after="0" w:line="96" w:lineRule="exact"/>
        <w:rPr>
          <w:sz w:val="20"/>
          <w:szCs w:val="20"/>
          <w:color w:val="auto"/>
        </w:rPr>
      </w:pPr>
    </w:p>
    <w:p>
      <w:pPr>
        <w:spacing w:after="0"/>
        <w:rPr>
          <w:sz w:val="20"/>
          <w:szCs w:val="20"/>
          <w:color w:val="auto"/>
        </w:rPr>
      </w:pPr>
      <w:r>
        <w:rPr>
          <w:rFonts w:ascii="Arial" w:cs="Arial" w:eastAsia="Arial" w:hAnsi="Arial"/>
          <w:sz w:val="12"/>
          <w:szCs w:val="12"/>
          <w:color w:val="auto"/>
        </w:rPr>
        <w:t>I, Gary Kain, certify that:</w:t>
      </w:r>
    </w:p>
    <w:p>
      <w:pPr>
        <w:spacing w:after="0" w:line="105" w:lineRule="exact"/>
        <w:rPr>
          <w:sz w:val="20"/>
          <w:szCs w:val="20"/>
          <w:color w:val="auto"/>
        </w:rPr>
      </w:pPr>
    </w:p>
    <w:p>
      <w:pPr>
        <w:ind w:left="560" w:hanging="298"/>
        <w:spacing w:after="0"/>
        <w:tabs>
          <w:tab w:leader="none" w:pos="560" w:val="left"/>
        </w:tabs>
        <w:numPr>
          <w:ilvl w:val="0"/>
          <w:numId w:val="51"/>
        </w:numPr>
        <w:rPr>
          <w:rFonts w:ascii="Arial" w:cs="Arial" w:eastAsia="Arial" w:hAnsi="Arial"/>
          <w:sz w:val="12"/>
          <w:szCs w:val="12"/>
          <w:color w:val="auto"/>
        </w:rPr>
      </w:pPr>
      <w:r>
        <w:rPr>
          <w:rFonts w:ascii="Arial" w:cs="Arial" w:eastAsia="Arial" w:hAnsi="Arial"/>
          <w:sz w:val="12"/>
          <w:szCs w:val="12"/>
          <w:color w:val="auto"/>
        </w:rPr>
        <w:t>I have reviewed this Quarterly Report on Form 10-Q of AGNC Investment Corp.;</w:t>
      </w:r>
    </w:p>
    <w:p>
      <w:pPr>
        <w:spacing w:after="0" w:line="105" w:lineRule="exact"/>
        <w:rPr>
          <w:rFonts w:ascii="Arial" w:cs="Arial" w:eastAsia="Arial" w:hAnsi="Arial"/>
          <w:sz w:val="12"/>
          <w:szCs w:val="12"/>
          <w:color w:val="auto"/>
        </w:rPr>
      </w:pPr>
    </w:p>
    <w:p>
      <w:pPr>
        <w:ind w:left="560" w:hanging="298"/>
        <w:spacing w:after="0" w:line="276" w:lineRule="auto"/>
        <w:tabs>
          <w:tab w:leader="none" w:pos="560" w:val="left"/>
        </w:tabs>
        <w:numPr>
          <w:ilvl w:val="0"/>
          <w:numId w:val="51"/>
        </w:numPr>
        <w:rPr>
          <w:rFonts w:ascii="Arial" w:cs="Arial" w:eastAsia="Arial" w:hAnsi="Arial"/>
          <w:sz w:val="12"/>
          <w:szCs w:val="12"/>
          <w:color w:val="auto"/>
        </w:rPr>
      </w:pPr>
      <w:r>
        <w:rPr>
          <w:rFonts w:ascii="Arial" w:cs="Arial" w:eastAsia="Arial" w:hAnsi="Arial"/>
          <w:sz w:val="12"/>
          <w:szCs w:val="12"/>
          <w:color w:val="auto"/>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69" w:lineRule="exact"/>
        <w:rPr>
          <w:rFonts w:ascii="Arial" w:cs="Arial" w:eastAsia="Arial" w:hAnsi="Arial"/>
          <w:sz w:val="12"/>
          <w:szCs w:val="12"/>
          <w:color w:val="auto"/>
        </w:rPr>
      </w:pPr>
    </w:p>
    <w:p>
      <w:pPr>
        <w:ind w:left="560" w:hanging="298"/>
        <w:spacing w:after="0" w:line="276" w:lineRule="auto"/>
        <w:tabs>
          <w:tab w:leader="none" w:pos="560" w:val="left"/>
        </w:tabs>
        <w:numPr>
          <w:ilvl w:val="0"/>
          <w:numId w:val="51"/>
        </w:numPr>
        <w:rPr>
          <w:rFonts w:ascii="Arial" w:cs="Arial" w:eastAsia="Arial" w:hAnsi="Arial"/>
          <w:sz w:val="12"/>
          <w:szCs w:val="12"/>
          <w:color w:val="auto"/>
        </w:rPr>
      </w:pPr>
      <w:r>
        <w:rPr>
          <w:rFonts w:ascii="Arial" w:cs="Arial" w:eastAsia="Arial" w:hAnsi="Arial"/>
          <w:sz w:val="12"/>
          <w:szCs w:val="12"/>
          <w:color w:val="auto"/>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pPr>
        <w:spacing w:after="0" w:line="69" w:lineRule="exact"/>
        <w:rPr>
          <w:rFonts w:ascii="Arial" w:cs="Arial" w:eastAsia="Arial" w:hAnsi="Arial"/>
          <w:sz w:val="12"/>
          <w:szCs w:val="12"/>
          <w:color w:val="auto"/>
        </w:rPr>
      </w:pPr>
    </w:p>
    <w:p>
      <w:pPr>
        <w:ind w:left="560" w:hanging="298"/>
        <w:spacing w:after="0" w:line="276" w:lineRule="auto"/>
        <w:tabs>
          <w:tab w:leader="none" w:pos="560" w:val="left"/>
        </w:tabs>
        <w:numPr>
          <w:ilvl w:val="0"/>
          <w:numId w:val="51"/>
        </w:numPr>
        <w:rPr>
          <w:rFonts w:ascii="Arial" w:cs="Arial" w:eastAsia="Arial" w:hAnsi="Arial"/>
          <w:sz w:val="12"/>
          <w:szCs w:val="12"/>
          <w:color w:val="auto"/>
        </w:rPr>
      </w:pPr>
      <w:r>
        <w:rPr>
          <w:rFonts w:ascii="Arial" w:cs="Arial" w:eastAsia="Arial" w:hAnsi="Arial"/>
          <w:sz w:val="12"/>
          <w:szCs w:val="12"/>
          <w:color w:val="auto"/>
        </w:rPr>
        <w:t>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w:t>
      </w:r>
    </w:p>
    <w:p>
      <w:pPr>
        <w:spacing w:after="0" w:line="69" w:lineRule="exact"/>
        <w:rPr>
          <w:rFonts w:ascii="Arial" w:cs="Arial" w:eastAsia="Arial" w:hAnsi="Arial"/>
          <w:sz w:val="12"/>
          <w:szCs w:val="12"/>
          <w:color w:val="auto"/>
        </w:rPr>
      </w:pPr>
    </w:p>
    <w:p>
      <w:pPr>
        <w:ind w:left="940" w:hanging="299"/>
        <w:spacing w:after="0" w:line="276" w:lineRule="auto"/>
        <w:tabs>
          <w:tab w:leader="none" w:pos="940" w:val="left"/>
        </w:tabs>
        <w:numPr>
          <w:ilvl w:val="1"/>
          <w:numId w:val="51"/>
        </w:numPr>
        <w:rPr>
          <w:rFonts w:ascii="Arial" w:cs="Arial" w:eastAsia="Arial" w:hAnsi="Arial"/>
          <w:sz w:val="12"/>
          <w:szCs w:val="12"/>
          <w:color w:val="auto"/>
        </w:rPr>
      </w:pPr>
      <w:r>
        <w:rPr>
          <w:rFonts w:ascii="Arial" w:cs="Arial" w:eastAsia="Arial" w:hAnsi="Arial"/>
          <w:sz w:val="12"/>
          <w:szCs w:val="12"/>
          <w:color w:val="auto"/>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pPr>
        <w:spacing w:after="0" w:line="69" w:lineRule="exact"/>
        <w:rPr>
          <w:rFonts w:ascii="Arial" w:cs="Arial" w:eastAsia="Arial" w:hAnsi="Arial"/>
          <w:sz w:val="12"/>
          <w:szCs w:val="12"/>
          <w:color w:val="auto"/>
        </w:rPr>
      </w:pPr>
    </w:p>
    <w:p>
      <w:pPr>
        <w:ind w:left="940" w:hanging="299"/>
        <w:spacing w:after="0" w:line="276" w:lineRule="auto"/>
        <w:tabs>
          <w:tab w:leader="none" w:pos="940" w:val="left"/>
        </w:tabs>
        <w:numPr>
          <w:ilvl w:val="1"/>
          <w:numId w:val="51"/>
        </w:numPr>
        <w:rPr>
          <w:rFonts w:ascii="Arial" w:cs="Arial" w:eastAsia="Arial" w:hAnsi="Arial"/>
          <w:sz w:val="12"/>
          <w:szCs w:val="12"/>
          <w:color w:val="auto"/>
        </w:rPr>
      </w:pPr>
      <w:r>
        <w:rPr>
          <w:rFonts w:ascii="Arial" w:cs="Arial" w:eastAsia="Arial" w:hAnsi="Arial"/>
          <w:sz w:val="12"/>
          <w:szCs w:val="12"/>
          <w:color w:val="auto"/>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spacing w:after="0" w:line="69" w:lineRule="exact"/>
        <w:rPr>
          <w:rFonts w:ascii="Arial" w:cs="Arial" w:eastAsia="Arial" w:hAnsi="Arial"/>
          <w:sz w:val="12"/>
          <w:szCs w:val="12"/>
          <w:color w:val="auto"/>
        </w:rPr>
      </w:pPr>
    </w:p>
    <w:p>
      <w:pPr>
        <w:ind w:left="940" w:hanging="299"/>
        <w:spacing w:after="0" w:line="276" w:lineRule="auto"/>
        <w:tabs>
          <w:tab w:leader="none" w:pos="940" w:val="left"/>
        </w:tabs>
        <w:numPr>
          <w:ilvl w:val="1"/>
          <w:numId w:val="51"/>
        </w:numPr>
        <w:rPr>
          <w:rFonts w:ascii="Arial" w:cs="Arial" w:eastAsia="Arial" w:hAnsi="Arial"/>
          <w:sz w:val="12"/>
          <w:szCs w:val="12"/>
          <w:color w:val="auto"/>
        </w:rPr>
      </w:pPr>
      <w:r>
        <w:rPr>
          <w:rFonts w:ascii="Arial" w:cs="Arial" w:eastAsia="Arial" w:hAnsi="Arial"/>
          <w:sz w:val="12"/>
          <w:szCs w:val="12"/>
          <w:color w:val="auto"/>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pPr>
        <w:spacing w:after="0" w:line="69" w:lineRule="exact"/>
        <w:rPr>
          <w:rFonts w:ascii="Arial" w:cs="Arial" w:eastAsia="Arial" w:hAnsi="Arial"/>
          <w:sz w:val="12"/>
          <w:szCs w:val="12"/>
          <w:color w:val="auto"/>
        </w:rPr>
      </w:pPr>
    </w:p>
    <w:p>
      <w:pPr>
        <w:ind w:left="940" w:right="20" w:hanging="299"/>
        <w:spacing w:after="0" w:line="276" w:lineRule="auto"/>
        <w:tabs>
          <w:tab w:leader="none" w:pos="940" w:val="left"/>
        </w:tabs>
        <w:numPr>
          <w:ilvl w:val="1"/>
          <w:numId w:val="51"/>
        </w:numPr>
        <w:rPr>
          <w:rFonts w:ascii="Arial" w:cs="Arial" w:eastAsia="Arial" w:hAnsi="Arial"/>
          <w:sz w:val="12"/>
          <w:szCs w:val="12"/>
          <w:color w:val="auto"/>
        </w:rPr>
      </w:pPr>
      <w:r>
        <w:rPr>
          <w:rFonts w:ascii="Arial" w:cs="Arial" w:eastAsia="Arial" w:hAnsi="Arial"/>
          <w:sz w:val="12"/>
          <w:szCs w:val="12"/>
          <w:color w:val="auto"/>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pPr>
        <w:spacing w:after="0" w:line="69" w:lineRule="exact"/>
        <w:rPr>
          <w:rFonts w:ascii="Arial" w:cs="Arial" w:eastAsia="Arial" w:hAnsi="Arial"/>
          <w:sz w:val="12"/>
          <w:szCs w:val="12"/>
          <w:color w:val="auto"/>
        </w:rPr>
      </w:pPr>
    </w:p>
    <w:p>
      <w:pPr>
        <w:ind w:left="560" w:hanging="298"/>
        <w:spacing w:after="0" w:line="276" w:lineRule="auto"/>
        <w:tabs>
          <w:tab w:leader="none" w:pos="560" w:val="left"/>
        </w:tabs>
        <w:numPr>
          <w:ilvl w:val="0"/>
          <w:numId w:val="51"/>
        </w:numPr>
        <w:rPr>
          <w:rFonts w:ascii="Arial" w:cs="Arial" w:eastAsia="Arial" w:hAnsi="Arial"/>
          <w:sz w:val="12"/>
          <w:szCs w:val="12"/>
          <w:color w:val="auto"/>
        </w:rPr>
      </w:pPr>
      <w:r>
        <w:rPr>
          <w:rFonts w:ascii="Arial" w:cs="Arial" w:eastAsia="Arial" w:hAnsi="Arial"/>
          <w:sz w:val="12"/>
          <w:szCs w:val="12"/>
          <w:color w:val="auto"/>
        </w:rPr>
        <w:t>The registrant's other certifying officer and I have disclosed, based on our most recent evaluation of internal control over financial reporting, to the registrant's auditors and the audit committee of the registrant's board of directors:</w:t>
      </w:r>
    </w:p>
    <w:p>
      <w:pPr>
        <w:spacing w:after="0" w:line="69" w:lineRule="exact"/>
        <w:rPr>
          <w:rFonts w:ascii="Arial" w:cs="Arial" w:eastAsia="Arial" w:hAnsi="Arial"/>
          <w:sz w:val="12"/>
          <w:szCs w:val="12"/>
          <w:color w:val="auto"/>
        </w:rPr>
      </w:pPr>
    </w:p>
    <w:p>
      <w:pPr>
        <w:ind w:left="940" w:hanging="299"/>
        <w:spacing w:after="0" w:line="276" w:lineRule="auto"/>
        <w:tabs>
          <w:tab w:leader="none" w:pos="940" w:val="left"/>
        </w:tabs>
        <w:numPr>
          <w:ilvl w:val="1"/>
          <w:numId w:val="51"/>
        </w:numPr>
        <w:rPr>
          <w:rFonts w:ascii="Arial" w:cs="Arial" w:eastAsia="Arial" w:hAnsi="Arial"/>
          <w:sz w:val="12"/>
          <w:szCs w:val="12"/>
          <w:color w:val="auto"/>
        </w:rPr>
      </w:pPr>
      <w:r>
        <w:rPr>
          <w:rFonts w:ascii="Arial" w:cs="Arial" w:eastAsia="Arial" w:hAnsi="Arial"/>
          <w:sz w:val="12"/>
          <w:szCs w:val="12"/>
          <w:color w:val="auto"/>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pPr>
        <w:spacing w:after="0" w:line="69" w:lineRule="exact"/>
        <w:rPr>
          <w:rFonts w:ascii="Arial" w:cs="Arial" w:eastAsia="Arial" w:hAnsi="Arial"/>
          <w:sz w:val="12"/>
          <w:szCs w:val="12"/>
          <w:color w:val="auto"/>
        </w:rPr>
      </w:pPr>
    </w:p>
    <w:p>
      <w:pPr>
        <w:ind w:left="940" w:hanging="299"/>
        <w:spacing w:after="0"/>
        <w:tabs>
          <w:tab w:leader="none" w:pos="940" w:val="left"/>
        </w:tabs>
        <w:numPr>
          <w:ilvl w:val="1"/>
          <w:numId w:val="51"/>
        </w:numPr>
        <w:rPr>
          <w:rFonts w:ascii="Arial" w:cs="Arial" w:eastAsia="Arial" w:hAnsi="Arial"/>
          <w:sz w:val="12"/>
          <w:szCs w:val="12"/>
          <w:color w:val="auto"/>
        </w:rPr>
      </w:pPr>
      <w:r>
        <w:rPr>
          <w:rFonts w:ascii="Arial" w:cs="Arial" w:eastAsia="Arial" w:hAnsi="Arial"/>
          <w:sz w:val="12"/>
          <w:szCs w:val="12"/>
          <w:color w:val="auto"/>
        </w:rPr>
        <w:t>Any fraud, whether or not material, that involves management or other employees who have a significant role in the registrant's internal control over financial reporting.</w:t>
      </w:r>
    </w:p>
    <w:p>
      <w:pPr>
        <w:spacing w:after="0" w:line="200" w:lineRule="exact"/>
        <w:rPr>
          <w:sz w:val="20"/>
          <w:szCs w:val="20"/>
          <w:color w:val="auto"/>
        </w:rPr>
      </w:pPr>
    </w:p>
    <w:p>
      <w:pPr>
        <w:spacing w:after="0" w:line="365" w:lineRule="exact"/>
        <w:rPr>
          <w:sz w:val="20"/>
          <w:szCs w:val="20"/>
          <w:color w:val="auto"/>
        </w:rPr>
      </w:pPr>
    </w:p>
    <w:p>
      <w:pPr>
        <w:ind w:left="20"/>
        <w:spacing w:after="0"/>
        <w:tabs>
          <w:tab w:leader="none" w:pos="680" w:val="left"/>
        </w:tabs>
        <w:rPr>
          <w:sz w:val="20"/>
          <w:szCs w:val="20"/>
          <w:color w:val="auto"/>
        </w:rPr>
      </w:pPr>
      <w:r>
        <w:rPr>
          <w:rFonts w:ascii="Arial" w:cs="Arial" w:eastAsia="Arial" w:hAnsi="Arial"/>
          <w:sz w:val="12"/>
          <w:szCs w:val="12"/>
          <w:color w:val="auto"/>
        </w:rPr>
        <w:t>Date:</w:t>
      </w:r>
      <w:r>
        <w:rPr>
          <w:sz w:val="20"/>
          <w:szCs w:val="20"/>
          <w:color w:val="auto"/>
        </w:rPr>
        <w:tab/>
      </w:r>
      <w:r>
        <w:rPr>
          <w:rFonts w:ascii="Arial" w:cs="Arial" w:eastAsia="Arial" w:hAnsi="Arial"/>
          <w:sz w:val="12"/>
          <w:szCs w:val="12"/>
          <w:color w:val="auto"/>
        </w:rPr>
        <w:t>November 7, 2016</w:t>
      </w:r>
    </w:p>
    <w:p>
      <w:pPr>
        <w:spacing w:after="0" w:line="222" w:lineRule="exact"/>
        <w:rPr>
          <w:sz w:val="20"/>
          <w:szCs w:val="20"/>
          <w:color w:val="auto"/>
        </w:rPr>
      </w:pPr>
    </w:p>
    <w:p>
      <w:pPr>
        <w:ind w:left="700"/>
        <w:spacing w:after="0"/>
        <w:tabs>
          <w:tab w:leader="none" w:pos="920" w:val="left"/>
        </w:tabs>
        <w:rPr>
          <w:sz w:val="20"/>
          <w:szCs w:val="20"/>
          <w:color w:val="auto"/>
        </w:rPr>
      </w:pPr>
      <w:r>
        <w:rPr>
          <w:rFonts w:ascii="Arial" w:cs="Arial" w:eastAsia="Arial" w:hAnsi="Arial"/>
          <w:sz w:val="12"/>
          <w:szCs w:val="12"/>
          <w:color w:val="auto"/>
        </w:rPr>
        <w:t>/s/</w:t>
        <w:tab/>
        <w:t>G</w:t>
      </w:r>
      <w:r>
        <w:rPr>
          <w:rFonts w:ascii="Arial" w:cs="Arial" w:eastAsia="Arial" w:hAnsi="Arial"/>
          <w:sz w:val="9"/>
          <w:szCs w:val="9"/>
          <w:color w:val="auto"/>
        </w:rPr>
        <w:t>ARY</w:t>
      </w:r>
      <w:r>
        <w:rPr>
          <w:rFonts w:ascii="Arial" w:cs="Arial" w:eastAsia="Arial" w:hAnsi="Arial"/>
          <w:sz w:val="12"/>
          <w:szCs w:val="12"/>
          <w:color w:val="auto"/>
        </w:rPr>
        <w:t xml:space="preserve"> K</w:t>
      </w:r>
      <w:r>
        <w:rPr>
          <w:rFonts w:ascii="Arial" w:cs="Arial" w:eastAsia="Arial" w:hAnsi="Arial"/>
          <w:sz w:val="9"/>
          <w:szCs w:val="9"/>
          <w:color w:val="auto"/>
        </w:rPr>
        <w:t>AIN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435610</wp:posOffset>
            </wp:positionH>
            <wp:positionV relativeFrom="paragraph">
              <wp:posOffset>20955</wp:posOffset>
            </wp:positionV>
            <wp:extent cx="2396490" cy="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2396490" cy="5715"/>
                    </a:xfrm>
                    <a:prstGeom prst="rect">
                      <a:avLst/>
                    </a:prstGeom>
                    <a:noFill/>
                  </pic:spPr>
                </pic:pic>
              </a:graphicData>
            </a:graphic>
          </wp:anchor>
        </w:drawing>
      </w:r>
    </w:p>
    <w:p>
      <w:pPr>
        <w:spacing w:after="0" w:line="31" w:lineRule="exact"/>
        <w:rPr>
          <w:sz w:val="20"/>
          <w:szCs w:val="20"/>
          <w:color w:val="auto"/>
        </w:rPr>
      </w:pPr>
    </w:p>
    <w:p>
      <w:pPr>
        <w:ind w:left="700"/>
        <w:spacing w:after="0"/>
        <w:rPr>
          <w:sz w:val="20"/>
          <w:szCs w:val="20"/>
          <w:color w:val="auto"/>
        </w:rPr>
      </w:pPr>
      <w:r>
        <w:rPr>
          <w:rFonts w:ascii="Arial" w:cs="Arial" w:eastAsia="Arial" w:hAnsi="Arial"/>
          <w:sz w:val="12"/>
          <w:szCs w:val="12"/>
          <w:color w:val="auto"/>
        </w:rPr>
        <w:t>Gary Kain</w:t>
      </w:r>
    </w:p>
    <w:p>
      <w:pPr>
        <w:spacing w:after="0" w:line="42" w:lineRule="exact"/>
        <w:rPr>
          <w:sz w:val="20"/>
          <w:szCs w:val="20"/>
          <w:color w:val="auto"/>
        </w:rPr>
      </w:pPr>
    </w:p>
    <w:p>
      <w:pPr>
        <w:ind w:left="700"/>
        <w:spacing w:after="0"/>
        <w:rPr>
          <w:sz w:val="20"/>
          <w:szCs w:val="20"/>
          <w:color w:val="auto"/>
        </w:rPr>
      </w:pPr>
      <w:r>
        <w:rPr>
          <w:rFonts w:ascii="Arial" w:cs="Arial" w:eastAsia="Arial" w:hAnsi="Arial"/>
          <w:sz w:val="12"/>
          <w:szCs w:val="12"/>
          <w:color w:val="auto"/>
        </w:rPr>
        <w:t>Chief Executive Officer, President and Chief Investment Officer (Principal</w:t>
      </w:r>
    </w:p>
    <w:p>
      <w:pPr>
        <w:spacing w:after="0" w:line="15" w:lineRule="exact"/>
        <w:rPr>
          <w:sz w:val="20"/>
          <w:szCs w:val="20"/>
          <w:color w:val="auto"/>
        </w:rPr>
      </w:pPr>
    </w:p>
    <w:p>
      <w:pPr>
        <w:ind w:left="700"/>
        <w:spacing w:after="0"/>
        <w:rPr>
          <w:sz w:val="20"/>
          <w:szCs w:val="20"/>
          <w:color w:val="auto"/>
        </w:rPr>
      </w:pPr>
      <w:r>
        <w:rPr>
          <w:rFonts w:ascii="Arial" w:cs="Arial" w:eastAsia="Arial" w:hAnsi="Arial"/>
          <w:sz w:val="12"/>
          <w:szCs w:val="12"/>
          <w:color w:val="auto"/>
        </w:rPr>
        <w:t>Executive Officer)</w:t>
      </w:r>
    </w:p>
    <w:p>
      <w:pPr>
        <w:sectPr>
          <w:pgSz w:w="11900" w:h="16838" w:orient="portrait"/>
          <w:cols w:equalWidth="0" w:num="1">
            <w:col w:w="11480"/>
          </w:cols>
          <w:pgMar w:left="220" w:top="433" w:right="199" w:bottom="1440" w:gutter="0" w:footer="0" w:header="0"/>
        </w:sectPr>
      </w:pPr>
    </w:p>
    <w:bookmarkStart w:id="91" w:name="page92"/>
    <w:bookmarkEnd w:id="91"/>
    <w:p>
      <w:pPr>
        <w:jc w:val="right"/>
        <w:spacing w:after="0"/>
        <w:rPr>
          <w:sz w:val="20"/>
          <w:szCs w:val="20"/>
          <w:color w:val="auto"/>
        </w:rPr>
      </w:pPr>
      <w:r>
        <w:rPr>
          <w:rFonts w:ascii="Arial" w:cs="Arial" w:eastAsia="Arial" w:hAnsi="Arial"/>
          <w:sz w:val="12"/>
          <w:szCs w:val="12"/>
          <w:b w:val="1"/>
          <w:bCs w:val="1"/>
          <w:color w:val="auto"/>
        </w:rPr>
        <w:t>Exhibit 31.2</w:t>
      </w:r>
    </w:p>
    <w:p>
      <w:pPr>
        <w:spacing w:after="0" w:line="19"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AGNC Investment Corp.</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Certification Pursuant to Section 302(a)</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of the Sarbanes-Oxley Act of 2002</w:t>
      </w:r>
    </w:p>
    <w:p>
      <w:pPr>
        <w:spacing w:after="0" w:line="285" w:lineRule="exact"/>
        <w:rPr>
          <w:sz w:val="20"/>
          <w:szCs w:val="20"/>
          <w:color w:val="auto"/>
        </w:rPr>
      </w:pPr>
    </w:p>
    <w:p>
      <w:pPr>
        <w:spacing w:after="0"/>
        <w:rPr>
          <w:sz w:val="20"/>
          <w:szCs w:val="20"/>
          <w:color w:val="auto"/>
        </w:rPr>
      </w:pPr>
      <w:r>
        <w:rPr>
          <w:rFonts w:ascii="Arial" w:cs="Arial" w:eastAsia="Arial" w:hAnsi="Arial"/>
          <w:sz w:val="12"/>
          <w:szCs w:val="12"/>
          <w:color w:val="auto"/>
        </w:rPr>
        <w:t>I, Peter Federico, certify that:</w:t>
      </w:r>
    </w:p>
    <w:p>
      <w:pPr>
        <w:spacing w:after="0" w:line="105" w:lineRule="exact"/>
        <w:rPr>
          <w:sz w:val="20"/>
          <w:szCs w:val="20"/>
          <w:color w:val="auto"/>
        </w:rPr>
      </w:pPr>
    </w:p>
    <w:p>
      <w:pPr>
        <w:ind w:left="560" w:hanging="298"/>
        <w:spacing w:after="0"/>
        <w:tabs>
          <w:tab w:leader="none" w:pos="560" w:val="left"/>
        </w:tabs>
        <w:numPr>
          <w:ilvl w:val="0"/>
          <w:numId w:val="52"/>
        </w:numPr>
        <w:rPr>
          <w:rFonts w:ascii="Arial" w:cs="Arial" w:eastAsia="Arial" w:hAnsi="Arial"/>
          <w:sz w:val="12"/>
          <w:szCs w:val="12"/>
          <w:color w:val="auto"/>
        </w:rPr>
      </w:pPr>
      <w:r>
        <w:rPr>
          <w:rFonts w:ascii="Arial" w:cs="Arial" w:eastAsia="Arial" w:hAnsi="Arial"/>
          <w:sz w:val="12"/>
          <w:szCs w:val="12"/>
          <w:color w:val="auto"/>
        </w:rPr>
        <w:t>I have reviewed this Quarterly Report on Form 10-Q of AGNC Investment Corp;</w:t>
      </w:r>
    </w:p>
    <w:p>
      <w:pPr>
        <w:spacing w:after="0" w:line="105" w:lineRule="exact"/>
        <w:rPr>
          <w:rFonts w:ascii="Arial" w:cs="Arial" w:eastAsia="Arial" w:hAnsi="Arial"/>
          <w:sz w:val="12"/>
          <w:szCs w:val="12"/>
          <w:color w:val="auto"/>
        </w:rPr>
      </w:pPr>
    </w:p>
    <w:p>
      <w:pPr>
        <w:ind w:left="560" w:hanging="298"/>
        <w:spacing w:after="0" w:line="276" w:lineRule="auto"/>
        <w:tabs>
          <w:tab w:leader="none" w:pos="560" w:val="left"/>
        </w:tabs>
        <w:numPr>
          <w:ilvl w:val="0"/>
          <w:numId w:val="52"/>
        </w:numPr>
        <w:rPr>
          <w:rFonts w:ascii="Arial" w:cs="Arial" w:eastAsia="Arial" w:hAnsi="Arial"/>
          <w:sz w:val="12"/>
          <w:szCs w:val="12"/>
          <w:color w:val="auto"/>
        </w:rPr>
      </w:pPr>
      <w:r>
        <w:rPr>
          <w:rFonts w:ascii="Arial" w:cs="Arial" w:eastAsia="Arial" w:hAnsi="Arial"/>
          <w:sz w:val="12"/>
          <w:szCs w:val="12"/>
          <w:color w:val="auto"/>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69" w:lineRule="exact"/>
        <w:rPr>
          <w:rFonts w:ascii="Arial" w:cs="Arial" w:eastAsia="Arial" w:hAnsi="Arial"/>
          <w:sz w:val="12"/>
          <w:szCs w:val="12"/>
          <w:color w:val="auto"/>
        </w:rPr>
      </w:pPr>
    </w:p>
    <w:p>
      <w:pPr>
        <w:ind w:left="560" w:hanging="298"/>
        <w:spacing w:after="0" w:line="276" w:lineRule="auto"/>
        <w:tabs>
          <w:tab w:leader="none" w:pos="560" w:val="left"/>
        </w:tabs>
        <w:numPr>
          <w:ilvl w:val="0"/>
          <w:numId w:val="52"/>
        </w:numPr>
        <w:rPr>
          <w:rFonts w:ascii="Arial" w:cs="Arial" w:eastAsia="Arial" w:hAnsi="Arial"/>
          <w:sz w:val="12"/>
          <w:szCs w:val="12"/>
          <w:color w:val="auto"/>
        </w:rPr>
      </w:pPr>
      <w:r>
        <w:rPr>
          <w:rFonts w:ascii="Arial" w:cs="Arial" w:eastAsia="Arial" w:hAnsi="Arial"/>
          <w:sz w:val="12"/>
          <w:szCs w:val="12"/>
          <w:color w:val="auto"/>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pPr>
        <w:spacing w:after="0" w:line="69" w:lineRule="exact"/>
        <w:rPr>
          <w:rFonts w:ascii="Arial" w:cs="Arial" w:eastAsia="Arial" w:hAnsi="Arial"/>
          <w:sz w:val="12"/>
          <w:szCs w:val="12"/>
          <w:color w:val="auto"/>
        </w:rPr>
      </w:pPr>
    </w:p>
    <w:p>
      <w:pPr>
        <w:ind w:left="560" w:hanging="298"/>
        <w:spacing w:after="0" w:line="276" w:lineRule="auto"/>
        <w:tabs>
          <w:tab w:leader="none" w:pos="560" w:val="left"/>
        </w:tabs>
        <w:numPr>
          <w:ilvl w:val="0"/>
          <w:numId w:val="52"/>
        </w:numPr>
        <w:rPr>
          <w:rFonts w:ascii="Arial" w:cs="Arial" w:eastAsia="Arial" w:hAnsi="Arial"/>
          <w:sz w:val="12"/>
          <w:szCs w:val="12"/>
          <w:color w:val="auto"/>
        </w:rPr>
      </w:pPr>
      <w:r>
        <w:rPr>
          <w:rFonts w:ascii="Arial" w:cs="Arial" w:eastAsia="Arial" w:hAnsi="Arial"/>
          <w:sz w:val="12"/>
          <w:szCs w:val="12"/>
          <w:color w:val="auto"/>
        </w:rPr>
        <w:t>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w:t>
      </w:r>
    </w:p>
    <w:p>
      <w:pPr>
        <w:spacing w:after="0" w:line="69" w:lineRule="exact"/>
        <w:rPr>
          <w:rFonts w:ascii="Arial" w:cs="Arial" w:eastAsia="Arial" w:hAnsi="Arial"/>
          <w:sz w:val="12"/>
          <w:szCs w:val="12"/>
          <w:color w:val="auto"/>
        </w:rPr>
      </w:pPr>
    </w:p>
    <w:p>
      <w:pPr>
        <w:ind w:left="940" w:hanging="299"/>
        <w:spacing w:after="0" w:line="276" w:lineRule="auto"/>
        <w:tabs>
          <w:tab w:leader="none" w:pos="940" w:val="left"/>
        </w:tabs>
        <w:numPr>
          <w:ilvl w:val="1"/>
          <w:numId w:val="52"/>
        </w:numPr>
        <w:rPr>
          <w:rFonts w:ascii="Arial" w:cs="Arial" w:eastAsia="Arial" w:hAnsi="Arial"/>
          <w:sz w:val="12"/>
          <w:szCs w:val="12"/>
          <w:color w:val="auto"/>
        </w:rPr>
      </w:pPr>
      <w:r>
        <w:rPr>
          <w:rFonts w:ascii="Arial" w:cs="Arial" w:eastAsia="Arial" w:hAnsi="Arial"/>
          <w:sz w:val="12"/>
          <w:szCs w:val="12"/>
          <w:color w:val="auto"/>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entitles, particularly during the period in which this report is being prepared;</w:t>
      </w:r>
    </w:p>
    <w:p>
      <w:pPr>
        <w:spacing w:after="0" w:line="69" w:lineRule="exact"/>
        <w:rPr>
          <w:rFonts w:ascii="Arial" w:cs="Arial" w:eastAsia="Arial" w:hAnsi="Arial"/>
          <w:sz w:val="12"/>
          <w:szCs w:val="12"/>
          <w:color w:val="auto"/>
        </w:rPr>
      </w:pPr>
    </w:p>
    <w:p>
      <w:pPr>
        <w:ind w:left="940" w:hanging="299"/>
        <w:spacing w:after="0" w:line="276" w:lineRule="auto"/>
        <w:tabs>
          <w:tab w:leader="none" w:pos="940" w:val="left"/>
        </w:tabs>
        <w:numPr>
          <w:ilvl w:val="1"/>
          <w:numId w:val="52"/>
        </w:numPr>
        <w:rPr>
          <w:rFonts w:ascii="Arial" w:cs="Arial" w:eastAsia="Arial" w:hAnsi="Arial"/>
          <w:sz w:val="12"/>
          <w:szCs w:val="12"/>
          <w:color w:val="auto"/>
        </w:rPr>
      </w:pPr>
      <w:r>
        <w:rPr>
          <w:rFonts w:ascii="Arial" w:cs="Arial" w:eastAsia="Arial" w:hAnsi="Arial"/>
          <w:sz w:val="12"/>
          <w:szCs w:val="12"/>
          <w:color w:val="auto"/>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spacing w:after="0" w:line="69" w:lineRule="exact"/>
        <w:rPr>
          <w:rFonts w:ascii="Arial" w:cs="Arial" w:eastAsia="Arial" w:hAnsi="Arial"/>
          <w:sz w:val="12"/>
          <w:szCs w:val="12"/>
          <w:color w:val="auto"/>
        </w:rPr>
      </w:pPr>
    </w:p>
    <w:p>
      <w:pPr>
        <w:ind w:left="940" w:hanging="299"/>
        <w:spacing w:after="0" w:line="276" w:lineRule="auto"/>
        <w:tabs>
          <w:tab w:leader="none" w:pos="940" w:val="left"/>
        </w:tabs>
        <w:numPr>
          <w:ilvl w:val="1"/>
          <w:numId w:val="52"/>
        </w:numPr>
        <w:rPr>
          <w:rFonts w:ascii="Arial" w:cs="Arial" w:eastAsia="Arial" w:hAnsi="Arial"/>
          <w:sz w:val="12"/>
          <w:szCs w:val="12"/>
          <w:color w:val="auto"/>
        </w:rPr>
      </w:pPr>
      <w:r>
        <w:rPr>
          <w:rFonts w:ascii="Arial" w:cs="Arial" w:eastAsia="Arial" w:hAnsi="Arial"/>
          <w:sz w:val="12"/>
          <w:szCs w:val="12"/>
          <w:color w:val="auto"/>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pPr>
        <w:spacing w:after="0" w:line="69" w:lineRule="exact"/>
        <w:rPr>
          <w:rFonts w:ascii="Arial" w:cs="Arial" w:eastAsia="Arial" w:hAnsi="Arial"/>
          <w:sz w:val="12"/>
          <w:szCs w:val="12"/>
          <w:color w:val="auto"/>
        </w:rPr>
      </w:pPr>
    </w:p>
    <w:p>
      <w:pPr>
        <w:ind w:left="940" w:right="20" w:hanging="299"/>
        <w:spacing w:after="0" w:line="276" w:lineRule="auto"/>
        <w:tabs>
          <w:tab w:leader="none" w:pos="940" w:val="left"/>
        </w:tabs>
        <w:numPr>
          <w:ilvl w:val="1"/>
          <w:numId w:val="52"/>
        </w:numPr>
        <w:rPr>
          <w:rFonts w:ascii="Arial" w:cs="Arial" w:eastAsia="Arial" w:hAnsi="Arial"/>
          <w:sz w:val="12"/>
          <w:szCs w:val="12"/>
          <w:color w:val="auto"/>
        </w:rPr>
      </w:pPr>
      <w:r>
        <w:rPr>
          <w:rFonts w:ascii="Arial" w:cs="Arial" w:eastAsia="Arial" w:hAnsi="Arial"/>
          <w:sz w:val="12"/>
          <w:szCs w:val="12"/>
          <w:color w:val="auto"/>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pPr>
        <w:spacing w:after="0" w:line="69" w:lineRule="exact"/>
        <w:rPr>
          <w:rFonts w:ascii="Arial" w:cs="Arial" w:eastAsia="Arial" w:hAnsi="Arial"/>
          <w:sz w:val="12"/>
          <w:szCs w:val="12"/>
          <w:color w:val="auto"/>
        </w:rPr>
      </w:pPr>
    </w:p>
    <w:p>
      <w:pPr>
        <w:ind w:left="560" w:hanging="298"/>
        <w:spacing w:after="0" w:line="276" w:lineRule="auto"/>
        <w:tabs>
          <w:tab w:leader="none" w:pos="560" w:val="left"/>
        </w:tabs>
        <w:numPr>
          <w:ilvl w:val="0"/>
          <w:numId w:val="52"/>
        </w:numPr>
        <w:rPr>
          <w:rFonts w:ascii="Arial" w:cs="Arial" w:eastAsia="Arial" w:hAnsi="Arial"/>
          <w:sz w:val="12"/>
          <w:szCs w:val="12"/>
          <w:color w:val="auto"/>
        </w:rPr>
      </w:pPr>
      <w:r>
        <w:rPr>
          <w:rFonts w:ascii="Arial" w:cs="Arial" w:eastAsia="Arial" w:hAnsi="Arial"/>
          <w:sz w:val="12"/>
          <w:szCs w:val="12"/>
          <w:color w:val="auto"/>
        </w:rPr>
        <w:t>The registrant's other certifying officer and I have disclosed, based on our most recent evaluation of internal control over financial reporting, to the registrant's auditors and the audit committee of the registrant's board of directors:</w:t>
      </w:r>
    </w:p>
    <w:p>
      <w:pPr>
        <w:spacing w:after="0" w:line="69" w:lineRule="exact"/>
        <w:rPr>
          <w:rFonts w:ascii="Arial" w:cs="Arial" w:eastAsia="Arial" w:hAnsi="Arial"/>
          <w:sz w:val="12"/>
          <w:szCs w:val="12"/>
          <w:color w:val="auto"/>
        </w:rPr>
      </w:pPr>
    </w:p>
    <w:p>
      <w:pPr>
        <w:ind w:left="940" w:hanging="299"/>
        <w:spacing w:after="0" w:line="276" w:lineRule="auto"/>
        <w:tabs>
          <w:tab w:leader="none" w:pos="940" w:val="left"/>
        </w:tabs>
        <w:numPr>
          <w:ilvl w:val="1"/>
          <w:numId w:val="52"/>
        </w:numPr>
        <w:rPr>
          <w:rFonts w:ascii="Arial" w:cs="Arial" w:eastAsia="Arial" w:hAnsi="Arial"/>
          <w:sz w:val="12"/>
          <w:szCs w:val="12"/>
          <w:color w:val="auto"/>
        </w:rPr>
      </w:pPr>
      <w:r>
        <w:rPr>
          <w:rFonts w:ascii="Arial" w:cs="Arial" w:eastAsia="Arial" w:hAnsi="Arial"/>
          <w:sz w:val="12"/>
          <w:szCs w:val="12"/>
          <w:color w:val="auto"/>
        </w:rPr>
        <w:t>All significant deficiencies and material weakness in the design or operation of internal control over financial reporting which are reasonably likely to adversely affect the registrant's ability to record, process, summarize and report financial information; and</w:t>
      </w:r>
    </w:p>
    <w:p>
      <w:pPr>
        <w:spacing w:after="0" w:line="69" w:lineRule="exact"/>
        <w:rPr>
          <w:rFonts w:ascii="Arial" w:cs="Arial" w:eastAsia="Arial" w:hAnsi="Arial"/>
          <w:sz w:val="12"/>
          <w:szCs w:val="12"/>
          <w:color w:val="auto"/>
        </w:rPr>
      </w:pPr>
    </w:p>
    <w:p>
      <w:pPr>
        <w:ind w:left="940" w:hanging="299"/>
        <w:spacing w:after="0"/>
        <w:tabs>
          <w:tab w:leader="none" w:pos="940" w:val="left"/>
        </w:tabs>
        <w:numPr>
          <w:ilvl w:val="1"/>
          <w:numId w:val="52"/>
        </w:numPr>
        <w:rPr>
          <w:rFonts w:ascii="Arial" w:cs="Arial" w:eastAsia="Arial" w:hAnsi="Arial"/>
          <w:sz w:val="12"/>
          <w:szCs w:val="12"/>
          <w:color w:val="auto"/>
        </w:rPr>
      </w:pPr>
      <w:r>
        <w:rPr>
          <w:rFonts w:ascii="Arial" w:cs="Arial" w:eastAsia="Arial" w:hAnsi="Arial"/>
          <w:sz w:val="12"/>
          <w:szCs w:val="12"/>
          <w:color w:val="auto"/>
        </w:rPr>
        <w:t>Any fraud, whether or not material, that involves management or other employees who have a significant role in the registrant's internal control over financial reporting.</w:t>
      </w:r>
    </w:p>
    <w:p>
      <w:pPr>
        <w:spacing w:after="0" w:line="357" w:lineRule="exact"/>
        <w:rPr>
          <w:sz w:val="20"/>
          <w:szCs w:val="20"/>
          <w:color w:val="auto"/>
        </w:rPr>
      </w:pPr>
    </w:p>
    <w:p>
      <w:pPr>
        <w:ind w:left="20"/>
        <w:spacing w:after="0"/>
        <w:tabs>
          <w:tab w:leader="none" w:pos="680" w:val="left"/>
        </w:tabs>
        <w:rPr>
          <w:sz w:val="20"/>
          <w:szCs w:val="20"/>
          <w:color w:val="auto"/>
        </w:rPr>
      </w:pPr>
      <w:r>
        <w:rPr>
          <w:rFonts w:ascii="Arial" w:cs="Arial" w:eastAsia="Arial" w:hAnsi="Arial"/>
          <w:sz w:val="12"/>
          <w:szCs w:val="12"/>
          <w:color w:val="auto"/>
        </w:rPr>
        <w:t>Date:</w:t>
      </w:r>
      <w:r>
        <w:rPr>
          <w:sz w:val="20"/>
          <w:szCs w:val="20"/>
          <w:color w:val="auto"/>
        </w:rPr>
        <w:tab/>
      </w:r>
      <w:r>
        <w:rPr>
          <w:rFonts w:ascii="Arial" w:cs="Arial" w:eastAsia="Arial" w:hAnsi="Arial"/>
          <w:sz w:val="12"/>
          <w:szCs w:val="12"/>
          <w:color w:val="auto"/>
        </w:rPr>
        <w:t>November 7, 2016</w:t>
      </w:r>
    </w:p>
    <w:p>
      <w:pPr>
        <w:spacing w:after="0" w:line="222" w:lineRule="exact"/>
        <w:rPr>
          <w:sz w:val="20"/>
          <w:szCs w:val="20"/>
          <w:color w:val="auto"/>
        </w:rPr>
      </w:pPr>
    </w:p>
    <w:p>
      <w:pPr>
        <w:ind w:left="700"/>
        <w:spacing w:after="0"/>
        <w:tabs>
          <w:tab w:leader="none" w:pos="920" w:val="left"/>
        </w:tabs>
        <w:rPr>
          <w:sz w:val="20"/>
          <w:szCs w:val="20"/>
          <w:color w:val="auto"/>
        </w:rPr>
      </w:pPr>
      <w:r>
        <w:rPr>
          <w:rFonts w:ascii="Arial" w:cs="Arial" w:eastAsia="Arial" w:hAnsi="Arial"/>
          <w:sz w:val="12"/>
          <w:szCs w:val="12"/>
          <w:color w:val="auto"/>
        </w:rPr>
        <w:t>/s/</w:t>
      </w:r>
      <w:r>
        <w:rPr>
          <w:sz w:val="20"/>
          <w:szCs w:val="20"/>
          <w:color w:val="auto"/>
        </w:rPr>
        <w:tab/>
      </w:r>
      <w:r>
        <w:rPr>
          <w:rFonts w:ascii="Arial" w:cs="Arial" w:eastAsia="Arial" w:hAnsi="Arial"/>
          <w:sz w:val="11"/>
          <w:szCs w:val="11"/>
          <w:color w:val="auto"/>
        </w:rPr>
        <w:t>P</w:t>
      </w:r>
      <w:r>
        <w:rPr>
          <w:rFonts w:ascii="Arial" w:cs="Arial" w:eastAsia="Arial" w:hAnsi="Arial"/>
          <w:sz w:val="8"/>
          <w:szCs w:val="8"/>
          <w:color w:val="auto"/>
        </w:rPr>
        <w:t>ETER</w:t>
      </w:r>
      <w:r>
        <w:rPr>
          <w:rFonts w:ascii="Arial" w:cs="Arial" w:eastAsia="Arial" w:hAnsi="Arial"/>
          <w:sz w:val="11"/>
          <w:szCs w:val="11"/>
          <w:color w:val="auto"/>
        </w:rPr>
        <w:t xml:space="preserve"> F</w:t>
      </w:r>
      <w:r>
        <w:rPr>
          <w:rFonts w:ascii="Arial" w:cs="Arial" w:eastAsia="Arial" w:hAnsi="Arial"/>
          <w:sz w:val="8"/>
          <w:szCs w:val="8"/>
          <w:color w:val="auto"/>
        </w:rPr>
        <w:t>EDERICO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435610</wp:posOffset>
            </wp:positionH>
            <wp:positionV relativeFrom="paragraph">
              <wp:posOffset>20955</wp:posOffset>
            </wp:positionV>
            <wp:extent cx="2396490" cy="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2396490" cy="5715"/>
                    </a:xfrm>
                    <a:prstGeom prst="rect">
                      <a:avLst/>
                    </a:prstGeom>
                    <a:noFill/>
                  </pic:spPr>
                </pic:pic>
              </a:graphicData>
            </a:graphic>
          </wp:anchor>
        </w:drawing>
      </w:r>
    </w:p>
    <w:p>
      <w:pPr>
        <w:spacing w:after="0" w:line="31" w:lineRule="exact"/>
        <w:rPr>
          <w:sz w:val="20"/>
          <w:szCs w:val="20"/>
          <w:color w:val="auto"/>
        </w:rPr>
      </w:pPr>
    </w:p>
    <w:p>
      <w:pPr>
        <w:ind w:left="700"/>
        <w:spacing w:after="0"/>
        <w:rPr>
          <w:sz w:val="20"/>
          <w:szCs w:val="20"/>
          <w:color w:val="auto"/>
        </w:rPr>
      </w:pPr>
      <w:r>
        <w:rPr>
          <w:rFonts w:ascii="Arial" w:cs="Arial" w:eastAsia="Arial" w:hAnsi="Arial"/>
          <w:sz w:val="12"/>
          <w:szCs w:val="12"/>
          <w:color w:val="auto"/>
        </w:rPr>
        <w:t>Peter Federico</w:t>
      </w:r>
    </w:p>
    <w:p>
      <w:pPr>
        <w:spacing w:after="0" w:line="42" w:lineRule="exact"/>
        <w:rPr>
          <w:sz w:val="20"/>
          <w:szCs w:val="20"/>
          <w:color w:val="auto"/>
        </w:rPr>
      </w:pPr>
    </w:p>
    <w:p>
      <w:pPr>
        <w:ind w:left="700"/>
        <w:spacing w:after="0"/>
        <w:rPr>
          <w:sz w:val="20"/>
          <w:szCs w:val="20"/>
          <w:color w:val="auto"/>
        </w:rPr>
      </w:pPr>
      <w:r>
        <w:rPr>
          <w:rFonts w:ascii="Arial" w:cs="Arial" w:eastAsia="Arial" w:hAnsi="Arial"/>
          <w:sz w:val="12"/>
          <w:szCs w:val="12"/>
          <w:color w:val="auto"/>
        </w:rPr>
        <w:t>Chief Financial Officer and Executive Vice President (Principal Financial</w:t>
      </w:r>
    </w:p>
    <w:p>
      <w:pPr>
        <w:spacing w:after="0" w:line="15" w:lineRule="exact"/>
        <w:rPr>
          <w:sz w:val="20"/>
          <w:szCs w:val="20"/>
          <w:color w:val="auto"/>
        </w:rPr>
      </w:pPr>
    </w:p>
    <w:p>
      <w:pPr>
        <w:ind w:left="700"/>
        <w:spacing w:after="0"/>
        <w:rPr>
          <w:sz w:val="20"/>
          <w:szCs w:val="20"/>
          <w:color w:val="auto"/>
        </w:rPr>
      </w:pPr>
      <w:r>
        <w:rPr>
          <w:rFonts w:ascii="Arial" w:cs="Arial" w:eastAsia="Arial" w:hAnsi="Arial"/>
          <w:sz w:val="12"/>
          <w:szCs w:val="12"/>
          <w:color w:val="auto"/>
        </w:rPr>
        <w:t>Officer)</w:t>
      </w:r>
    </w:p>
    <w:p>
      <w:pPr>
        <w:sectPr>
          <w:pgSz w:w="11900" w:h="16838" w:orient="portrait"/>
          <w:cols w:equalWidth="0" w:num="1">
            <w:col w:w="11480"/>
          </w:cols>
          <w:pgMar w:left="220" w:top="433" w:right="199" w:bottom="1440" w:gutter="0" w:footer="0" w:header="0"/>
        </w:sectPr>
      </w:pPr>
    </w:p>
    <w:bookmarkStart w:id="92" w:name="page93"/>
    <w:bookmarkEnd w:id="92"/>
    <w:p>
      <w:pPr>
        <w:jc w:val="right"/>
        <w:spacing w:after="0"/>
        <w:rPr>
          <w:sz w:val="20"/>
          <w:szCs w:val="20"/>
          <w:color w:val="auto"/>
        </w:rPr>
      </w:pPr>
      <w:r>
        <w:rPr>
          <w:rFonts w:ascii="Arial" w:cs="Arial" w:eastAsia="Arial" w:hAnsi="Arial"/>
          <w:sz w:val="12"/>
          <w:szCs w:val="12"/>
          <w:b w:val="1"/>
          <w:bCs w:val="1"/>
          <w:color w:val="auto"/>
        </w:rPr>
        <w:t>Exhibit 32</w:t>
      </w:r>
    </w:p>
    <w:p>
      <w:pPr>
        <w:spacing w:after="0" w:line="258"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Certification of CEO and CFO Pursuant to 18 U.S.C. Section 1350,</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as Adopted Pursuant to Section 906 of the Sarbanes-Oxley Act of 2002</w:t>
      </w:r>
    </w:p>
    <w:p>
      <w:pPr>
        <w:spacing w:after="0" w:line="105" w:lineRule="exact"/>
        <w:rPr>
          <w:sz w:val="20"/>
          <w:szCs w:val="20"/>
          <w:color w:val="auto"/>
        </w:rPr>
      </w:pPr>
    </w:p>
    <w:p>
      <w:pPr>
        <w:ind w:right="60" w:firstLine="216"/>
        <w:spacing w:after="0" w:line="276" w:lineRule="auto"/>
        <w:rPr>
          <w:sz w:val="20"/>
          <w:szCs w:val="20"/>
          <w:color w:val="auto"/>
        </w:rPr>
      </w:pPr>
      <w:r>
        <w:rPr>
          <w:rFonts w:ascii="Arial" w:cs="Arial" w:eastAsia="Arial" w:hAnsi="Arial"/>
          <w:sz w:val="12"/>
          <w:szCs w:val="12"/>
          <w:color w:val="auto"/>
        </w:rPr>
        <w:t>We, Gary Kain, Chief Executive Officer, President and Chief Investment Officer, and Peter Federico, Executive Vice President and Chief Financial Officer of AGNC Investment Corp. (the “Company”), certify pursuant to Section 906 of the Sarbanes-Oxley Act of 2002, 18 U.S.C. Section 1350 that:</w:t>
      </w:r>
    </w:p>
    <w:p>
      <w:pPr>
        <w:spacing w:after="0" w:line="79" w:lineRule="exact"/>
        <w:rPr>
          <w:sz w:val="20"/>
          <w:szCs w:val="20"/>
          <w:color w:val="auto"/>
        </w:rPr>
      </w:pPr>
    </w:p>
    <w:p>
      <w:pPr>
        <w:ind w:left="420" w:hanging="212"/>
        <w:spacing w:after="0"/>
        <w:tabs>
          <w:tab w:leader="none" w:pos="420" w:val="left"/>
        </w:tabs>
        <w:numPr>
          <w:ilvl w:val="0"/>
          <w:numId w:val="53"/>
        </w:numPr>
        <w:rPr>
          <w:rFonts w:ascii="Arial" w:cs="Arial" w:eastAsia="Arial" w:hAnsi="Arial"/>
          <w:sz w:val="11"/>
          <w:szCs w:val="11"/>
          <w:color w:val="auto"/>
        </w:rPr>
      </w:pPr>
      <w:r>
        <w:rPr>
          <w:rFonts w:ascii="Arial" w:cs="Arial" w:eastAsia="Arial" w:hAnsi="Arial"/>
          <w:sz w:val="11"/>
          <w:szCs w:val="11"/>
          <w:color w:val="auto"/>
        </w:rPr>
        <w:t>The Quarterly Report on Form 10-Q of the Company for the quarter ended September 30, 2016 (the “Report”) fully complies with the requirements of Section 13(a) of the Securities Exchange Act of 1934 (15 U.S.C. 78m); and</w:t>
      </w:r>
    </w:p>
    <w:p>
      <w:pPr>
        <w:spacing w:after="0" w:line="125" w:lineRule="exact"/>
        <w:rPr>
          <w:rFonts w:ascii="Arial" w:cs="Arial" w:eastAsia="Arial" w:hAnsi="Arial"/>
          <w:sz w:val="11"/>
          <w:szCs w:val="11"/>
          <w:color w:val="auto"/>
        </w:rPr>
      </w:pPr>
    </w:p>
    <w:p>
      <w:pPr>
        <w:ind w:left="420" w:hanging="212"/>
        <w:spacing w:after="0"/>
        <w:tabs>
          <w:tab w:leader="none" w:pos="420" w:val="left"/>
        </w:tabs>
        <w:numPr>
          <w:ilvl w:val="0"/>
          <w:numId w:val="53"/>
        </w:numPr>
        <w:rPr>
          <w:rFonts w:ascii="Arial" w:cs="Arial" w:eastAsia="Arial" w:hAnsi="Arial"/>
          <w:sz w:val="12"/>
          <w:szCs w:val="12"/>
          <w:color w:val="auto"/>
        </w:rPr>
      </w:pPr>
      <w:r>
        <w:rPr>
          <w:rFonts w:ascii="Arial" w:cs="Arial" w:eastAsia="Arial" w:hAnsi="Arial"/>
          <w:sz w:val="12"/>
          <w:szCs w:val="12"/>
          <w:color w:val="auto"/>
        </w:rPr>
        <w:t>The information contained in the Report fairly presents, in all material respects, the financial condition and results of operations of the Company.</w:t>
      </w:r>
    </w:p>
    <w:p>
      <w:pPr>
        <w:spacing w:after="0" w:line="357" w:lineRule="exact"/>
        <w:rPr>
          <w:sz w:val="20"/>
          <w:szCs w:val="20"/>
          <w:color w:val="auto"/>
        </w:rPr>
      </w:pPr>
    </w:p>
    <w:tbl>
      <w:tblPr>
        <w:tblLayout w:type="fixed"/>
        <w:tblInd w:w="20" w:type="dxa"/>
        <w:tblCellMar>
          <w:top w:w="0" w:type="dxa"/>
          <w:left w:w="0" w:type="dxa"/>
          <w:bottom w:w="0" w:type="dxa"/>
          <w:right w:w="0" w:type="dxa"/>
        </w:tblCellMar>
      </w:tblPr>
      <w:tr>
        <w:trPr>
          <w:trHeight w:val="160"/>
        </w:trPr>
        <w:tc>
          <w:tcPr>
            <w:tcW w:w="660" w:type="dxa"/>
            <w:vAlign w:val="bottom"/>
          </w:tcPr>
          <w:p>
            <w:pPr>
              <w:spacing w:after="0"/>
              <w:rPr>
                <w:sz w:val="13"/>
                <w:szCs w:val="13"/>
                <w:color w:val="auto"/>
              </w:rPr>
            </w:pPr>
          </w:p>
        </w:tc>
        <w:tc>
          <w:tcPr>
            <w:tcW w:w="200" w:type="dxa"/>
            <w:vAlign w:val="bottom"/>
            <w:tcBorders>
              <w:bottom w:val="single" w:sz="8" w:color="auto"/>
            </w:tcBorders>
          </w:tcPr>
          <w:p>
            <w:pPr>
              <w:ind w:left="20"/>
              <w:spacing w:after="0"/>
              <w:rPr>
                <w:sz w:val="20"/>
                <w:szCs w:val="20"/>
                <w:color w:val="auto"/>
              </w:rPr>
            </w:pPr>
            <w:r>
              <w:rPr>
                <w:rFonts w:ascii="Arial" w:cs="Arial" w:eastAsia="Arial" w:hAnsi="Arial"/>
                <w:sz w:val="12"/>
                <w:szCs w:val="12"/>
                <w:color w:val="auto"/>
              </w:rPr>
              <w:t>/s/</w:t>
            </w:r>
          </w:p>
        </w:tc>
        <w:tc>
          <w:tcPr>
            <w:tcW w:w="6240" w:type="dxa"/>
            <w:vAlign w:val="bottom"/>
            <w:tcBorders>
              <w:bottom w:val="single" w:sz="8" w:color="auto"/>
            </w:tcBorders>
          </w:tcPr>
          <w:p>
            <w:pPr>
              <w:ind w:left="60"/>
              <w:spacing w:after="0"/>
              <w:rPr>
                <w:sz w:val="20"/>
                <w:szCs w:val="20"/>
                <w:color w:val="auto"/>
              </w:rPr>
            </w:pPr>
            <w:r>
              <w:rPr>
                <w:rFonts w:ascii="Arial" w:cs="Arial" w:eastAsia="Arial" w:hAnsi="Arial"/>
                <w:sz w:val="12"/>
                <w:szCs w:val="12"/>
                <w:color w:val="auto"/>
              </w:rPr>
              <w:t>G</w:t>
            </w:r>
            <w:r>
              <w:rPr>
                <w:rFonts w:ascii="Arial" w:cs="Arial" w:eastAsia="Arial" w:hAnsi="Arial"/>
                <w:sz w:val="9"/>
                <w:szCs w:val="9"/>
                <w:color w:val="auto"/>
              </w:rPr>
              <w:t>ARY</w:t>
            </w:r>
            <w:r>
              <w:rPr>
                <w:rFonts w:ascii="Arial" w:cs="Arial" w:eastAsia="Arial" w:hAnsi="Arial"/>
                <w:sz w:val="12"/>
                <w:szCs w:val="12"/>
                <w:color w:val="auto"/>
              </w:rPr>
              <w:t xml:space="preserve"> K</w:t>
            </w:r>
            <w:r>
              <w:rPr>
                <w:rFonts w:ascii="Arial" w:cs="Arial" w:eastAsia="Arial" w:hAnsi="Arial"/>
                <w:sz w:val="9"/>
                <w:szCs w:val="9"/>
                <w:color w:val="auto"/>
              </w:rPr>
              <w:t>AIN</w:t>
            </w:r>
          </w:p>
        </w:tc>
      </w:tr>
      <w:tr>
        <w:trPr>
          <w:trHeight w:val="162"/>
        </w:trPr>
        <w:tc>
          <w:tcPr>
            <w:tcW w:w="660" w:type="dxa"/>
            <w:vAlign w:val="bottom"/>
          </w:tcPr>
          <w:p>
            <w:pPr>
              <w:spacing w:after="0"/>
              <w:rPr>
                <w:sz w:val="20"/>
                <w:szCs w:val="20"/>
                <w:color w:val="auto"/>
              </w:rPr>
            </w:pPr>
            <w:r>
              <w:rPr>
                <w:rFonts w:ascii="Arial" w:cs="Arial" w:eastAsia="Arial" w:hAnsi="Arial"/>
                <w:sz w:val="12"/>
                <w:szCs w:val="12"/>
                <w:color w:val="auto"/>
              </w:rPr>
              <w:t>Name:</w:t>
            </w:r>
          </w:p>
        </w:tc>
        <w:tc>
          <w:tcPr>
            <w:tcW w:w="6440" w:type="dxa"/>
            <w:vAlign w:val="bottom"/>
            <w:gridSpan w:val="2"/>
          </w:tcPr>
          <w:p>
            <w:pPr>
              <w:ind w:left="20"/>
              <w:spacing w:after="0"/>
              <w:rPr>
                <w:sz w:val="20"/>
                <w:szCs w:val="20"/>
                <w:color w:val="auto"/>
              </w:rPr>
            </w:pPr>
            <w:r>
              <w:rPr>
                <w:rFonts w:ascii="Arial" w:cs="Arial" w:eastAsia="Arial" w:hAnsi="Arial"/>
                <w:sz w:val="12"/>
                <w:szCs w:val="12"/>
                <w:color w:val="auto"/>
              </w:rPr>
              <w:t>Gary Kain</w:t>
            </w:r>
          </w:p>
        </w:tc>
      </w:tr>
      <w:tr>
        <w:trPr>
          <w:trHeight w:val="171"/>
        </w:trPr>
        <w:tc>
          <w:tcPr>
            <w:tcW w:w="660" w:type="dxa"/>
            <w:vAlign w:val="bottom"/>
          </w:tcPr>
          <w:p>
            <w:pPr>
              <w:spacing w:after="0"/>
              <w:rPr>
                <w:sz w:val="20"/>
                <w:szCs w:val="20"/>
                <w:color w:val="auto"/>
              </w:rPr>
            </w:pPr>
            <w:r>
              <w:rPr>
                <w:rFonts w:ascii="Arial" w:cs="Arial" w:eastAsia="Arial" w:hAnsi="Arial"/>
                <w:sz w:val="12"/>
                <w:szCs w:val="12"/>
                <w:color w:val="auto"/>
              </w:rPr>
              <w:t>Title:</w:t>
            </w:r>
          </w:p>
        </w:tc>
        <w:tc>
          <w:tcPr>
            <w:tcW w:w="6440" w:type="dxa"/>
            <w:vAlign w:val="bottom"/>
            <w:gridSpan w:val="2"/>
          </w:tcPr>
          <w:p>
            <w:pPr>
              <w:ind w:left="20"/>
              <w:spacing w:after="0"/>
              <w:rPr>
                <w:sz w:val="20"/>
                <w:szCs w:val="20"/>
                <w:color w:val="auto"/>
              </w:rPr>
            </w:pPr>
            <w:r>
              <w:rPr>
                <w:rFonts w:ascii="Arial" w:cs="Arial" w:eastAsia="Arial" w:hAnsi="Arial"/>
                <w:sz w:val="12"/>
                <w:szCs w:val="12"/>
                <w:color w:val="auto"/>
              </w:rPr>
              <w:t>Chief Executive Officer,</w:t>
            </w:r>
          </w:p>
        </w:tc>
      </w:tr>
      <w:tr>
        <w:trPr>
          <w:trHeight w:val="153"/>
        </w:trPr>
        <w:tc>
          <w:tcPr>
            <w:tcW w:w="660" w:type="dxa"/>
            <w:vAlign w:val="bottom"/>
          </w:tcPr>
          <w:p>
            <w:pPr>
              <w:spacing w:after="0"/>
              <w:rPr>
                <w:sz w:val="13"/>
                <w:szCs w:val="13"/>
                <w:color w:val="auto"/>
              </w:rPr>
            </w:pPr>
          </w:p>
        </w:tc>
        <w:tc>
          <w:tcPr>
            <w:tcW w:w="6440" w:type="dxa"/>
            <w:vAlign w:val="bottom"/>
            <w:gridSpan w:val="2"/>
          </w:tcPr>
          <w:p>
            <w:pPr>
              <w:ind w:left="20"/>
              <w:spacing w:after="0"/>
              <w:rPr>
                <w:sz w:val="20"/>
                <w:szCs w:val="20"/>
                <w:color w:val="auto"/>
              </w:rPr>
            </w:pPr>
            <w:r>
              <w:rPr>
                <w:rFonts w:ascii="Arial" w:cs="Arial" w:eastAsia="Arial" w:hAnsi="Arial"/>
                <w:sz w:val="12"/>
                <w:szCs w:val="12"/>
                <w:color w:val="auto"/>
              </w:rPr>
              <w:t>President and Chief Investment Officer (Principal Executive Officer)</w:t>
            </w:r>
          </w:p>
        </w:tc>
      </w:tr>
      <w:tr>
        <w:trPr>
          <w:trHeight w:val="180"/>
        </w:trPr>
        <w:tc>
          <w:tcPr>
            <w:tcW w:w="660" w:type="dxa"/>
            <w:vAlign w:val="bottom"/>
          </w:tcPr>
          <w:p>
            <w:pPr>
              <w:spacing w:after="0"/>
              <w:rPr>
                <w:sz w:val="20"/>
                <w:szCs w:val="20"/>
                <w:color w:val="auto"/>
              </w:rPr>
            </w:pPr>
            <w:r>
              <w:rPr>
                <w:rFonts w:ascii="Arial" w:cs="Arial" w:eastAsia="Arial" w:hAnsi="Arial"/>
                <w:sz w:val="12"/>
                <w:szCs w:val="12"/>
                <w:color w:val="auto"/>
              </w:rPr>
              <w:t>Date:</w:t>
            </w:r>
          </w:p>
        </w:tc>
        <w:tc>
          <w:tcPr>
            <w:tcW w:w="6440" w:type="dxa"/>
            <w:vAlign w:val="bottom"/>
            <w:gridSpan w:val="2"/>
          </w:tcPr>
          <w:p>
            <w:pPr>
              <w:ind w:left="20"/>
              <w:spacing w:after="0"/>
              <w:rPr>
                <w:sz w:val="20"/>
                <w:szCs w:val="20"/>
                <w:color w:val="auto"/>
              </w:rPr>
            </w:pPr>
            <w:r>
              <w:rPr>
                <w:rFonts w:ascii="Arial" w:cs="Arial" w:eastAsia="Arial" w:hAnsi="Arial"/>
                <w:sz w:val="12"/>
                <w:szCs w:val="12"/>
                <w:color w:val="auto"/>
              </w:rPr>
              <w:t>November 7, 2016</w:t>
            </w:r>
          </w:p>
        </w:tc>
      </w:tr>
      <w:tr>
        <w:trPr>
          <w:trHeight w:val="385"/>
        </w:trPr>
        <w:tc>
          <w:tcPr>
            <w:tcW w:w="660" w:type="dxa"/>
            <w:vAlign w:val="bottom"/>
          </w:tcPr>
          <w:p>
            <w:pPr>
              <w:spacing w:after="0"/>
              <w:rPr>
                <w:sz w:val="24"/>
                <w:szCs w:val="24"/>
                <w:color w:val="auto"/>
              </w:rPr>
            </w:pPr>
          </w:p>
        </w:tc>
        <w:tc>
          <w:tcPr>
            <w:tcW w:w="200" w:type="dxa"/>
            <w:vAlign w:val="bottom"/>
            <w:tcBorders>
              <w:bottom w:val="single" w:sz="8" w:color="auto"/>
            </w:tcBorders>
          </w:tcPr>
          <w:p>
            <w:pPr>
              <w:ind w:left="20"/>
              <w:spacing w:after="0"/>
              <w:rPr>
                <w:sz w:val="20"/>
                <w:szCs w:val="20"/>
                <w:color w:val="auto"/>
              </w:rPr>
            </w:pPr>
            <w:r>
              <w:rPr>
                <w:rFonts w:ascii="Arial" w:cs="Arial" w:eastAsia="Arial" w:hAnsi="Arial"/>
                <w:sz w:val="12"/>
                <w:szCs w:val="12"/>
                <w:color w:val="auto"/>
              </w:rPr>
              <w:t>/s/</w:t>
            </w:r>
          </w:p>
        </w:tc>
        <w:tc>
          <w:tcPr>
            <w:tcW w:w="6240" w:type="dxa"/>
            <w:vAlign w:val="bottom"/>
            <w:tcBorders>
              <w:bottom w:val="single" w:sz="8" w:color="auto"/>
            </w:tcBorders>
          </w:tcPr>
          <w:p>
            <w:pPr>
              <w:ind w:left="60"/>
              <w:spacing w:after="0"/>
              <w:rPr>
                <w:sz w:val="20"/>
                <w:szCs w:val="20"/>
                <w:color w:val="auto"/>
              </w:rPr>
            </w:pPr>
            <w:r>
              <w:rPr>
                <w:rFonts w:ascii="Arial" w:cs="Arial" w:eastAsia="Arial" w:hAnsi="Arial"/>
                <w:sz w:val="12"/>
                <w:szCs w:val="12"/>
                <w:color w:val="auto"/>
              </w:rPr>
              <w:t>P</w:t>
            </w:r>
            <w:r>
              <w:rPr>
                <w:rFonts w:ascii="Arial" w:cs="Arial" w:eastAsia="Arial" w:hAnsi="Arial"/>
                <w:sz w:val="9"/>
                <w:szCs w:val="9"/>
                <w:color w:val="auto"/>
              </w:rPr>
              <w:t>ETER</w:t>
            </w:r>
            <w:r>
              <w:rPr>
                <w:rFonts w:ascii="Arial" w:cs="Arial" w:eastAsia="Arial" w:hAnsi="Arial"/>
                <w:sz w:val="12"/>
                <w:szCs w:val="12"/>
                <w:color w:val="auto"/>
              </w:rPr>
              <w:t xml:space="preserve"> F</w:t>
            </w:r>
            <w:r>
              <w:rPr>
                <w:rFonts w:ascii="Arial" w:cs="Arial" w:eastAsia="Arial" w:hAnsi="Arial"/>
                <w:sz w:val="9"/>
                <w:szCs w:val="9"/>
                <w:color w:val="auto"/>
              </w:rPr>
              <w:t>EDERICO</w:t>
            </w:r>
          </w:p>
        </w:tc>
      </w:tr>
      <w:tr>
        <w:trPr>
          <w:trHeight w:val="162"/>
        </w:trPr>
        <w:tc>
          <w:tcPr>
            <w:tcW w:w="660" w:type="dxa"/>
            <w:vAlign w:val="bottom"/>
          </w:tcPr>
          <w:p>
            <w:pPr>
              <w:spacing w:after="0"/>
              <w:rPr>
                <w:sz w:val="20"/>
                <w:szCs w:val="20"/>
                <w:color w:val="auto"/>
              </w:rPr>
            </w:pPr>
            <w:r>
              <w:rPr>
                <w:rFonts w:ascii="Arial" w:cs="Arial" w:eastAsia="Arial" w:hAnsi="Arial"/>
                <w:sz w:val="12"/>
                <w:szCs w:val="12"/>
                <w:color w:val="auto"/>
              </w:rPr>
              <w:t>Name:</w:t>
            </w:r>
          </w:p>
        </w:tc>
        <w:tc>
          <w:tcPr>
            <w:tcW w:w="6440" w:type="dxa"/>
            <w:vAlign w:val="bottom"/>
            <w:gridSpan w:val="2"/>
          </w:tcPr>
          <w:p>
            <w:pPr>
              <w:ind w:left="20"/>
              <w:spacing w:after="0"/>
              <w:rPr>
                <w:sz w:val="20"/>
                <w:szCs w:val="20"/>
                <w:color w:val="auto"/>
              </w:rPr>
            </w:pPr>
            <w:r>
              <w:rPr>
                <w:rFonts w:ascii="Arial" w:cs="Arial" w:eastAsia="Arial" w:hAnsi="Arial"/>
                <w:sz w:val="12"/>
                <w:szCs w:val="12"/>
                <w:color w:val="auto"/>
              </w:rPr>
              <w:t>Peter Federico</w:t>
            </w:r>
          </w:p>
        </w:tc>
      </w:tr>
      <w:tr>
        <w:trPr>
          <w:trHeight w:val="171"/>
        </w:trPr>
        <w:tc>
          <w:tcPr>
            <w:tcW w:w="660" w:type="dxa"/>
            <w:vAlign w:val="bottom"/>
          </w:tcPr>
          <w:p>
            <w:pPr>
              <w:spacing w:after="0"/>
              <w:rPr>
                <w:sz w:val="20"/>
                <w:szCs w:val="20"/>
                <w:color w:val="auto"/>
              </w:rPr>
            </w:pPr>
            <w:r>
              <w:rPr>
                <w:rFonts w:ascii="Arial" w:cs="Arial" w:eastAsia="Arial" w:hAnsi="Arial"/>
                <w:sz w:val="12"/>
                <w:szCs w:val="12"/>
                <w:color w:val="auto"/>
              </w:rPr>
              <w:t>Title:</w:t>
            </w:r>
          </w:p>
        </w:tc>
        <w:tc>
          <w:tcPr>
            <w:tcW w:w="6440" w:type="dxa"/>
            <w:vAlign w:val="bottom"/>
            <w:gridSpan w:val="2"/>
          </w:tcPr>
          <w:p>
            <w:pPr>
              <w:ind w:left="20"/>
              <w:spacing w:after="0"/>
              <w:rPr>
                <w:sz w:val="20"/>
                <w:szCs w:val="20"/>
                <w:color w:val="auto"/>
              </w:rPr>
            </w:pPr>
            <w:r>
              <w:rPr>
                <w:rFonts w:ascii="Arial" w:cs="Arial" w:eastAsia="Arial" w:hAnsi="Arial"/>
                <w:sz w:val="12"/>
                <w:szCs w:val="12"/>
                <w:color w:val="auto"/>
              </w:rPr>
              <w:t>Chief Financial Officer and</w:t>
            </w:r>
          </w:p>
        </w:tc>
      </w:tr>
      <w:tr>
        <w:trPr>
          <w:trHeight w:val="153"/>
        </w:trPr>
        <w:tc>
          <w:tcPr>
            <w:tcW w:w="660" w:type="dxa"/>
            <w:vAlign w:val="bottom"/>
          </w:tcPr>
          <w:p>
            <w:pPr>
              <w:spacing w:after="0"/>
              <w:rPr>
                <w:sz w:val="13"/>
                <w:szCs w:val="13"/>
                <w:color w:val="auto"/>
              </w:rPr>
            </w:pPr>
          </w:p>
        </w:tc>
        <w:tc>
          <w:tcPr>
            <w:tcW w:w="6440" w:type="dxa"/>
            <w:vAlign w:val="bottom"/>
            <w:gridSpan w:val="2"/>
          </w:tcPr>
          <w:p>
            <w:pPr>
              <w:ind w:left="20"/>
              <w:spacing w:after="0"/>
              <w:rPr>
                <w:sz w:val="20"/>
                <w:szCs w:val="20"/>
                <w:color w:val="auto"/>
              </w:rPr>
            </w:pPr>
            <w:r>
              <w:rPr>
                <w:rFonts w:ascii="Arial" w:cs="Arial" w:eastAsia="Arial" w:hAnsi="Arial"/>
                <w:sz w:val="12"/>
                <w:szCs w:val="12"/>
                <w:color w:val="auto"/>
              </w:rPr>
              <w:t>Executive Vice President (Principal Financial Officer)</w:t>
            </w:r>
          </w:p>
        </w:tc>
      </w:tr>
      <w:tr>
        <w:trPr>
          <w:trHeight w:val="189"/>
        </w:trPr>
        <w:tc>
          <w:tcPr>
            <w:tcW w:w="660" w:type="dxa"/>
            <w:vAlign w:val="bottom"/>
          </w:tcPr>
          <w:p>
            <w:pPr>
              <w:spacing w:after="0"/>
              <w:rPr>
                <w:sz w:val="20"/>
                <w:szCs w:val="20"/>
                <w:color w:val="auto"/>
              </w:rPr>
            </w:pPr>
            <w:r>
              <w:rPr>
                <w:rFonts w:ascii="Arial" w:cs="Arial" w:eastAsia="Arial" w:hAnsi="Arial"/>
                <w:sz w:val="12"/>
                <w:szCs w:val="12"/>
                <w:color w:val="auto"/>
              </w:rPr>
              <w:t>Date:</w:t>
            </w:r>
          </w:p>
        </w:tc>
        <w:tc>
          <w:tcPr>
            <w:tcW w:w="6440" w:type="dxa"/>
            <w:vAlign w:val="bottom"/>
            <w:gridSpan w:val="2"/>
          </w:tcPr>
          <w:p>
            <w:pPr>
              <w:ind w:left="20"/>
              <w:spacing w:after="0"/>
              <w:rPr>
                <w:sz w:val="20"/>
                <w:szCs w:val="20"/>
                <w:color w:val="auto"/>
              </w:rPr>
            </w:pPr>
            <w:r>
              <w:rPr>
                <w:rFonts w:ascii="Arial" w:cs="Arial" w:eastAsia="Arial" w:hAnsi="Arial"/>
                <w:sz w:val="12"/>
                <w:szCs w:val="12"/>
                <w:color w:val="auto"/>
              </w:rPr>
              <w:t>November 7, 2016</w:t>
            </w:r>
          </w:p>
        </w:tc>
      </w:tr>
    </w:tbl>
    <w:p>
      <w:pPr>
        <w:spacing w:after="0" w:line="153" w:lineRule="exact"/>
        <w:rPr>
          <w:sz w:val="20"/>
          <w:szCs w:val="20"/>
          <w:color w:val="auto"/>
        </w:rPr>
      </w:pPr>
    </w:p>
    <w:p>
      <w:pPr>
        <w:spacing w:after="0"/>
        <w:rPr>
          <w:sz w:val="20"/>
          <w:szCs w:val="20"/>
          <w:color w:val="auto"/>
        </w:rPr>
      </w:pPr>
      <w:r>
        <w:rPr>
          <w:rFonts w:ascii="Arial" w:cs="Arial" w:eastAsia="Arial" w:hAnsi="Arial"/>
          <w:sz w:val="11"/>
          <w:szCs w:val="11"/>
          <w:color w:val="auto"/>
        </w:rPr>
        <w:t>A signed original of this written statement required by Section 906 has been provided to the Company and will be retained by the Company and furnished to the Securities and Exchange Commission or its staff upon request.</w:t>
      </w:r>
    </w:p>
    <w:sectPr>
      <w:pgSz w:w="11900" w:h="16838" w:orient="portrait"/>
      <w:cols w:equalWidth="0" w:num="1">
        <w:col w:w="11480"/>
      </w:cols>
      <w:pgMar w:left="220" w:top="433" w:right="19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4E49EB4"/>
    <w:multiLevelType w:val="hybridMultilevel"/>
    <w:lvl w:ilvl="0">
      <w:lvlJc w:val="left"/>
      <w:lvlText w:val="%1."/>
      <w:numFmt w:val="decimal"/>
      <w:start w:val="1"/>
    </w:lvl>
  </w:abstractNum>
  <w:abstractNum w:abstractNumId="1">
    <w:nsid w:val="71F32454"/>
    <w:multiLevelType w:val="hybridMultilevel"/>
    <w:lvl w:ilvl="0">
      <w:lvlJc w:val="left"/>
      <w:lvlText w:val="%1."/>
      <w:numFmt w:val="decimal"/>
      <w:start w:val="2"/>
    </w:lvl>
  </w:abstractNum>
  <w:abstractNum w:abstractNumId="2">
    <w:nsid w:val="2CA88611"/>
    <w:multiLevelType w:val="hybridMultilevel"/>
    <w:lvl w:ilvl="0">
      <w:lvlJc w:val="left"/>
      <w:lvlText w:val="%1."/>
      <w:numFmt w:val="decimal"/>
      <w:start w:val="1"/>
    </w:lvl>
  </w:abstractNum>
  <w:abstractNum w:abstractNumId="3">
    <w:nsid w:val="836C40E"/>
    <w:multiLevelType w:val="hybridMultilevel"/>
    <w:lvl w:ilvl="0">
      <w:lvlJc w:val="left"/>
      <w:lvlText w:val="%1."/>
      <w:numFmt w:val="decimal"/>
      <w:start w:val="1"/>
    </w:lvl>
  </w:abstractNum>
  <w:abstractNum w:abstractNumId="4">
    <w:nsid w:val="2901D82"/>
    <w:multiLevelType w:val="hybridMultilevel"/>
    <w:lvl w:ilvl="0">
      <w:lvlJc w:val="left"/>
      <w:lvlText w:val="%1."/>
      <w:numFmt w:val="decimal"/>
      <w:start w:val="1"/>
    </w:lvl>
  </w:abstractNum>
  <w:abstractNum w:abstractNumId="5">
    <w:nsid w:val="3A95F874"/>
    <w:multiLevelType w:val="hybridMultilevel"/>
    <w:lvl w:ilvl="0">
      <w:lvlJc w:val="left"/>
      <w:lvlText w:val="%1."/>
      <w:numFmt w:val="decimal"/>
      <w:start w:val="1"/>
    </w:lvl>
  </w:abstractNum>
  <w:abstractNum w:abstractNumId="6">
    <w:nsid w:val="8138641"/>
    <w:multiLevelType w:val="hybridMultilevel"/>
    <w:lvl w:ilvl="0">
      <w:lvlJc w:val="left"/>
      <w:lvlText w:val="%1."/>
      <w:numFmt w:val="decimal"/>
      <w:start w:val="1"/>
    </w:lvl>
  </w:abstractNum>
  <w:abstractNum w:abstractNumId="7">
    <w:nsid w:val="1E7FF521"/>
    <w:multiLevelType w:val="hybridMultilevel"/>
    <w:lvl w:ilvl="0">
      <w:lvlJc w:val="left"/>
      <w:lvlText w:val="%1."/>
      <w:numFmt w:val="decimal"/>
      <w:start w:val="3"/>
    </w:lvl>
  </w:abstractNum>
  <w:abstractNum w:abstractNumId="8">
    <w:nsid w:val="7C3DBD3D"/>
    <w:multiLevelType w:val="hybridMultilevel"/>
    <w:lvl w:ilvl="0">
      <w:lvlJc w:val="left"/>
      <w:lvlText w:val="%1."/>
      <w:numFmt w:val="decimal"/>
      <w:start w:val="1"/>
    </w:lvl>
  </w:abstractNum>
  <w:abstractNum w:abstractNumId="9">
    <w:nsid w:val="737B8DDC"/>
    <w:multiLevelType w:val="hybridMultilevel"/>
    <w:lvl w:ilvl="0">
      <w:lvlJc w:val="left"/>
      <w:lvlText w:val="%1."/>
      <w:numFmt w:val="decimal"/>
      <w:start w:val="1"/>
    </w:lvl>
  </w:abstractNum>
  <w:abstractNum w:abstractNumId="10">
    <w:nsid w:val="6CEAF087"/>
    <w:multiLevelType w:val="hybridMultilevel"/>
    <w:lvl w:ilvl="0">
      <w:lvlJc w:val="left"/>
      <w:lvlText w:val="%1."/>
      <w:numFmt w:val="decimal"/>
      <w:start w:val="1"/>
    </w:lvl>
  </w:abstractNum>
  <w:abstractNum w:abstractNumId="11">
    <w:nsid w:val="22221A70"/>
    <w:multiLevelType w:val="hybridMultilevel"/>
    <w:lvl w:ilvl="0">
      <w:lvlJc w:val="left"/>
      <w:lvlText w:val="%1."/>
      <w:numFmt w:val="decimal"/>
      <w:start w:val="1"/>
    </w:lvl>
  </w:abstractNum>
  <w:abstractNum w:abstractNumId="12">
    <w:nsid w:val="4516DDE9"/>
    <w:multiLevelType w:val="hybridMultilevel"/>
    <w:lvl w:ilvl="0">
      <w:lvlJc w:val="left"/>
      <w:lvlText w:val="%1."/>
      <w:numFmt w:val="decimal"/>
      <w:start w:val="1"/>
    </w:lvl>
  </w:abstractNum>
  <w:abstractNum w:abstractNumId="13">
    <w:nsid w:val="3006C83E"/>
    <w:multiLevelType w:val="hybridMultilevel"/>
    <w:lvl w:ilvl="0">
      <w:lvlJc w:val="left"/>
      <w:lvlText w:val="%1."/>
      <w:numFmt w:val="decimal"/>
      <w:start w:val="1"/>
    </w:lvl>
  </w:abstractNum>
  <w:abstractNum w:abstractNumId="14">
    <w:nsid w:val="614FD4A1"/>
    <w:multiLevelType w:val="hybridMultilevel"/>
    <w:lvl w:ilvl="0">
      <w:lvlJc w:val="left"/>
      <w:lvlText w:val="%1."/>
      <w:numFmt w:val="decimal"/>
      <w:start w:val="1"/>
    </w:lvl>
  </w:abstractNum>
  <w:abstractNum w:abstractNumId="15">
    <w:nsid w:val="419AC241"/>
    <w:multiLevelType w:val="hybridMultilevel"/>
    <w:lvl w:ilvl="0">
      <w:lvlJc w:val="left"/>
      <w:lvlText w:val="•"/>
      <w:numFmt w:val="bullet"/>
      <w:start w:val="1"/>
    </w:lvl>
  </w:abstractNum>
  <w:abstractNum w:abstractNumId="16">
    <w:nsid w:val="5577F8E1"/>
    <w:multiLevelType w:val="hybridMultilevel"/>
    <w:lvl w:ilvl="0">
      <w:lvlJc w:val="left"/>
      <w:lvlText w:val="•"/>
      <w:numFmt w:val="bullet"/>
      <w:start w:val="1"/>
    </w:lvl>
  </w:abstractNum>
  <w:abstractNum w:abstractNumId="17">
    <w:nsid w:val="440BADFC"/>
    <w:multiLevelType w:val="hybridMultilevel"/>
    <w:lvl w:ilvl="0">
      <w:lvlJc w:val="left"/>
      <w:lvlText w:val="•"/>
      <w:numFmt w:val="bullet"/>
      <w:start w:val="1"/>
    </w:lvl>
  </w:abstractNum>
  <w:abstractNum w:abstractNumId="18">
    <w:nsid w:val="5072367"/>
    <w:multiLevelType w:val="hybridMultilevel"/>
    <w:lvl w:ilvl="0">
      <w:lvlJc w:val="left"/>
      <w:lvlText w:val="%1."/>
      <w:numFmt w:val="decimal"/>
      <w:start w:val="1"/>
    </w:lvl>
  </w:abstractNum>
  <w:abstractNum w:abstractNumId="19">
    <w:nsid w:val="3804823E"/>
    <w:multiLevelType w:val="hybridMultilevel"/>
    <w:lvl w:ilvl="0">
      <w:lvlJc w:val="left"/>
      <w:lvlText w:val="%1."/>
      <w:numFmt w:val="decimal"/>
      <w:start w:val="1"/>
    </w:lvl>
  </w:abstractNum>
  <w:abstractNum w:abstractNumId="20">
    <w:nsid w:val="77465F01"/>
    <w:multiLevelType w:val="hybridMultilevel"/>
    <w:lvl w:ilvl="0">
      <w:lvlJc w:val="left"/>
      <w:lvlText w:val="%1."/>
      <w:numFmt w:val="decimal"/>
      <w:start w:val="1"/>
    </w:lvl>
  </w:abstractNum>
  <w:abstractNum w:abstractNumId="21">
    <w:nsid w:val="7724C67E"/>
    <w:multiLevelType w:val="hybridMultilevel"/>
    <w:lvl w:ilvl="0">
      <w:lvlJc w:val="left"/>
      <w:lvlText w:val="%1."/>
      <w:numFmt w:val="decimal"/>
      <w:start w:val="1"/>
    </w:lvl>
  </w:abstractNum>
  <w:abstractNum w:abstractNumId="22">
    <w:nsid w:val="5C482A97"/>
    <w:multiLevelType w:val="hybridMultilevel"/>
    <w:lvl w:ilvl="0">
      <w:lvlJc w:val="left"/>
      <w:lvlText w:val="%1."/>
      <w:numFmt w:val="decimal"/>
      <w:start w:val="1"/>
    </w:lvl>
  </w:abstractNum>
  <w:abstractNum w:abstractNumId="23">
    <w:nsid w:val="2463B9EA"/>
    <w:multiLevelType w:val="hybridMultilevel"/>
    <w:lvl w:ilvl="0">
      <w:lvlJc w:val="left"/>
      <w:lvlText w:val="*"/>
      <w:numFmt w:val="bullet"/>
      <w:start w:val="1"/>
    </w:lvl>
  </w:abstractNum>
  <w:abstractNum w:abstractNumId="24">
    <w:nsid w:val="5E884ADC"/>
    <w:multiLevelType w:val="hybridMultilevel"/>
    <w:lvl w:ilvl="0">
      <w:lvlJc w:val="left"/>
      <w:lvlText w:val="%1."/>
      <w:numFmt w:val="decimal"/>
      <w:start w:val="1"/>
    </w:lvl>
  </w:abstractNum>
  <w:abstractNum w:abstractNumId="25">
    <w:nsid w:val="51EAD36B"/>
    <w:multiLevelType w:val="hybridMultilevel"/>
    <w:lvl w:ilvl="0">
      <w:lvlJc w:val="left"/>
      <w:lvlText w:val="%1."/>
      <w:numFmt w:val="decimal"/>
      <w:start w:val="1"/>
    </w:lvl>
  </w:abstractNum>
  <w:abstractNum w:abstractNumId="26">
    <w:nsid w:val="2D517796"/>
    <w:multiLevelType w:val="hybridMultilevel"/>
    <w:lvl w:ilvl="0">
      <w:lvlJc w:val="left"/>
      <w:lvlText w:val="%1."/>
      <w:numFmt w:val="decimal"/>
      <w:start w:val="3"/>
    </w:lvl>
  </w:abstractNum>
  <w:abstractNum w:abstractNumId="27">
    <w:nsid w:val="580BD78F"/>
    <w:multiLevelType w:val="hybridMultilevel"/>
    <w:lvl w:ilvl="0">
      <w:lvlJc w:val="left"/>
      <w:lvlText w:val="%1."/>
      <w:numFmt w:val="decimal"/>
      <w:start w:val="1"/>
    </w:lvl>
  </w:abstractNum>
  <w:abstractNum w:abstractNumId="28">
    <w:nsid w:val="153EA438"/>
    <w:multiLevelType w:val="hybridMultilevel"/>
    <w:lvl w:ilvl="0">
      <w:lvlJc w:val="left"/>
      <w:lvlText w:val="%1."/>
      <w:numFmt w:val="decimal"/>
      <w:start w:val="1"/>
    </w:lvl>
  </w:abstractNum>
  <w:abstractNum w:abstractNumId="29">
    <w:nsid w:val="3855585C"/>
    <w:multiLevelType w:val="hybridMultilevel"/>
    <w:lvl w:ilvl="0">
      <w:lvlJc w:val="left"/>
      <w:lvlText w:val="%1."/>
      <w:numFmt w:val="decimal"/>
      <w:start w:val="1"/>
    </w:lvl>
  </w:abstractNum>
  <w:abstractNum w:abstractNumId="30">
    <w:nsid w:val="70A64E2A"/>
    <w:multiLevelType w:val="hybridMultilevel"/>
    <w:lvl w:ilvl="0">
      <w:lvlJc w:val="left"/>
      <w:lvlText w:val="%1."/>
      <w:numFmt w:val="decimal"/>
      <w:start w:val="1"/>
    </w:lvl>
  </w:abstractNum>
  <w:abstractNum w:abstractNumId="31">
    <w:nsid w:val="6A2342EC"/>
    <w:multiLevelType w:val="hybridMultilevel"/>
    <w:lvl w:ilvl="0">
      <w:lvlJc w:val="left"/>
      <w:lvlText w:val="(%1)"/>
      <w:numFmt w:val="lowerLetter"/>
      <w:start w:val="1"/>
    </w:lvl>
  </w:abstractNum>
  <w:abstractNum w:abstractNumId="32">
    <w:nsid w:val="2A487CB0"/>
    <w:multiLevelType w:val="hybridMultilevel"/>
    <w:lvl w:ilvl="0">
      <w:lvlJc w:val="left"/>
      <w:lvlText w:val="*"/>
      <w:numFmt w:val="bullet"/>
      <w:start w:val="1"/>
    </w:lvl>
  </w:abstractNum>
  <w:abstractNum w:abstractNumId="33">
    <w:nsid w:val="1D4ED43B"/>
    <w:multiLevelType w:val="hybridMultilevel"/>
    <w:lvl w:ilvl="0">
      <w:lvlJc w:val="left"/>
      <w:lvlText w:val="**"/>
      <w:numFmt w:val="bullet"/>
      <w:start w:val="1"/>
    </w:lvl>
    <w:lvl w:ilvl="1">
      <w:lvlJc w:val="left"/>
      <w:lvlText w:val="(%2)"/>
      <w:numFmt w:val="lowerLetter"/>
      <w:start w:val="2"/>
    </w:lvl>
  </w:abstractNum>
  <w:abstractNum w:abstractNumId="34">
    <w:nsid w:val="725A06FB"/>
    <w:multiLevelType w:val="hybridMultilevel"/>
    <w:lvl w:ilvl="0">
      <w:lvlJc w:val="left"/>
      <w:lvlText w:val="(%1)"/>
      <w:numFmt w:val="lowerLetter"/>
      <w:start w:val="2"/>
    </w:lvl>
  </w:abstractNum>
  <w:abstractNum w:abstractNumId="35">
    <w:nsid w:val="2CD89A32"/>
    <w:multiLevelType w:val="hybridMultilevel"/>
    <w:lvl w:ilvl="0">
      <w:lvlJc w:val="left"/>
      <w:lvlText w:val="(%1)"/>
      <w:numFmt w:val="lowerLetter"/>
      <w:start w:val="2"/>
    </w:lvl>
  </w:abstractNum>
  <w:abstractNum w:abstractNumId="36">
    <w:nsid w:val="57E4CCAF"/>
    <w:multiLevelType w:val="hybridMultilevel"/>
    <w:lvl w:ilvl="0">
      <w:lvlJc w:val="left"/>
      <w:lvlText w:val="(%1)"/>
      <w:numFmt w:val="lowerLetter"/>
      <w:start w:val="1"/>
    </w:lvl>
  </w:abstractNum>
  <w:abstractNum w:abstractNumId="37">
    <w:nsid w:val="7A6D8D3C"/>
    <w:multiLevelType w:val="hybridMultilevel"/>
    <w:lvl w:ilvl="0">
      <w:lvlJc w:val="left"/>
      <w:lvlText w:val="(%1)"/>
      <w:numFmt w:val="lowerLetter"/>
      <w:start w:val="1"/>
    </w:lvl>
  </w:abstractNum>
  <w:abstractNum w:abstractNumId="38">
    <w:nsid w:val="4B588F54"/>
    <w:multiLevelType w:val="hybridMultilevel"/>
    <w:lvl w:ilvl="0">
      <w:lvlJc w:val="left"/>
      <w:lvlText w:val="(%1)"/>
      <w:numFmt w:val="lowerRoman"/>
      <w:start w:val="2"/>
    </w:lvl>
  </w:abstractNum>
  <w:abstractNum w:abstractNumId="39">
    <w:nsid w:val="542289EC"/>
    <w:multiLevelType w:val="hybridMultilevel"/>
    <w:lvl w:ilvl="0">
      <w:lvlJc w:val="left"/>
      <w:lvlText w:val="(%1)"/>
      <w:numFmt w:val="lowerLetter"/>
      <w:start w:val="1"/>
    </w:lvl>
    <w:lvl w:ilvl="1">
      <w:lvlJc w:val="left"/>
      <w:lvlText w:val="(%2)"/>
      <w:numFmt w:val="lowerRoman"/>
      <w:start w:val="1"/>
    </w:lvl>
  </w:abstractNum>
  <w:abstractNum w:abstractNumId="40">
    <w:nsid w:val="6DE91B18"/>
    <w:multiLevelType w:val="hybridMultilevel"/>
    <w:lvl w:ilvl="0">
      <w:lvlJc w:val="left"/>
      <w:lvlText w:val="(%1)"/>
      <w:numFmt w:val="lowerRoman"/>
      <w:start w:val="2"/>
    </w:lvl>
  </w:abstractNum>
  <w:abstractNum w:abstractNumId="41">
    <w:nsid w:val="38437FDB"/>
    <w:multiLevelType w:val="hybridMultilevel"/>
    <w:lvl w:ilvl="0">
      <w:lvlJc w:val="left"/>
      <w:lvlText w:val="(%1)"/>
      <w:numFmt w:val="lowerLetter"/>
      <w:start w:val="1"/>
    </w:lvl>
  </w:abstractNum>
  <w:abstractNum w:abstractNumId="42">
    <w:nsid w:val="7644A45C"/>
    <w:multiLevelType w:val="hybridMultilevel"/>
    <w:lvl w:ilvl="0">
      <w:lvlJc w:val="left"/>
      <w:lvlText w:val="(%1)"/>
      <w:numFmt w:val="lowerLetter"/>
      <w:start w:val="2"/>
    </w:lvl>
  </w:abstractNum>
  <w:abstractNum w:abstractNumId="43">
    <w:nsid w:val="32FFF902"/>
    <w:multiLevelType w:val="hybridMultilevel"/>
    <w:lvl w:ilvl="0">
      <w:lvlJc w:val="left"/>
      <w:lvlText w:val="(%1)"/>
      <w:numFmt w:val="lowerLetter"/>
      <w:start w:val="1"/>
    </w:lvl>
    <w:lvl w:ilvl="1">
      <w:lvlJc w:val="left"/>
      <w:lvlText w:val="(%2)"/>
      <w:numFmt w:val="lowerRoman"/>
      <w:start w:val="1"/>
    </w:lvl>
  </w:abstractNum>
  <w:abstractNum w:abstractNumId="44">
    <w:nsid w:val="684A481A"/>
    <w:multiLevelType w:val="hybridMultilevel"/>
    <w:lvl w:ilvl="0">
      <w:lvlJc w:val="left"/>
      <w:lvlText w:val="%1"/>
      <w:numFmt w:val="lowerLetter"/>
      <w:start w:val="1"/>
    </w:lvl>
    <w:lvl w:ilvl="1">
      <w:lvlJc w:val="left"/>
      <w:lvlText w:val="(%2)"/>
      <w:numFmt w:val="lowerLetter"/>
      <w:start w:val="61"/>
    </w:lvl>
  </w:abstractNum>
  <w:abstractNum w:abstractNumId="45">
    <w:nsid w:val="579478FE"/>
    <w:multiLevelType w:val="hybridMultilevel"/>
    <w:lvl w:ilvl="0">
      <w:lvlJc w:val="left"/>
      <w:lvlText w:val="(%1)"/>
      <w:numFmt w:val="lowerLetter"/>
      <w:start w:val="2"/>
    </w:lvl>
    <w:lvl w:ilvl="1">
      <w:lvlJc w:val="left"/>
      <w:lvlText w:val="%2"/>
      <w:numFmt w:val="lowerLetter"/>
      <w:start w:val="1"/>
    </w:lvl>
  </w:abstractNum>
  <w:abstractNum w:abstractNumId="46">
    <w:nsid w:val="749ABB43"/>
    <w:multiLevelType w:val="hybridMultilevel"/>
    <w:lvl w:ilvl="0">
      <w:lvlJc w:val="left"/>
      <w:lvlText w:val="(%1)"/>
      <w:numFmt w:val="lowerRoman"/>
      <w:start w:val="2"/>
    </w:lvl>
  </w:abstractNum>
  <w:abstractNum w:abstractNumId="47">
    <w:nsid w:val="3DC240FB"/>
    <w:multiLevelType w:val="hybridMultilevel"/>
    <w:lvl w:ilvl="0">
      <w:lvlJc w:val="left"/>
      <w:lvlText w:val="%1."/>
      <w:numFmt w:val="lowerLetter"/>
      <w:start w:val="1"/>
    </w:lvl>
  </w:abstractNum>
  <w:abstractNum w:abstractNumId="48">
    <w:nsid w:val="1BA026FA"/>
    <w:multiLevelType w:val="hybridMultilevel"/>
    <w:lvl w:ilvl="0">
      <w:lvlJc w:val="left"/>
      <w:lvlText w:val="%1"/>
      <w:numFmt w:val="lowerLetter"/>
      <w:start w:val="1"/>
    </w:lvl>
    <w:lvl w:ilvl="1">
      <w:lvlJc w:val="left"/>
      <w:lvlText w:val="%2."/>
      <w:numFmt w:val="lowerLetter"/>
      <w:start w:val="2"/>
    </w:lvl>
  </w:abstractNum>
  <w:abstractNum w:abstractNumId="49">
    <w:nsid w:val="79A1DEAA"/>
    <w:multiLevelType w:val="hybridMultilevel"/>
    <w:lvl w:ilvl="0">
      <w:lvlJc w:val="left"/>
      <w:lvlText w:val="(%1)"/>
      <w:numFmt w:val="lowerLetter"/>
      <w:start w:val="25"/>
    </w:lvl>
    <w:lvl w:ilvl="1">
      <w:lvlJc w:val="left"/>
      <w:lvlText w:val="%2."/>
      <w:numFmt w:val="lowerLetter"/>
      <w:start w:val="3"/>
    </w:lvl>
  </w:abstractNum>
  <w:abstractNum w:abstractNumId="50">
    <w:nsid w:val="75C6C33A"/>
    <w:multiLevelType w:val="hybridMultilevel"/>
    <w:lvl w:ilvl="0">
      <w:lvlJc w:val="left"/>
      <w:lvlText w:val="%1."/>
      <w:numFmt w:val="decimal"/>
      <w:start w:val="1"/>
    </w:lvl>
    <w:lvl w:ilvl="1">
      <w:lvlJc w:val="left"/>
      <w:lvlText w:val="(%2)"/>
      <w:numFmt w:val="lowerLetter"/>
      <w:start w:val="1"/>
    </w:lvl>
  </w:abstractNum>
  <w:abstractNum w:abstractNumId="51">
    <w:nsid w:val="12E685FB"/>
    <w:multiLevelType w:val="hybridMultilevel"/>
    <w:lvl w:ilvl="0">
      <w:lvlJc w:val="left"/>
      <w:lvlText w:val="%1."/>
      <w:numFmt w:val="decimal"/>
      <w:start w:val="1"/>
    </w:lvl>
    <w:lvl w:ilvl="1">
      <w:lvlJc w:val="left"/>
      <w:lvlText w:val="(%2)"/>
      <w:numFmt w:val="lowerLetter"/>
      <w:start w:val="1"/>
    </w:lvl>
  </w:abstractNum>
  <w:abstractNum w:abstractNumId="52">
    <w:nsid w:val="70C6A529"/>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2019-12-29T09:22:02Z</dcterms:created>
  <dcterms:modified xsi:type="dcterms:W3CDTF">2019-12-29T09:22:02Z</dcterms:modified>
</cp:coreProperties>
</file>