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234950</wp:posOffset>
            </wp:positionH>
            <wp:positionV relativeFrom="page">
              <wp:posOffset>243205</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-224155</wp:posOffset>
            </wp:positionV>
            <wp:extent cx="7100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136" w:lineRule="exact"/>
        <w:rPr>
          <w:sz w:val="24"/>
          <w:szCs w:val="24"/>
          <w:color w:val="auto"/>
        </w:rPr>
      </w:pPr>
    </w:p>
    <w:p>
      <w:pPr>
        <w:ind w:left="800" w:hanging="765"/>
        <w:spacing w:after="0"/>
        <w:tabs>
          <w:tab w:leader="none" w:pos="80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51"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For the quarterly period ended March 31, 2019</w:t>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OR</w:t>
      </w:r>
    </w:p>
    <w:p>
      <w:pPr>
        <w:spacing w:after="0" w:line="165" w:lineRule="exact"/>
        <w:rPr>
          <w:sz w:val="24"/>
          <w:szCs w:val="24"/>
          <w:color w:val="auto"/>
        </w:rPr>
      </w:pPr>
    </w:p>
    <w:p>
      <w:pPr>
        <w:ind w:left="780" w:hanging="745"/>
        <w:spacing w:after="0"/>
        <w:tabs>
          <w:tab w:leader="none" w:pos="780" w:val="left"/>
        </w:tabs>
        <w:numPr>
          <w:ilvl w:val="0"/>
          <w:numId w:val="2"/>
        </w:numPr>
        <w:rPr>
          <w:rFonts w:ascii="Arial" w:cs="Arial" w:eastAsia="Arial" w:hAnsi="Arial"/>
          <w:sz w:val="21"/>
          <w:szCs w:val="21"/>
          <w:color w:val="auto"/>
        </w:rPr>
      </w:pPr>
      <w:r>
        <w:rPr>
          <w:rFonts w:ascii="Arial" w:cs="Arial" w:eastAsia="Arial" w:hAnsi="Arial"/>
          <w:sz w:val="21"/>
          <w:szCs w:val="21"/>
          <w:b w:val="1"/>
          <w:bCs w:val="1"/>
          <w:color w:val="auto"/>
        </w:rPr>
        <w:t>TRANSITION REPORT PURSUANT TO SECTION 13 OR 15(D) OF THE SECURITIES EXCHANGE ACT OF</w:t>
      </w:r>
    </w:p>
    <w:p>
      <w:pPr>
        <w:spacing w:after="0" w:line="25" w:lineRule="exact"/>
        <w:rPr>
          <w:rFonts w:ascii="Arial" w:cs="Arial" w:eastAsia="Arial" w:hAnsi="Arial"/>
          <w:sz w:val="21"/>
          <w:szCs w:val="21"/>
          <w:color w:val="auto"/>
        </w:rPr>
      </w:pPr>
    </w:p>
    <w:p>
      <w:pPr>
        <w:ind w:left="5840"/>
        <w:spacing w:after="0"/>
        <w:rPr>
          <w:rFonts w:ascii="Arial" w:cs="Arial" w:eastAsia="Arial" w:hAnsi="Arial"/>
          <w:sz w:val="21"/>
          <w:szCs w:val="21"/>
          <w:color w:val="auto"/>
        </w:rPr>
      </w:pPr>
      <w:r>
        <w:rPr>
          <w:rFonts w:ascii="Arial" w:cs="Arial" w:eastAsia="Arial" w:hAnsi="Arial"/>
          <w:sz w:val="22"/>
          <w:szCs w:val="22"/>
          <w:b w:val="1"/>
          <w:bCs w:val="1"/>
          <w:color w:val="auto"/>
        </w:rPr>
        <w:t>1934</w:t>
      </w:r>
    </w:p>
    <w:p>
      <w:pPr>
        <w:spacing w:after="0" w:line="159"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Commission file number 001-34057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2406650</wp:posOffset>
            </wp:positionH>
            <wp:positionV relativeFrom="paragraph">
              <wp:posOffset>122555</wp:posOffset>
            </wp:positionV>
            <wp:extent cx="2452370" cy="7543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452370" cy="7543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AGNC INVESTMENT CORP.</w:t>
      </w:r>
    </w:p>
    <w:p>
      <w:pPr>
        <w:spacing w:after="0" w:line="45"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4" w:lineRule="exact"/>
        <w:rPr>
          <w:sz w:val="24"/>
          <w:szCs w:val="24"/>
          <w:color w:val="auto"/>
        </w:rPr>
      </w:pPr>
    </w:p>
    <w:p>
      <w:pPr>
        <w:ind w:left="3920"/>
        <w:spacing w:after="0"/>
        <w:rPr>
          <w:sz w:val="20"/>
          <w:szCs w:val="20"/>
          <w:color w:val="auto"/>
        </w:rPr>
      </w:pPr>
      <w:r>
        <w:rPr>
          <w:rFonts w:ascii="Arial" w:cs="Arial" w:eastAsia="Arial" w:hAnsi="Arial"/>
          <w:sz w:val="14"/>
          <w:szCs w:val="14"/>
          <w:color w:val="auto"/>
        </w:rPr>
        <w:t>__________________________________________________</w:t>
      </w:r>
    </w:p>
    <w:p>
      <w:pPr>
        <w:sectPr>
          <w:pgSz w:w="11900" w:h="16838" w:orient="portrait"/>
          <w:cols w:equalWidth="0" w:num="1">
            <w:col w:w="11420"/>
          </w:cols>
          <w:pgMar w:left="240" w:top="503" w:right="239" w:bottom="1440" w:gutter="0" w:footer="0" w:header="0"/>
        </w:sectPr>
      </w:pPr>
    </w:p>
    <w:p>
      <w:pPr>
        <w:spacing w:after="0" w:line="152" w:lineRule="exact"/>
        <w:rPr>
          <w:sz w:val="24"/>
          <w:szCs w:val="24"/>
          <w:color w:val="auto"/>
        </w:rPr>
      </w:pPr>
    </w:p>
    <w:p>
      <w:pPr>
        <w:ind w:left="23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3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26-1701984</w:t>
      </w:r>
    </w:p>
    <w:p>
      <w:pPr>
        <w:spacing w:after="0" w:line="82" w:lineRule="exact"/>
        <w:rPr>
          <w:sz w:val="24"/>
          <w:szCs w:val="24"/>
          <w:color w:val="auto"/>
        </w:rPr>
      </w:pPr>
    </w:p>
    <w:p>
      <w:pPr>
        <w:sectPr>
          <w:pgSz w:w="11900" w:h="16838" w:orient="portrait"/>
          <w:cols w:equalWidth="0" w:num="2">
            <w:col w:w="7640" w:space="720"/>
            <w:col w:w="3060"/>
          </w:cols>
          <w:pgMar w:left="240" w:top="503" w:right="239" w:bottom="1440" w:gutter="0" w:footer="0" w:header="0"/>
          <w:type w:val="continuous"/>
        </w:sectPr>
      </w:pPr>
    </w:p>
    <w:p>
      <w:pPr>
        <w:ind w:left="182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7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77" w:lineRule="exact"/>
        <w:rPr>
          <w:sz w:val="24"/>
          <w:szCs w:val="24"/>
          <w:color w:val="auto"/>
        </w:rPr>
      </w:pPr>
    </w:p>
    <w:p>
      <w:pPr>
        <w:sectPr>
          <w:pgSz w:w="11900" w:h="16838" w:orient="portrait"/>
          <w:cols w:equalWidth="0" w:num="2">
            <w:col w:w="7520" w:space="720"/>
            <w:col w:w="3180"/>
          </w:cols>
          <w:pgMar w:left="240" w:top="503" w:right="239" w:bottom="1440" w:gutter="0" w:footer="0" w:header="0"/>
          <w:type w:val="continuous"/>
        </w:sectPr>
      </w:pPr>
    </w:p>
    <w:p>
      <w:pPr>
        <w:jc w:val="center"/>
        <w:spacing w:after="0"/>
        <w:rPr>
          <w:sz w:val="20"/>
          <w:szCs w:val="20"/>
          <w:color w:val="auto"/>
        </w:rPr>
      </w:pPr>
      <w:r>
        <w:rPr>
          <w:rFonts w:ascii="Arial" w:cs="Arial" w:eastAsia="Arial" w:hAnsi="Arial"/>
          <w:sz w:val="17"/>
          <w:szCs w:val="17"/>
          <w:b w:val="1"/>
          <w:bCs w:val="1"/>
          <w:color w:val="auto"/>
        </w:rPr>
        <w:t>2 Bethesda Metro Center, 12th Floor</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Bethesda, Maryland 20814</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(Address of principal executive offices)</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(301) 968-9315</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6"/>
          <w:szCs w:val="16"/>
          <w:color w:val="auto"/>
        </w:rPr>
        <w:t>__________________________________________________</w:t>
      </w:r>
    </w:p>
    <w:p>
      <w:pPr>
        <w:sectPr>
          <w:pgSz w:w="11900" w:h="16838" w:orient="portrait"/>
          <w:cols w:equalWidth="0" w:num="1">
            <w:col w:w="11420"/>
          </w:cols>
          <w:pgMar w:left="240" w:top="503" w:right="239" w:bottom="1440" w:gutter="0" w:footer="0" w:header="0"/>
          <w:type w:val="continuous"/>
        </w:sectPr>
      </w:pPr>
    </w:p>
    <w:p>
      <w:pPr>
        <w:spacing w:after="0" w:line="161" w:lineRule="exact"/>
        <w:rPr>
          <w:sz w:val="24"/>
          <w:szCs w:val="24"/>
          <w:color w:val="auto"/>
        </w:rPr>
      </w:pPr>
    </w:p>
    <w:p>
      <w:pPr>
        <w:ind w:right="180" w:firstLine="324"/>
        <w:spacing w:after="0" w:line="207" w:lineRule="exact"/>
        <w:rPr>
          <w:sz w:val="20"/>
          <w:szCs w:val="20"/>
          <w:color w:val="auto"/>
        </w:rPr>
      </w:pPr>
      <w:r>
        <w:rPr>
          <w:rFonts w:ascii="Arial" w:cs="Arial" w:eastAsia="Arial" w:hAnsi="Arial"/>
          <w:sz w:val="17"/>
          <w:szCs w:val="17"/>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1" w:lineRule="exact"/>
        <w:rPr>
          <w:sz w:val="24"/>
          <w:szCs w:val="24"/>
          <w:color w:val="auto"/>
        </w:rPr>
      </w:pPr>
    </w:p>
    <w:p>
      <w:pPr>
        <w:jc w:val="both"/>
        <w:ind w:firstLine="324"/>
        <w:spacing w:after="0" w:line="209"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22" w:lineRule="exact"/>
        <w:rPr>
          <w:sz w:val="24"/>
          <w:szCs w:val="24"/>
          <w:color w:val="auto"/>
        </w:rPr>
      </w:pPr>
    </w:p>
    <w:p>
      <w:pPr>
        <w:ind w:right="660" w:firstLine="324"/>
        <w:spacing w:after="0" w:line="274"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pacing w:after="0" w:line="102" w:lineRule="exact"/>
        <w:rPr>
          <w:sz w:val="24"/>
          <w:szCs w:val="24"/>
          <w:color w:val="auto"/>
        </w:rPr>
      </w:pPr>
    </w:p>
    <w:tbl>
      <w:tblPr>
        <w:tblLayout w:type="fixed"/>
        <w:tblInd w:w="40" w:type="dxa"/>
        <w:tblCellMar>
          <w:top w:w="0" w:type="dxa"/>
          <w:left w:w="0" w:type="dxa"/>
          <w:bottom w:w="0" w:type="dxa"/>
          <w:right w:w="0" w:type="dxa"/>
        </w:tblCellMar>
      </w:tblPr>
      <w:tr>
        <w:trPr>
          <w:trHeight w:val="269"/>
        </w:trPr>
        <w:tc>
          <w:tcPr>
            <w:tcW w:w="2280" w:type="dxa"/>
            <w:vAlign w:val="bottom"/>
          </w:tcPr>
          <w:p>
            <w:pPr>
              <w:spacing w:after="0"/>
              <w:rPr>
                <w:sz w:val="20"/>
                <w:szCs w:val="20"/>
                <w:color w:val="auto"/>
              </w:rPr>
            </w:pPr>
            <w:r>
              <w:rPr>
                <w:rFonts w:ascii="Arial" w:cs="Arial" w:eastAsia="Arial" w:hAnsi="Arial"/>
                <w:sz w:val="17"/>
                <w:szCs w:val="17"/>
                <w:color w:val="auto"/>
              </w:rPr>
              <w:t>Large accelerated filer</w:t>
            </w:r>
          </w:p>
        </w:tc>
        <w:tc>
          <w:tcPr>
            <w:tcW w:w="4620" w:type="dxa"/>
            <w:vAlign w:val="bottom"/>
            <w:gridSpan w:val="2"/>
          </w:tcPr>
          <w:p>
            <w:pPr>
              <w:ind w:left="400"/>
              <w:spacing w:after="0" w:line="171" w:lineRule="exact"/>
              <w:rPr>
                <w:sz w:val="20"/>
                <w:szCs w:val="20"/>
                <w:color w:val="auto"/>
              </w:rPr>
            </w:pPr>
            <w:r>
              <w:rPr>
                <w:rFonts w:ascii="MS PGothic" w:cs="MS PGothic" w:eastAsia="MS PGothic" w:hAnsi="MS PGothic"/>
                <w:sz w:val="17"/>
                <w:szCs w:val="17"/>
                <w:color w:val="auto"/>
              </w:rPr>
              <w:t>☒</w:t>
            </w:r>
          </w:p>
        </w:tc>
        <w:tc>
          <w:tcPr>
            <w:tcW w:w="3320" w:type="dxa"/>
            <w:vAlign w:val="bottom"/>
          </w:tcPr>
          <w:p>
            <w:pPr>
              <w:ind w:left="720"/>
              <w:spacing w:after="0"/>
              <w:rPr>
                <w:sz w:val="20"/>
                <w:szCs w:val="20"/>
                <w:color w:val="auto"/>
              </w:rPr>
            </w:pPr>
            <w:r>
              <w:rPr>
                <w:rFonts w:ascii="Arial" w:cs="Arial" w:eastAsia="Arial" w:hAnsi="Arial"/>
                <w:sz w:val="17"/>
                <w:szCs w:val="17"/>
                <w:color w:val="auto"/>
              </w:rPr>
              <w:t>Accelerated filer</w:t>
            </w:r>
          </w:p>
        </w:tc>
        <w:tc>
          <w:tcPr>
            <w:tcW w:w="720" w:type="dxa"/>
            <w:vAlign w:val="bottom"/>
          </w:tcPr>
          <w:p>
            <w:pPr>
              <w:ind w:left="640"/>
              <w:spacing w:after="0"/>
              <w:rPr>
                <w:sz w:val="20"/>
                <w:szCs w:val="20"/>
                <w:color w:val="auto"/>
              </w:rPr>
            </w:pPr>
            <w:r>
              <w:rPr>
                <w:rFonts w:ascii="Arial" w:cs="Arial" w:eastAsia="Arial" w:hAnsi="Arial"/>
                <w:sz w:val="15"/>
                <w:szCs w:val="15"/>
                <w:color w:val="auto"/>
                <w:w w:val="71"/>
              </w:rPr>
              <w:t>o</w:t>
            </w:r>
          </w:p>
        </w:tc>
      </w:tr>
      <w:tr>
        <w:trPr>
          <w:trHeight w:val="358"/>
        </w:trPr>
        <w:tc>
          <w:tcPr>
            <w:tcW w:w="2280" w:type="dxa"/>
            <w:vAlign w:val="bottom"/>
          </w:tcPr>
          <w:p>
            <w:pPr>
              <w:spacing w:after="0"/>
              <w:rPr>
                <w:sz w:val="20"/>
                <w:szCs w:val="20"/>
                <w:color w:val="auto"/>
              </w:rPr>
            </w:pPr>
            <w:r>
              <w:rPr>
                <w:rFonts w:ascii="Arial" w:cs="Arial" w:eastAsia="Arial" w:hAnsi="Arial"/>
                <w:sz w:val="17"/>
                <w:szCs w:val="17"/>
                <w:color w:val="auto"/>
              </w:rPr>
              <w:t>Non-accelerated filer</w:t>
            </w:r>
          </w:p>
        </w:tc>
        <w:tc>
          <w:tcPr>
            <w:tcW w:w="620" w:type="dxa"/>
            <w:vAlign w:val="bottom"/>
          </w:tcPr>
          <w:p>
            <w:pPr>
              <w:ind w:left="400"/>
              <w:spacing w:after="0"/>
              <w:rPr>
                <w:sz w:val="20"/>
                <w:szCs w:val="20"/>
                <w:color w:val="auto"/>
              </w:rPr>
            </w:pPr>
            <w:r>
              <w:rPr>
                <w:rFonts w:ascii="Arial" w:cs="Arial" w:eastAsia="Arial" w:hAnsi="Arial"/>
                <w:sz w:val="17"/>
                <w:szCs w:val="17"/>
                <w:color w:val="auto"/>
              </w:rPr>
              <w:t>o</w:t>
            </w:r>
          </w:p>
        </w:tc>
        <w:tc>
          <w:tcPr>
            <w:tcW w:w="4000" w:type="dxa"/>
            <w:vAlign w:val="bottom"/>
          </w:tcPr>
          <w:p>
            <w:pPr>
              <w:ind w:left="120"/>
              <w:spacing w:after="0"/>
              <w:rPr>
                <w:sz w:val="20"/>
                <w:szCs w:val="20"/>
                <w:color w:val="auto"/>
              </w:rPr>
            </w:pPr>
            <w:r>
              <w:rPr>
                <w:rFonts w:ascii="Arial" w:cs="Arial" w:eastAsia="Arial" w:hAnsi="Arial"/>
                <w:sz w:val="17"/>
                <w:szCs w:val="17"/>
                <w:color w:val="auto"/>
              </w:rPr>
              <w:t>(Do not check if a smaller reporting company)</w:t>
            </w:r>
          </w:p>
        </w:tc>
        <w:tc>
          <w:tcPr>
            <w:tcW w:w="3320" w:type="dxa"/>
            <w:vAlign w:val="bottom"/>
          </w:tcPr>
          <w:p>
            <w:pPr>
              <w:ind w:left="720"/>
              <w:spacing w:after="0"/>
              <w:rPr>
                <w:sz w:val="20"/>
                <w:szCs w:val="20"/>
                <w:color w:val="auto"/>
              </w:rPr>
            </w:pPr>
            <w:r>
              <w:rPr>
                <w:rFonts w:ascii="Arial" w:cs="Arial" w:eastAsia="Arial" w:hAnsi="Arial"/>
                <w:sz w:val="17"/>
                <w:szCs w:val="17"/>
                <w:color w:val="auto"/>
              </w:rPr>
              <w:t>Smaller Reporting Company</w:t>
            </w:r>
          </w:p>
        </w:tc>
        <w:tc>
          <w:tcPr>
            <w:tcW w:w="720" w:type="dxa"/>
            <w:vAlign w:val="bottom"/>
          </w:tcPr>
          <w:p>
            <w:pPr>
              <w:ind w:left="640"/>
              <w:spacing w:after="0"/>
              <w:rPr>
                <w:sz w:val="20"/>
                <w:szCs w:val="20"/>
                <w:color w:val="auto"/>
              </w:rPr>
            </w:pPr>
            <w:r>
              <w:rPr>
                <w:rFonts w:ascii="Arial" w:cs="Arial" w:eastAsia="Arial" w:hAnsi="Arial"/>
                <w:sz w:val="15"/>
                <w:szCs w:val="15"/>
                <w:color w:val="auto"/>
                <w:w w:val="71"/>
              </w:rPr>
              <w:t>o</w:t>
            </w:r>
          </w:p>
        </w:tc>
      </w:tr>
      <w:tr>
        <w:trPr>
          <w:trHeight w:val="392"/>
        </w:trPr>
        <w:tc>
          <w:tcPr>
            <w:tcW w:w="2280" w:type="dxa"/>
            <w:vAlign w:val="bottom"/>
          </w:tcPr>
          <w:p>
            <w:pPr>
              <w:spacing w:after="0"/>
              <w:rPr>
                <w:sz w:val="20"/>
                <w:szCs w:val="20"/>
                <w:color w:val="auto"/>
              </w:rPr>
            </w:pPr>
            <w:r>
              <w:rPr>
                <w:rFonts w:ascii="Arial" w:cs="Arial" w:eastAsia="Arial" w:hAnsi="Arial"/>
                <w:sz w:val="17"/>
                <w:szCs w:val="17"/>
                <w:color w:val="auto"/>
              </w:rPr>
              <w:t>Emerging growth company</w:t>
            </w:r>
          </w:p>
        </w:tc>
        <w:tc>
          <w:tcPr>
            <w:tcW w:w="620" w:type="dxa"/>
            <w:vAlign w:val="bottom"/>
          </w:tcPr>
          <w:p>
            <w:pPr>
              <w:ind w:left="400"/>
              <w:spacing w:after="0"/>
              <w:rPr>
                <w:sz w:val="20"/>
                <w:szCs w:val="20"/>
                <w:color w:val="auto"/>
              </w:rPr>
            </w:pPr>
            <w:r>
              <w:rPr>
                <w:rFonts w:ascii="Arial" w:cs="Arial" w:eastAsia="Arial" w:hAnsi="Arial"/>
                <w:sz w:val="17"/>
                <w:szCs w:val="17"/>
                <w:color w:val="auto"/>
              </w:rPr>
              <w:t>o</w:t>
            </w:r>
          </w:p>
        </w:tc>
        <w:tc>
          <w:tcPr>
            <w:tcW w:w="400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720" w:type="dxa"/>
            <w:vAlign w:val="bottom"/>
          </w:tcPr>
          <w:p>
            <w:pPr>
              <w:spacing w:after="0"/>
              <w:rPr>
                <w:sz w:val="24"/>
                <w:szCs w:val="24"/>
                <w:color w:val="auto"/>
              </w:rPr>
            </w:pPr>
          </w:p>
        </w:tc>
      </w:tr>
    </w:tbl>
    <w:p>
      <w:pPr>
        <w:spacing w:after="0" w:line="67" w:lineRule="exact"/>
        <w:rPr>
          <w:sz w:val="24"/>
          <w:szCs w:val="24"/>
          <w:color w:val="auto"/>
        </w:rPr>
      </w:pPr>
    </w:p>
    <w:p>
      <w:pPr>
        <w:ind w:right="100" w:firstLine="324"/>
        <w:spacing w:after="0" w:line="220" w:lineRule="exact"/>
        <w:rPr>
          <w:sz w:val="20"/>
          <w:szCs w:val="20"/>
          <w:color w:val="auto"/>
        </w:rPr>
      </w:pPr>
      <w:r>
        <w:rPr>
          <w:rFonts w:ascii="Arial" w:cs="Arial" w:eastAsia="Arial" w:hAnsi="Arial"/>
          <w:sz w:val="17"/>
          <w:szCs w:val="17"/>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 w:lineRule="exact"/>
        <w:rPr>
          <w:sz w:val="24"/>
          <w:szCs w:val="24"/>
          <w:color w:val="auto"/>
        </w:rPr>
      </w:pPr>
    </w:p>
    <w:p>
      <w:pPr>
        <w:ind w:left="340"/>
        <w:spacing w:after="0" w:line="196" w:lineRule="exact"/>
        <w:tabs>
          <w:tab w:leader="none" w:pos="8240" w:val="left"/>
          <w:tab w:leader="none" w:pos="890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r>
      <w:r>
        <w:rPr>
          <w:sz w:val="20"/>
          <w:szCs w:val="20"/>
          <w:color w:val="auto"/>
        </w:rPr>
        <w:tab/>
      </w:r>
      <w:r>
        <w:rPr>
          <w:rFonts w:ascii="Arial" w:cs="Arial" w:eastAsia="Arial" w:hAnsi="Arial"/>
          <w:sz w:val="17"/>
          <w:szCs w:val="17"/>
          <w:color w:val="auto"/>
        </w:rPr>
        <w:t xml:space="preserve">Yes </w:t>
      </w:r>
      <w:r>
        <w:rPr>
          <w:rFonts w:ascii="MS PGothic" w:cs="MS PGothic" w:eastAsia="MS PGothic" w:hAnsi="MS PGothic"/>
          <w:sz w:val="17"/>
          <w:szCs w:val="17"/>
          <w:color w:val="auto"/>
        </w:rPr>
        <w:t>☐</w:t>
      </w:r>
      <w:r>
        <w:rPr>
          <w:rFonts w:ascii="Arial" w:cs="Arial" w:eastAsia="Arial" w:hAnsi="Arial"/>
          <w:sz w:val="17"/>
          <w:szCs w:val="17"/>
          <w:color w:val="auto"/>
        </w:rPr>
        <w:tab/>
        <w:t xml:space="preserve">No </w:t>
      </w:r>
      <w:r>
        <w:rPr>
          <w:rFonts w:ascii="MS PGothic" w:cs="MS PGothic" w:eastAsia="MS PGothic" w:hAnsi="MS PGothic"/>
          <w:sz w:val="17"/>
          <w:szCs w:val="17"/>
          <w:color w:val="auto"/>
        </w:rPr>
        <w:t>☒</w:t>
      </w:r>
    </w:p>
    <w:p>
      <w:pPr>
        <w:spacing w:after="0" w:line="230" w:lineRule="exact"/>
        <w:rPr>
          <w:sz w:val="24"/>
          <w:szCs w:val="24"/>
          <w:color w:val="auto"/>
        </w:rPr>
      </w:pPr>
    </w:p>
    <w:p>
      <w:pPr>
        <w:ind w:left="340"/>
        <w:spacing w:after="0"/>
        <w:rPr>
          <w:sz w:val="20"/>
          <w:szCs w:val="20"/>
          <w:color w:val="auto"/>
        </w:rPr>
      </w:pPr>
      <w:r>
        <w:rPr>
          <w:rFonts w:ascii="Arial" w:cs="Arial" w:eastAsia="Arial" w:hAnsi="Arial"/>
          <w:sz w:val="17"/>
          <w:szCs w:val="17"/>
          <w:color w:val="auto"/>
        </w:rPr>
        <w:t>The number of shares of the issuer's common stock, $0.01 par value, outstanding as of April 30, 2019 was 536,412,404.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290195</wp:posOffset>
            </wp:positionV>
            <wp:extent cx="7100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00570" cy="8890"/>
                    </a:xfrm>
                    <a:prstGeom prst="rect">
                      <a:avLst/>
                    </a:prstGeom>
                    <a:noFill/>
                  </pic:spPr>
                </pic:pic>
              </a:graphicData>
            </a:graphic>
          </wp:anchor>
        </w:drawing>
        <w:drawing>
          <wp:anchor simplePos="0" relativeHeight="251657728" behindDoc="1" locked="0" layoutInCell="0" allowOverlap="1">
            <wp:simplePos x="0" y="0"/>
            <wp:positionH relativeFrom="column">
              <wp:posOffset>82550</wp:posOffset>
            </wp:positionH>
            <wp:positionV relativeFrom="paragraph">
              <wp:posOffset>204470</wp:posOffset>
            </wp:positionV>
            <wp:extent cx="71005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ectPr>
          <w:pgSz w:w="11900" w:h="16838" w:orient="portrait"/>
          <w:cols w:equalWidth="0" w:num="1">
            <w:col w:w="11420"/>
          </w:cols>
          <w:pgMar w:left="240" w:top="503" w:right="239" w:bottom="1440" w:gutter="0" w:footer="0" w:header="0"/>
          <w:type w:val="continuous"/>
        </w:sectPr>
      </w:pPr>
    </w:p>
    <w:bookmarkStart w:id="1" w:name="page2"/>
    <w:bookmarkEnd w:id="1"/>
    <w:p>
      <w:pPr>
        <w:jc w:val="center"/>
        <w:ind w:right="-599"/>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ind w:right="-599"/>
        <w:spacing w:after="0"/>
        <w:rPr>
          <w:sz w:val="20"/>
          <w:szCs w:val="20"/>
          <w:color w:val="auto"/>
        </w:rPr>
      </w:pPr>
      <w:r>
        <w:rPr>
          <w:rFonts w:ascii="Arial" w:cs="Arial" w:eastAsia="Arial" w:hAnsi="Arial"/>
          <w:sz w:val="18"/>
          <w:szCs w:val="18"/>
          <w:b w:val="1"/>
          <w:bCs w:val="1"/>
          <w:color w:val="auto"/>
        </w:rPr>
        <w:t>TABLE OF CONTENTS</w:t>
      </w:r>
    </w:p>
    <w:p>
      <w:pPr>
        <w:spacing w:after="0" w:line="35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040" w:type="dxa"/>
            <w:vAlign w:val="bottom"/>
            <w:gridSpan w:val="5"/>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PART I.</w:t>
              </w:r>
            </w:hyperlink>
          </w:p>
        </w:tc>
        <w:tc>
          <w:tcPr>
            <w:tcW w:w="7660" w:type="dxa"/>
            <w:vAlign w:val="bottom"/>
            <w:gridSpan w:val="12"/>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FINANCIAL INFORMATION</w:t>
              </w:r>
            </w:hyperlink>
          </w:p>
        </w:tc>
        <w:tc>
          <w:tcPr>
            <w:tcW w:w="1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r>
      <w:tr>
        <w:trPr>
          <w:trHeight w:val="264"/>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3">
              <w:r>
                <w:rPr>
                  <w:rFonts w:ascii="Arial" w:cs="Arial" w:eastAsia="Arial" w:hAnsi="Arial"/>
                  <w:sz w:val="16"/>
                  <w:szCs w:val="16"/>
                  <w:color w:val="0000EE"/>
                  <w:w w:val="85"/>
                </w:rPr>
                <w:t>Item 1.</w:t>
              </w:r>
            </w:hyperlink>
          </w:p>
        </w:tc>
        <w:tc>
          <w:tcPr>
            <w:tcW w:w="100" w:type="dxa"/>
            <w:vAlign w:val="bottom"/>
            <w:tcBorders>
              <w:top w:val="single" w:sz="8" w:color="0000EE"/>
            </w:tcBorders>
          </w:tcPr>
          <w:p>
            <w:pPr>
              <w:spacing w:after="0"/>
              <w:rPr>
                <w:sz w:val="22"/>
                <w:szCs w:val="22"/>
                <w:color w:val="auto"/>
              </w:rPr>
            </w:pPr>
          </w:p>
        </w:tc>
        <w:tc>
          <w:tcPr>
            <w:tcW w:w="480" w:type="dxa"/>
            <w:vAlign w:val="bottom"/>
            <w:gridSpan w:val="3"/>
          </w:tcPr>
          <w:p>
            <w:pPr>
              <w:spacing w:after="0"/>
              <w:rPr>
                <w:sz w:val="22"/>
                <w:szCs w:val="22"/>
                <w:color w:val="auto"/>
              </w:rPr>
            </w:pPr>
          </w:p>
        </w:tc>
        <w:tc>
          <w:tcPr>
            <w:tcW w:w="2140" w:type="dxa"/>
            <w:vAlign w:val="bottom"/>
            <w:tcBorders>
              <w:top w:val="single" w:sz="8" w:color="0000EE"/>
            </w:tcBorders>
            <w:gridSpan w:val="9"/>
          </w:tcPr>
          <w:p>
            <w:pPr>
              <w:spacing w:after="0"/>
              <w:rPr>
                <w:rFonts w:ascii="Arial" w:cs="Arial" w:eastAsia="Arial" w:hAnsi="Arial"/>
                <w:sz w:val="16"/>
                <w:szCs w:val="16"/>
                <w:color w:val="0000EE"/>
              </w:rPr>
            </w:pPr>
            <w:hyperlink w:anchor="page3">
              <w:r>
                <w:rPr>
                  <w:rFonts w:ascii="Arial" w:cs="Arial" w:eastAsia="Arial" w:hAnsi="Arial"/>
                  <w:sz w:val="16"/>
                  <w:szCs w:val="16"/>
                  <w:color w:val="0000EE"/>
                </w:rPr>
                <w:t>Financial Statements</w:t>
              </w:r>
            </w:hyperlink>
          </w:p>
        </w:tc>
        <w:tc>
          <w:tcPr>
            <w:tcW w:w="5520" w:type="dxa"/>
            <w:vAlign w:val="bottom"/>
            <w:gridSpan w:val="3"/>
          </w:tcPr>
          <w:p>
            <w:pPr>
              <w:spacing w:after="0"/>
              <w:rPr>
                <w:sz w:val="22"/>
                <w:szCs w:val="22"/>
                <w:color w:val="auto"/>
              </w:rPr>
            </w:pPr>
          </w:p>
        </w:tc>
        <w:tc>
          <w:tcPr>
            <w:tcW w:w="1980" w:type="dxa"/>
            <w:vAlign w:val="bottom"/>
            <w:gridSpan w:val="2"/>
          </w:tcPr>
          <w:p>
            <w:pPr>
              <w:jc w:val="center"/>
              <w:ind w:left="1814"/>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2</w:t>
              </w:r>
            </w:hyperlink>
          </w:p>
        </w:tc>
        <w:tc>
          <w:tcPr>
            <w:tcW w:w="60" w:type="dxa"/>
            <w:vAlign w:val="bottom"/>
          </w:tcPr>
          <w:p>
            <w:pPr>
              <w:spacing w:after="0"/>
              <w:rPr>
                <w:sz w:val="22"/>
                <w:szCs w:val="22"/>
                <w:color w:val="auto"/>
              </w:rPr>
            </w:pPr>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25">
              <w:r>
                <w:rPr>
                  <w:rFonts w:ascii="Arial" w:cs="Arial" w:eastAsia="Arial" w:hAnsi="Arial"/>
                  <w:sz w:val="16"/>
                  <w:szCs w:val="16"/>
                  <w:color w:val="0000EE"/>
                  <w:w w:val="85"/>
                </w:rPr>
                <w:t>Item 2.</w:t>
              </w:r>
            </w:hyperlink>
          </w:p>
        </w:tc>
        <w:tc>
          <w:tcPr>
            <w:tcW w:w="580" w:type="dxa"/>
            <w:vAlign w:val="bottom"/>
            <w:gridSpan w:val="4"/>
          </w:tcPr>
          <w:p>
            <w:pPr>
              <w:spacing w:after="0"/>
              <w:rPr>
                <w:sz w:val="21"/>
                <w:szCs w:val="21"/>
                <w:color w:val="auto"/>
              </w:rPr>
            </w:pPr>
          </w:p>
        </w:tc>
        <w:tc>
          <w:tcPr>
            <w:tcW w:w="5800" w:type="dxa"/>
            <w:vAlign w:val="bottom"/>
            <w:gridSpan w:val="11"/>
          </w:tcPr>
          <w:p>
            <w:pPr>
              <w:spacing w:after="0"/>
              <w:rPr>
                <w:rFonts w:ascii="Arial" w:cs="Arial" w:eastAsia="Arial" w:hAnsi="Arial"/>
                <w:sz w:val="16"/>
                <w:szCs w:val="16"/>
                <w:color w:val="0000EE"/>
                <w:w w:val="91"/>
              </w:rPr>
            </w:pPr>
            <w:hyperlink w:anchor="page25">
              <w:r>
                <w:rPr>
                  <w:rFonts w:ascii="Arial" w:cs="Arial" w:eastAsia="Arial" w:hAnsi="Arial"/>
                  <w:sz w:val="16"/>
                  <w:szCs w:val="16"/>
                  <w:color w:val="0000EE"/>
                  <w:w w:val="91"/>
                </w:rPr>
                <w:t>Management's Discussion and Analysis of Financial Condition and Results of Operations</w:t>
              </w:r>
            </w:hyperlink>
          </w:p>
        </w:tc>
        <w:tc>
          <w:tcPr>
            <w:tcW w:w="1860" w:type="dxa"/>
            <w:vAlign w:val="bottom"/>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25">
              <w:r>
                <w:rPr>
                  <w:rFonts w:ascii="Arial" w:cs="Arial" w:eastAsia="Arial" w:hAnsi="Arial"/>
                  <w:sz w:val="18"/>
                  <w:szCs w:val="18"/>
                  <w:color w:val="0000EE"/>
                  <w:w w:val="89"/>
                </w:rPr>
                <w:t>24</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860" w:type="dxa"/>
            <w:vAlign w:val="bottom"/>
            <w:gridSpan w:val="2"/>
            <w:shd w:val="clear" w:color="auto" w:fill="0000EE"/>
          </w:tcPr>
          <w:p>
            <w:pPr>
              <w:spacing w:after="0" w:line="20" w:lineRule="exact"/>
              <w:rPr>
                <w:sz w:val="1"/>
                <w:szCs w:val="1"/>
                <w:color w:val="auto"/>
              </w:rPr>
            </w:pPr>
          </w:p>
        </w:tc>
        <w:tc>
          <w:tcPr>
            <w:tcW w:w="1880" w:type="dxa"/>
            <w:vAlign w:val="bottom"/>
            <w:shd w:val="clear" w:color="auto" w:fill="0000EE"/>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42">
              <w:r>
                <w:rPr>
                  <w:rFonts w:ascii="Arial" w:cs="Arial" w:eastAsia="Arial" w:hAnsi="Arial"/>
                  <w:sz w:val="16"/>
                  <w:szCs w:val="16"/>
                  <w:color w:val="0000EE"/>
                  <w:w w:val="85"/>
                </w:rPr>
                <w:t>Item 3.</w:t>
              </w:r>
            </w:hyperlink>
          </w:p>
        </w:tc>
        <w:tc>
          <w:tcPr>
            <w:tcW w:w="580" w:type="dxa"/>
            <w:vAlign w:val="bottom"/>
            <w:gridSpan w:val="4"/>
          </w:tcPr>
          <w:p>
            <w:pPr>
              <w:spacing w:after="0"/>
              <w:rPr>
                <w:sz w:val="21"/>
                <w:szCs w:val="21"/>
                <w:color w:val="auto"/>
              </w:rPr>
            </w:pPr>
          </w:p>
        </w:tc>
        <w:tc>
          <w:tcPr>
            <w:tcW w:w="5800" w:type="dxa"/>
            <w:vAlign w:val="bottom"/>
            <w:gridSpan w:val="11"/>
          </w:tcPr>
          <w:p>
            <w:pPr>
              <w:spacing w:after="0"/>
              <w:rPr>
                <w:rFonts w:ascii="Arial" w:cs="Arial" w:eastAsia="Arial" w:hAnsi="Arial"/>
                <w:sz w:val="16"/>
                <w:szCs w:val="16"/>
                <w:color w:val="0000EE"/>
              </w:rPr>
            </w:pPr>
            <w:hyperlink w:anchor="page42">
              <w:r>
                <w:rPr>
                  <w:rFonts w:ascii="Arial" w:cs="Arial" w:eastAsia="Arial" w:hAnsi="Arial"/>
                  <w:sz w:val="16"/>
                  <w:szCs w:val="16"/>
                  <w:color w:val="0000EE"/>
                </w:rPr>
                <w:t>Quantitative and Qualitative Disclosures About Market Risk</w:t>
              </w:r>
            </w:hyperlink>
          </w:p>
        </w:tc>
        <w:tc>
          <w:tcPr>
            <w:tcW w:w="1860" w:type="dxa"/>
            <w:vAlign w:val="bottom"/>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2">
              <w:r>
                <w:rPr>
                  <w:rFonts w:ascii="Arial" w:cs="Arial" w:eastAsia="Arial" w:hAnsi="Arial"/>
                  <w:sz w:val="18"/>
                  <w:szCs w:val="18"/>
                  <w:color w:val="0000EE"/>
                  <w:w w:val="89"/>
                </w:rPr>
                <w:t>41</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860" w:type="dxa"/>
            <w:vAlign w:val="bottom"/>
            <w:gridSpan w:val="2"/>
            <w:shd w:val="clear" w:color="auto" w:fill="0000EE"/>
          </w:tcPr>
          <w:p>
            <w:pPr>
              <w:spacing w:after="0" w:line="20" w:lineRule="exact"/>
              <w:rPr>
                <w:sz w:val="1"/>
                <w:szCs w:val="1"/>
                <w:color w:val="auto"/>
              </w:rPr>
            </w:pPr>
          </w:p>
        </w:tc>
        <w:tc>
          <w:tcPr>
            <w:tcW w:w="3740" w:type="dxa"/>
            <w:vAlign w:val="bottom"/>
            <w:gridSpan w:val="2"/>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Item 4.</w:t>
              </w:r>
            </w:hyperlink>
          </w:p>
        </w:tc>
        <w:tc>
          <w:tcPr>
            <w:tcW w:w="580" w:type="dxa"/>
            <w:vAlign w:val="bottom"/>
            <w:gridSpan w:val="4"/>
          </w:tcPr>
          <w:p>
            <w:pPr>
              <w:spacing w:after="0"/>
              <w:rPr>
                <w:sz w:val="21"/>
                <w:szCs w:val="21"/>
                <w:color w:val="auto"/>
              </w:rPr>
            </w:pPr>
          </w:p>
        </w:tc>
        <w:tc>
          <w:tcPr>
            <w:tcW w:w="3920" w:type="dxa"/>
            <w:vAlign w:val="bottom"/>
            <w:gridSpan w:val="10"/>
          </w:tcPr>
          <w:p>
            <w:pPr>
              <w:spacing w:after="0"/>
              <w:rPr>
                <w:rFonts w:ascii="Arial" w:cs="Arial" w:eastAsia="Arial" w:hAnsi="Arial"/>
                <w:sz w:val="16"/>
                <w:szCs w:val="16"/>
                <w:color w:val="0000EE"/>
              </w:rPr>
            </w:pPr>
            <w:hyperlink w:anchor="page46">
              <w:r>
                <w:rPr>
                  <w:rFonts w:ascii="Arial" w:cs="Arial" w:eastAsia="Arial" w:hAnsi="Arial"/>
                  <w:sz w:val="16"/>
                  <w:szCs w:val="16"/>
                  <w:color w:val="0000EE"/>
                </w:rPr>
                <w:t>Controls and Procedures</w:t>
              </w:r>
            </w:hyperlink>
          </w:p>
        </w:tc>
        <w:tc>
          <w:tcPr>
            <w:tcW w:w="3740" w:type="dxa"/>
            <w:vAlign w:val="bottom"/>
            <w:gridSpan w:val="2"/>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6">
              <w:r>
                <w:rPr>
                  <w:rFonts w:ascii="Arial" w:cs="Arial" w:eastAsia="Arial" w:hAnsi="Arial"/>
                  <w:sz w:val="18"/>
                  <w:szCs w:val="18"/>
                  <w:color w:val="0000EE"/>
                  <w:w w:val="89"/>
                </w:rPr>
                <w:t>45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534"/>
        </w:trPr>
        <w:tc>
          <w:tcPr>
            <w:tcW w:w="1040" w:type="dxa"/>
            <w:vAlign w:val="bottom"/>
            <w:gridSpan w:val="5"/>
          </w:tcPr>
          <w:p>
            <w:pPr>
              <w:spacing w:after="0"/>
              <w:rPr>
                <w:rFonts w:ascii="Arial" w:cs="Arial" w:eastAsia="Arial" w:hAnsi="Arial"/>
                <w:sz w:val="16"/>
                <w:szCs w:val="16"/>
                <w:b w:val="1"/>
                <w:bCs w:val="1"/>
                <w:color w:val="0000EE"/>
              </w:rPr>
            </w:pPr>
            <w:hyperlink w:anchor="page46">
              <w:r>
                <w:rPr>
                  <w:rFonts w:ascii="Arial" w:cs="Arial" w:eastAsia="Arial" w:hAnsi="Arial"/>
                  <w:sz w:val="16"/>
                  <w:szCs w:val="16"/>
                  <w:b w:val="1"/>
                  <w:bCs w:val="1"/>
                  <w:color w:val="0000EE"/>
                </w:rPr>
                <w:t>PART II.</w:t>
              </w:r>
            </w:hyperlink>
          </w:p>
        </w:tc>
        <w:tc>
          <w:tcPr>
            <w:tcW w:w="7660" w:type="dxa"/>
            <w:vAlign w:val="bottom"/>
            <w:gridSpan w:val="12"/>
          </w:tcPr>
          <w:p>
            <w:pPr>
              <w:spacing w:after="0"/>
              <w:rPr>
                <w:rFonts w:ascii="Arial" w:cs="Arial" w:eastAsia="Arial" w:hAnsi="Arial"/>
                <w:sz w:val="16"/>
                <w:szCs w:val="16"/>
                <w:b w:val="1"/>
                <w:bCs w:val="1"/>
                <w:color w:val="0000EE"/>
              </w:rPr>
            </w:pPr>
            <w:hyperlink w:anchor="page46">
              <w:r>
                <w:rPr>
                  <w:rFonts w:ascii="Arial" w:cs="Arial" w:eastAsia="Arial" w:hAnsi="Arial"/>
                  <w:sz w:val="16"/>
                  <w:szCs w:val="16"/>
                  <w:b w:val="1"/>
                  <w:bCs w:val="1"/>
                  <w:color w:val="0000EE"/>
                </w:rPr>
                <w:t>OTHER INFORMATION</w:t>
              </w:r>
            </w:hyperlink>
          </w:p>
        </w:tc>
        <w:tc>
          <w:tcPr>
            <w:tcW w:w="1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64"/>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Item 1.</w:t>
              </w:r>
            </w:hyperlink>
          </w:p>
        </w:tc>
        <w:tc>
          <w:tcPr>
            <w:tcW w:w="220" w:type="dxa"/>
            <w:vAlign w:val="bottom"/>
            <w:tcBorders>
              <w:top w:val="single" w:sz="8" w:color="0000EE"/>
            </w:tcBorders>
            <w:gridSpan w:val="3"/>
          </w:tcPr>
          <w:p>
            <w:pPr>
              <w:spacing w:after="0"/>
              <w:rPr>
                <w:sz w:val="22"/>
                <w:szCs w:val="22"/>
                <w:color w:val="auto"/>
              </w:rPr>
            </w:pPr>
          </w:p>
        </w:tc>
        <w:tc>
          <w:tcPr>
            <w:tcW w:w="360" w:type="dxa"/>
            <w:vAlign w:val="bottom"/>
          </w:tcPr>
          <w:p>
            <w:pPr>
              <w:spacing w:after="0"/>
              <w:rPr>
                <w:sz w:val="22"/>
                <w:szCs w:val="22"/>
                <w:color w:val="auto"/>
              </w:rPr>
            </w:pPr>
          </w:p>
        </w:tc>
        <w:tc>
          <w:tcPr>
            <w:tcW w:w="1180" w:type="dxa"/>
            <w:vAlign w:val="bottom"/>
            <w:tcBorders>
              <w:top w:val="single" w:sz="8" w:color="0000EE"/>
            </w:tcBorders>
            <w:gridSpan w:val="4"/>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Legal Proceedings</w:t>
              </w:r>
            </w:hyperlink>
          </w:p>
        </w:tc>
        <w:tc>
          <w:tcPr>
            <w:tcW w:w="640" w:type="dxa"/>
            <w:vAlign w:val="bottom"/>
            <w:tcBorders>
              <w:top w:val="single" w:sz="8" w:color="0000EE"/>
            </w:tcBorders>
            <w:gridSpan w:val="3"/>
          </w:tcPr>
          <w:p>
            <w:pPr>
              <w:spacing w:after="0"/>
              <w:rPr>
                <w:sz w:val="22"/>
                <w:szCs w:val="22"/>
                <w:color w:val="auto"/>
              </w:rPr>
            </w:pPr>
          </w:p>
        </w:tc>
        <w:tc>
          <w:tcPr>
            <w:tcW w:w="5840" w:type="dxa"/>
            <w:vAlign w:val="bottom"/>
            <w:gridSpan w:val="5"/>
          </w:tcPr>
          <w:p>
            <w:pPr>
              <w:spacing w:after="0"/>
              <w:rPr>
                <w:sz w:val="22"/>
                <w:szCs w:val="22"/>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6">
              <w:r>
                <w:rPr>
                  <w:rFonts w:ascii="Arial" w:cs="Arial" w:eastAsia="Arial" w:hAnsi="Arial"/>
                  <w:sz w:val="18"/>
                  <w:szCs w:val="18"/>
                  <w:color w:val="0000EE"/>
                  <w:w w:val="89"/>
                </w:rPr>
                <w:t>45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80" w:type="dxa"/>
            <w:vAlign w:val="bottom"/>
            <w:tcBorders>
              <w:left w:val="single" w:sz="8" w:color="0000EE"/>
            </w:tcBorders>
            <w:gridSpan w:val="4"/>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6"/>
                <w:szCs w:val="16"/>
                <w:color w:val="0000EE"/>
                <w:w w:val="93"/>
              </w:rPr>
            </w:pPr>
            <w:hyperlink w:anchor="page46">
              <w:r>
                <w:rPr>
                  <w:rFonts w:ascii="Arial" w:cs="Arial" w:eastAsia="Arial" w:hAnsi="Arial"/>
                  <w:sz w:val="16"/>
                  <w:szCs w:val="16"/>
                  <w:color w:val="0000EE"/>
                  <w:w w:val="93"/>
                </w:rPr>
                <w:t>Item 1A.</w:t>
              </w:r>
            </w:hyperlink>
          </w:p>
        </w:tc>
        <w:tc>
          <w:tcPr>
            <w:tcW w:w="460" w:type="dxa"/>
            <w:vAlign w:val="bottom"/>
            <w:gridSpan w:val="2"/>
          </w:tcPr>
          <w:p>
            <w:pPr>
              <w:spacing w:after="0"/>
              <w:rPr>
                <w:sz w:val="21"/>
                <w:szCs w:val="21"/>
                <w:color w:val="auto"/>
              </w:rPr>
            </w:pPr>
          </w:p>
        </w:tc>
        <w:tc>
          <w:tcPr>
            <w:tcW w:w="7660" w:type="dxa"/>
            <w:vAlign w:val="bottom"/>
            <w:gridSpan w:val="12"/>
          </w:tcPr>
          <w:p>
            <w:pPr>
              <w:spacing w:after="0"/>
              <w:rPr>
                <w:rFonts w:ascii="Arial" w:cs="Arial" w:eastAsia="Arial" w:hAnsi="Arial"/>
                <w:sz w:val="16"/>
                <w:szCs w:val="16"/>
                <w:color w:val="0000EE"/>
              </w:rPr>
            </w:pPr>
            <w:hyperlink w:anchor="page46">
              <w:r>
                <w:rPr>
                  <w:rFonts w:ascii="Arial" w:cs="Arial" w:eastAsia="Arial" w:hAnsi="Arial"/>
                  <w:sz w:val="16"/>
                  <w:szCs w:val="16"/>
                  <w:color w:val="0000EE"/>
                </w:rPr>
                <w:t>Risk Factors</w:t>
              </w:r>
            </w:hyperlink>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6">
              <w:r>
                <w:rPr>
                  <w:rFonts w:ascii="Arial" w:cs="Arial" w:eastAsia="Arial" w:hAnsi="Arial"/>
                  <w:sz w:val="18"/>
                  <w:szCs w:val="18"/>
                  <w:color w:val="0000EE"/>
                  <w:w w:val="89"/>
                </w:rPr>
                <w:t>45</w:t>
              </w:r>
            </w:hyperlink>
          </w:p>
        </w:tc>
      </w:tr>
      <w:tr>
        <w:trPr>
          <w:trHeight w:val="237"/>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Item 2.</w:t>
              </w:r>
            </w:hyperlink>
          </w:p>
        </w:tc>
        <w:tc>
          <w:tcPr>
            <w:tcW w:w="120" w:type="dxa"/>
            <w:vAlign w:val="bottom"/>
            <w:tcBorders>
              <w:top w:val="single" w:sz="8" w:color="0000EE"/>
            </w:tcBorders>
            <w:gridSpan w:val="2"/>
          </w:tcPr>
          <w:p>
            <w:pPr>
              <w:spacing w:after="0"/>
              <w:rPr>
                <w:sz w:val="20"/>
                <w:szCs w:val="20"/>
                <w:color w:val="auto"/>
              </w:rPr>
            </w:pPr>
          </w:p>
        </w:tc>
        <w:tc>
          <w:tcPr>
            <w:tcW w:w="460" w:type="dxa"/>
            <w:vAlign w:val="bottom"/>
            <w:gridSpan w:val="2"/>
          </w:tcPr>
          <w:p>
            <w:pPr>
              <w:spacing w:after="0"/>
              <w:rPr>
                <w:sz w:val="20"/>
                <w:szCs w:val="20"/>
                <w:color w:val="auto"/>
              </w:rPr>
            </w:pPr>
          </w:p>
        </w:tc>
        <w:tc>
          <w:tcPr>
            <w:tcW w:w="660" w:type="dxa"/>
            <w:vAlign w:val="bottom"/>
            <w:tcBorders>
              <w:top w:val="single" w:sz="8" w:color="0000EE"/>
            </w:tcBorders>
            <w:gridSpan w:val="2"/>
          </w:tcPr>
          <w:p>
            <w:pPr>
              <w:spacing w:after="0"/>
              <w:rPr>
                <w:rFonts w:ascii="Arial" w:cs="Arial" w:eastAsia="Arial" w:hAnsi="Arial"/>
                <w:sz w:val="16"/>
                <w:szCs w:val="16"/>
                <w:color w:val="0000EE"/>
                <w:w w:val="87"/>
              </w:rPr>
            </w:pPr>
            <w:hyperlink w:anchor="page46">
              <w:r>
                <w:rPr>
                  <w:rFonts w:ascii="Arial" w:cs="Arial" w:eastAsia="Arial" w:hAnsi="Arial"/>
                  <w:sz w:val="16"/>
                  <w:szCs w:val="16"/>
                  <w:color w:val="0000EE"/>
                  <w:w w:val="87"/>
                </w:rPr>
                <w:t>Properties</w:t>
              </w:r>
            </w:hyperlink>
          </w:p>
        </w:tc>
        <w:tc>
          <w:tcPr>
            <w:tcW w:w="140" w:type="dxa"/>
            <w:vAlign w:val="bottom"/>
            <w:tcBorders>
              <w:top w:val="single" w:sz="8" w:color="0000EE"/>
            </w:tcBorders>
          </w:tcPr>
          <w:p>
            <w:pPr>
              <w:spacing w:after="0"/>
              <w:rPr>
                <w:sz w:val="20"/>
                <w:szCs w:val="20"/>
                <w:color w:val="auto"/>
              </w:rPr>
            </w:pPr>
          </w:p>
        </w:tc>
        <w:tc>
          <w:tcPr>
            <w:tcW w:w="6860" w:type="dxa"/>
            <w:vAlign w:val="bottom"/>
            <w:gridSpan w:val="9"/>
          </w:tcPr>
          <w:p>
            <w:pPr>
              <w:spacing w:after="0"/>
              <w:rPr>
                <w:sz w:val="20"/>
                <w:szCs w:val="20"/>
                <w:color w:val="auto"/>
              </w:rPr>
            </w:pPr>
          </w:p>
        </w:tc>
        <w:tc>
          <w:tcPr>
            <w:tcW w:w="1900" w:type="dxa"/>
            <w:vAlign w:val="bottom"/>
          </w:tcPr>
          <w:p>
            <w:pPr>
              <w:spacing w:after="0"/>
              <w:rPr>
                <w:sz w:val="20"/>
                <w:szCs w:val="20"/>
                <w:color w:val="auto"/>
              </w:rPr>
            </w:pPr>
          </w:p>
        </w:tc>
        <w:tc>
          <w:tcPr>
            <w:tcW w:w="140" w:type="dxa"/>
            <w:vAlign w:val="bottom"/>
            <w:tcBorders>
              <w:top w:val="single" w:sz="8" w:color="0000EE"/>
            </w:tcBorders>
            <w:gridSpan w:val="2"/>
          </w:tcPr>
          <w:p>
            <w:pPr>
              <w:jc w:val="center"/>
              <w:ind w:right="20"/>
              <w:spacing w:after="0"/>
              <w:rPr>
                <w:rFonts w:ascii="Arial" w:cs="Arial" w:eastAsia="Arial" w:hAnsi="Arial"/>
                <w:sz w:val="15"/>
                <w:szCs w:val="15"/>
                <w:color w:val="0000EE"/>
                <w:w w:val="71"/>
              </w:rPr>
            </w:pPr>
            <w:hyperlink w:anchor="page46">
              <w:r>
                <w:rPr>
                  <w:rFonts w:ascii="Arial" w:cs="Arial" w:eastAsia="Arial" w:hAnsi="Arial"/>
                  <w:sz w:val="15"/>
                  <w:szCs w:val="15"/>
                  <w:color w:val="0000EE"/>
                  <w:w w:val="71"/>
                </w:rPr>
                <w:t>45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Item 3.</w:t>
              </w:r>
            </w:hyperlink>
          </w:p>
        </w:tc>
        <w:tc>
          <w:tcPr>
            <w:tcW w:w="580" w:type="dxa"/>
            <w:vAlign w:val="bottom"/>
            <w:gridSpan w:val="4"/>
          </w:tcPr>
          <w:p>
            <w:pPr>
              <w:spacing w:after="0"/>
              <w:rPr>
                <w:sz w:val="20"/>
                <w:szCs w:val="20"/>
                <w:color w:val="auto"/>
              </w:rPr>
            </w:pPr>
          </w:p>
        </w:tc>
        <w:tc>
          <w:tcPr>
            <w:tcW w:w="2060" w:type="dxa"/>
            <w:vAlign w:val="bottom"/>
            <w:gridSpan w:val="8"/>
          </w:tcPr>
          <w:p>
            <w:pPr>
              <w:spacing w:after="0"/>
              <w:rPr>
                <w:rFonts w:ascii="Arial" w:cs="Arial" w:eastAsia="Arial" w:hAnsi="Arial"/>
                <w:sz w:val="16"/>
                <w:szCs w:val="16"/>
                <w:color w:val="0000EE"/>
                <w:w w:val="91"/>
              </w:rPr>
            </w:pPr>
            <w:hyperlink w:anchor="page46">
              <w:r>
                <w:rPr>
                  <w:rFonts w:ascii="Arial" w:cs="Arial" w:eastAsia="Arial" w:hAnsi="Arial"/>
                  <w:sz w:val="16"/>
                  <w:szCs w:val="16"/>
                  <w:color w:val="0000EE"/>
                  <w:w w:val="91"/>
                </w:rPr>
                <w:t>Defaults upon Senior Securities</w:t>
              </w:r>
            </w:hyperlink>
          </w:p>
        </w:tc>
        <w:tc>
          <w:tcPr>
            <w:tcW w:w="5600" w:type="dxa"/>
            <w:vAlign w:val="bottom"/>
            <w:gridSpan w:val="4"/>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6">
              <w:r>
                <w:rPr>
                  <w:rFonts w:ascii="Arial" w:cs="Arial" w:eastAsia="Arial" w:hAnsi="Arial"/>
                  <w:sz w:val="16"/>
                  <w:szCs w:val="16"/>
                  <w:color w:val="0000EE"/>
                  <w:w w:val="89"/>
                </w:rPr>
                <w:t>45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880" w:type="dxa"/>
            <w:vAlign w:val="bottom"/>
            <w:tcBorders>
              <w:left w:val="single" w:sz="8" w:color="0000EE"/>
            </w:tcBorders>
            <w:gridSpan w:val="4"/>
            <w:shd w:val="clear" w:color="auto" w:fill="0000EE"/>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Item 4.</w:t>
              </w:r>
            </w:hyperlink>
          </w:p>
        </w:tc>
        <w:tc>
          <w:tcPr>
            <w:tcW w:w="580" w:type="dxa"/>
            <w:vAlign w:val="bottom"/>
            <w:gridSpan w:val="4"/>
          </w:tcPr>
          <w:p>
            <w:pPr>
              <w:spacing w:after="0"/>
              <w:rPr>
                <w:sz w:val="20"/>
                <w:szCs w:val="20"/>
                <w:color w:val="auto"/>
              </w:rPr>
            </w:pPr>
          </w:p>
        </w:tc>
        <w:tc>
          <w:tcPr>
            <w:tcW w:w="2060" w:type="dxa"/>
            <w:vAlign w:val="bottom"/>
            <w:gridSpan w:val="8"/>
          </w:tcPr>
          <w:p>
            <w:pPr>
              <w:spacing w:after="0"/>
              <w:rPr>
                <w:rFonts w:ascii="Arial" w:cs="Arial" w:eastAsia="Arial" w:hAnsi="Arial"/>
                <w:sz w:val="16"/>
                <w:szCs w:val="16"/>
                <w:color w:val="0000EE"/>
              </w:rPr>
            </w:pPr>
            <w:hyperlink w:anchor="page46">
              <w:r>
                <w:rPr>
                  <w:rFonts w:ascii="Arial" w:cs="Arial" w:eastAsia="Arial" w:hAnsi="Arial"/>
                  <w:sz w:val="16"/>
                  <w:szCs w:val="16"/>
                  <w:color w:val="0000EE"/>
                </w:rPr>
                <w:t>Mine Safety Disclosures</w:t>
              </w:r>
            </w:hyperlink>
          </w:p>
        </w:tc>
        <w:tc>
          <w:tcPr>
            <w:tcW w:w="5600" w:type="dxa"/>
            <w:vAlign w:val="bottom"/>
            <w:gridSpan w:val="4"/>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6">
              <w:r>
                <w:rPr>
                  <w:rFonts w:ascii="Arial" w:cs="Arial" w:eastAsia="Arial" w:hAnsi="Arial"/>
                  <w:sz w:val="16"/>
                  <w:szCs w:val="16"/>
                  <w:color w:val="0000EE"/>
                  <w:w w:val="89"/>
                </w:rPr>
                <w:t>45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6080" w:type="dxa"/>
            <w:vAlign w:val="bottom"/>
            <w:gridSpan w:val="6"/>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Item 5.</w:t>
              </w:r>
            </w:hyperlink>
          </w:p>
        </w:tc>
        <w:tc>
          <w:tcPr>
            <w:tcW w:w="580" w:type="dxa"/>
            <w:vAlign w:val="bottom"/>
            <w:gridSpan w:val="4"/>
          </w:tcPr>
          <w:p>
            <w:pPr>
              <w:spacing w:after="0"/>
              <w:rPr>
                <w:sz w:val="20"/>
                <w:szCs w:val="20"/>
                <w:color w:val="auto"/>
              </w:rPr>
            </w:pPr>
          </w:p>
        </w:tc>
        <w:tc>
          <w:tcPr>
            <w:tcW w:w="1180" w:type="dxa"/>
            <w:vAlign w:val="bottom"/>
            <w:gridSpan w:val="4"/>
          </w:tcPr>
          <w:p>
            <w:pPr>
              <w:spacing w:after="0"/>
              <w:rPr>
                <w:rFonts w:ascii="Arial" w:cs="Arial" w:eastAsia="Arial" w:hAnsi="Arial"/>
                <w:sz w:val="16"/>
                <w:szCs w:val="16"/>
                <w:color w:val="0000EE"/>
                <w:w w:val="91"/>
              </w:rPr>
            </w:pPr>
            <w:hyperlink w:anchor="page46">
              <w:r>
                <w:rPr>
                  <w:rFonts w:ascii="Arial" w:cs="Arial" w:eastAsia="Arial" w:hAnsi="Arial"/>
                  <w:sz w:val="16"/>
                  <w:szCs w:val="16"/>
                  <w:color w:val="0000EE"/>
                  <w:w w:val="91"/>
                </w:rPr>
                <w:t>Other Information</w:t>
              </w:r>
            </w:hyperlink>
          </w:p>
        </w:tc>
        <w:tc>
          <w:tcPr>
            <w:tcW w:w="400" w:type="dxa"/>
            <w:vAlign w:val="bottom"/>
            <w:gridSpan w:val="2"/>
          </w:tcPr>
          <w:p>
            <w:pPr>
              <w:spacing w:after="0"/>
              <w:rPr>
                <w:sz w:val="20"/>
                <w:szCs w:val="20"/>
                <w:color w:val="auto"/>
              </w:rPr>
            </w:pPr>
          </w:p>
        </w:tc>
        <w:tc>
          <w:tcPr>
            <w:tcW w:w="6080" w:type="dxa"/>
            <w:vAlign w:val="bottom"/>
            <w:gridSpan w:val="6"/>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6">
              <w:r>
                <w:rPr>
                  <w:rFonts w:ascii="Arial" w:cs="Arial" w:eastAsia="Arial" w:hAnsi="Arial"/>
                  <w:sz w:val="16"/>
                  <w:szCs w:val="16"/>
                  <w:color w:val="0000EE"/>
                  <w:w w:val="89"/>
                </w:rPr>
                <w:t>45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6480" w:type="dxa"/>
            <w:vAlign w:val="bottom"/>
            <w:gridSpan w:val="8"/>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7">
              <w:r>
                <w:rPr>
                  <w:rFonts w:ascii="Arial" w:cs="Arial" w:eastAsia="Arial" w:hAnsi="Arial"/>
                  <w:sz w:val="16"/>
                  <w:szCs w:val="16"/>
                  <w:color w:val="0000EE"/>
                  <w:w w:val="85"/>
                </w:rPr>
                <w:t>Item 6.</w:t>
              </w:r>
            </w:hyperlink>
          </w:p>
        </w:tc>
        <w:tc>
          <w:tcPr>
            <w:tcW w:w="580" w:type="dxa"/>
            <w:vAlign w:val="bottom"/>
            <w:gridSpan w:val="4"/>
          </w:tcPr>
          <w:p>
            <w:pPr>
              <w:spacing w:after="0"/>
              <w:rPr>
                <w:sz w:val="20"/>
                <w:szCs w:val="20"/>
                <w:color w:val="auto"/>
              </w:rPr>
            </w:pPr>
          </w:p>
        </w:tc>
        <w:tc>
          <w:tcPr>
            <w:tcW w:w="540" w:type="dxa"/>
            <w:vAlign w:val="bottom"/>
          </w:tcPr>
          <w:p>
            <w:pPr>
              <w:spacing w:after="0"/>
              <w:rPr>
                <w:rFonts w:ascii="Arial" w:cs="Arial" w:eastAsia="Arial" w:hAnsi="Arial"/>
                <w:sz w:val="16"/>
                <w:szCs w:val="16"/>
                <w:color w:val="0000EE"/>
                <w:w w:val="92"/>
              </w:rPr>
            </w:pPr>
            <w:hyperlink w:anchor="page47">
              <w:r>
                <w:rPr>
                  <w:rFonts w:ascii="Arial" w:cs="Arial" w:eastAsia="Arial" w:hAnsi="Arial"/>
                  <w:sz w:val="16"/>
                  <w:szCs w:val="16"/>
                  <w:color w:val="0000EE"/>
                  <w:w w:val="92"/>
                </w:rPr>
                <w:t>Exhibits</w:t>
              </w:r>
            </w:hyperlink>
          </w:p>
        </w:tc>
        <w:tc>
          <w:tcPr>
            <w:tcW w:w="640" w:type="dxa"/>
            <w:vAlign w:val="bottom"/>
            <w:gridSpan w:val="3"/>
          </w:tcPr>
          <w:p>
            <w:pPr>
              <w:spacing w:after="0"/>
              <w:rPr>
                <w:sz w:val="20"/>
                <w:szCs w:val="20"/>
                <w:color w:val="auto"/>
              </w:rPr>
            </w:pPr>
          </w:p>
        </w:tc>
        <w:tc>
          <w:tcPr>
            <w:tcW w:w="6480" w:type="dxa"/>
            <w:vAlign w:val="bottom"/>
            <w:gridSpan w:val="8"/>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7">
              <w:r>
                <w:rPr>
                  <w:rFonts w:ascii="Arial" w:cs="Arial" w:eastAsia="Arial" w:hAnsi="Arial"/>
                  <w:sz w:val="16"/>
                  <w:szCs w:val="16"/>
                  <w:color w:val="0000EE"/>
                  <w:w w:val="89"/>
                </w:rPr>
                <w:t>46</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534"/>
        </w:trPr>
        <w:tc>
          <w:tcPr>
            <w:tcW w:w="680" w:type="dxa"/>
            <w:vAlign w:val="bottom"/>
            <w:gridSpan w:val="4"/>
          </w:tcPr>
          <w:p>
            <w:pPr>
              <w:spacing w:after="0"/>
              <w:rPr>
                <w:sz w:val="20"/>
                <w:szCs w:val="20"/>
                <w:color w:val="auto"/>
              </w:rPr>
            </w:pPr>
            <w:r>
              <w:rPr>
                <w:rFonts w:ascii="Arial" w:cs="Arial" w:eastAsia="Arial" w:hAnsi="Arial"/>
                <w:sz w:val="16"/>
                <w:szCs w:val="16"/>
                <w:color w:val="0000EE"/>
                <w:w w:val="83"/>
              </w:rPr>
              <w:t>Signatures</w:t>
            </w:r>
          </w:p>
        </w:tc>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9">
              <w:r>
                <w:rPr>
                  <w:rFonts w:ascii="Arial" w:cs="Arial" w:eastAsia="Arial" w:hAnsi="Arial"/>
                  <w:sz w:val="16"/>
                  <w:szCs w:val="16"/>
                  <w:color w:val="0000EE"/>
                  <w:w w:val="89"/>
                </w:rPr>
                <w:t>48</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740"/>
          </w:cols>
          <w:pgMar w:left="280" w:top="580" w:right="87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 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jc w:val="center"/>
              <w:ind w:right="159"/>
              <w:spacing w:after="0"/>
              <w:rPr>
                <w:sz w:val="20"/>
                <w:szCs w:val="20"/>
                <w:color w:val="auto"/>
              </w:rPr>
            </w:pPr>
            <w:r>
              <w:rPr>
                <w:rFonts w:ascii="Arial" w:cs="Arial" w:eastAsia="Arial" w:hAnsi="Arial"/>
                <w:sz w:val="14"/>
                <w:szCs w:val="14"/>
                <w:b w:val="1"/>
                <w:bCs w:val="1"/>
                <w:color w:val="auto"/>
                <w:w w:val="96"/>
              </w:rPr>
              <w:t>March 31, 2019</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w w:val="95"/>
              </w:rPr>
              <w:t>December 31, 2018</w:t>
            </w:r>
          </w:p>
        </w:tc>
      </w:tr>
      <w:tr>
        <w:trPr>
          <w:trHeight w:val="237"/>
        </w:trPr>
        <w:tc>
          <w:tcPr>
            <w:tcW w:w="8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94"/>
              </w:rPr>
              <w:t>(Unaudited)</w:t>
            </w:r>
          </w:p>
        </w:tc>
        <w:tc>
          <w:tcPr>
            <w:tcW w:w="16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Agency securities, at fair value (including pledged securities of $89,471 and $78,619, respectively)</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93,044</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82,291</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Agency securities transferred to consolidated variable interest entities, at fair value (pledged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425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436</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Credit risk transfer securities, at fair value (including pledged securities of $142 and $141, respectively)</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1,129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1,012</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Non-Agency securities, at fair value (including pledged securities of $45 and $45, respectively)</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672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548</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U.S. Treasury securities, at fair value (including pledged securities of $121 and $0, respectively)</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121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46</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Cash and cash equivalents</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929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921</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Restricted cash</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517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599</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Derivative assets, at fair value</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273</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Receivable for investment securities sold (pledged securities)</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439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489</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Receivable under reverse repurchase agreements</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20,430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21,813</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Goodwill</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526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526</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assets</w:t>
            </w:r>
          </w:p>
        </w:tc>
        <w:tc>
          <w:tcPr>
            <w:tcW w:w="2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287</w:t>
            </w:r>
          </w:p>
        </w:tc>
      </w:tr>
      <w:tr>
        <w:trPr>
          <w:trHeight w:val="284"/>
        </w:trPr>
        <w:tc>
          <w:tcPr>
            <w:tcW w:w="8120" w:type="dxa"/>
            <w:vAlign w:val="bottom"/>
            <w:tcBorders>
              <w:bottom w:val="single" w:sz="8" w:color="CCEEFF"/>
            </w:tcBorders>
          </w:tcPr>
          <w:p>
            <w:pPr>
              <w:ind w:left="600"/>
              <w:spacing w:after="0"/>
              <w:rPr>
                <w:sz w:val="20"/>
                <w:szCs w:val="20"/>
                <w:color w:val="auto"/>
              </w:rPr>
            </w:pPr>
            <w:r>
              <w:rPr>
                <w:rFonts w:ascii="Arial" w:cs="Arial" w:eastAsia="Arial" w:hAnsi="Arial"/>
                <w:sz w:val="16"/>
                <w:szCs w:val="16"/>
                <w:color w:val="auto"/>
              </w:rPr>
              <w:t>Total assets</w:t>
            </w: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4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118,807</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109,241</w:t>
            </w:r>
          </w:p>
        </w:tc>
      </w:tr>
      <w:tr>
        <w:trPr>
          <w:trHeight w:val="237"/>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w:t>
            </w:r>
          </w:p>
        </w:tc>
        <w:tc>
          <w:tcPr>
            <w:tcW w:w="22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spacing w:after="0"/>
              <w:rPr>
                <w:sz w:val="20"/>
                <w:szCs w:val="20"/>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Repurchase agreements</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86,685</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75,717</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Debt of consolidated variable interest entities, at fair value</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275</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Payable for investment securities purchased</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1,125</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1,204</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Derivative liabilities, at fair value</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84</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Dividends payable</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107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106</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Obligation to return securities borrowed under reverse repurchase agreements, at fair value</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19,275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21,431</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Accounts payable and other liabilities</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795</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518</w:t>
            </w:r>
          </w:p>
        </w:tc>
      </w:tr>
      <w:tr>
        <w:trPr>
          <w:trHeight w:val="33"/>
        </w:trPr>
        <w:tc>
          <w:tcPr>
            <w:tcW w:w="8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108,306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99,335</w:t>
            </w:r>
          </w:p>
        </w:tc>
      </w:tr>
      <w:tr>
        <w:trPr>
          <w:trHeight w:val="231"/>
        </w:trPr>
        <w:tc>
          <w:tcPr>
            <w:tcW w:w="8120" w:type="dxa"/>
            <w:vAlign w:val="bottom"/>
          </w:tcPr>
          <w:p>
            <w:pPr>
              <w:ind w:left="40"/>
              <w:spacing w:after="0"/>
              <w:rPr>
                <w:sz w:val="20"/>
                <w:szCs w:val="20"/>
                <w:color w:val="auto"/>
              </w:rPr>
            </w:pPr>
            <w:r>
              <w:rPr>
                <w:rFonts w:ascii="Arial" w:cs="Arial" w:eastAsia="Arial" w:hAnsi="Arial"/>
                <w:sz w:val="16"/>
                <w:szCs w:val="16"/>
                <w:b w:val="1"/>
                <w:bCs w:val="1"/>
                <w:color w:val="auto"/>
              </w:rPr>
              <w:t>Stockholders' equity:</w:t>
            </w:r>
          </w:p>
        </w:tc>
        <w:tc>
          <w:tcPr>
            <w:tcW w:w="2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7.750% Series B Cumulative Redeemable Preferred Stock (aggregate liquidation preference of $175)</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169</w:t>
            </w:r>
          </w:p>
        </w:tc>
      </w:tr>
      <w:tr>
        <w:trPr>
          <w:trHeight w:val="220"/>
        </w:trPr>
        <w:tc>
          <w:tcPr>
            <w:tcW w:w="8120" w:type="dxa"/>
            <w:vAlign w:val="bottom"/>
          </w:tcPr>
          <w:p>
            <w:pPr>
              <w:ind w:left="280"/>
              <w:spacing w:after="0"/>
              <w:rPr>
                <w:sz w:val="20"/>
                <w:szCs w:val="20"/>
                <w:color w:val="auto"/>
              </w:rPr>
            </w:pPr>
            <w:r>
              <w:rPr>
                <w:rFonts w:ascii="Arial" w:cs="Arial" w:eastAsia="Arial" w:hAnsi="Arial"/>
                <w:sz w:val="16"/>
                <w:szCs w:val="16"/>
                <w:color w:val="auto"/>
                <w:w w:val="93"/>
              </w:rPr>
              <w:t>7.000% Series C Fixed-to-Floating Rate Cumulative Redeemable Preferred Stock (aggregate liquidation preference of</w:t>
            </w:r>
          </w:p>
        </w:tc>
        <w:tc>
          <w:tcPr>
            <w:tcW w:w="2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tcPr>
          <w:p>
            <w:pPr>
              <w:spacing w:after="0"/>
              <w:rPr>
                <w:sz w:val="19"/>
                <w:szCs w:val="19"/>
                <w:color w:val="auto"/>
              </w:rPr>
            </w:pPr>
          </w:p>
        </w:tc>
      </w:tr>
      <w:tr>
        <w:trPr>
          <w:trHeight w:val="206"/>
        </w:trPr>
        <w:tc>
          <w:tcPr>
            <w:tcW w:w="8120" w:type="dxa"/>
            <w:vAlign w:val="bottom"/>
          </w:tcPr>
          <w:p>
            <w:pPr>
              <w:ind w:left="280"/>
              <w:spacing w:after="0"/>
              <w:rPr>
                <w:sz w:val="20"/>
                <w:szCs w:val="20"/>
                <w:color w:val="auto"/>
              </w:rPr>
            </w:pPr>
            <w:r>
              <w:rPr>
                <w:rFonts w:ascii="Arial" w:cs="Arial" w:eastAsia="Arial" w:hAnsi="Arial"/>
                <w:sz w:val="16"/>
                <w:szCs w:val="16"/>
                <w:color w:val="auto"/>
              </w:rPr>
              <w:t>$325)</w:t>
            </w:r>
          </w:p>
        </w:tc>
        <w:tc>
          <w:tcPr>
            <w:tcW w:w="220" w:type="dxa"/>
            <w:vAlign w:val="bottom"/>
          </w:tcPr>
          <w:p>
            <w:pPr>
              <w:spacing w:after="0"/>
              <w:rPr>
                <w:sz w:val="17"/>
                <w:szCs w:val="17"/>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315</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315</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20"/>
        </w:trPr>
        <w:tc>
          <w:tcPr>
            <w:tcW w:w="8120" w:type="dxa"/>
            <w:vAlign w:val="bottom"/>
            <w:shd w:val="clear" w:color="auto" w:fill="CCEEFF"/>
          </w:tcPr>
          <w:p>
            <w:pPr>
              <w:ind w:left="280"/>
              <w:spacing w:after="0"/>
              <w:rPr>
                <w:sz w:val="20"/>
                <w:szCs w:val="20"/>
                <w:color w:val="auto"/>
              </w:rPr>
            </w:pPr>
            <w:r>
              <w:rPr>
                <w:rFonts w:ascii="Arial" w:cs="Arial" w:eastAsia="Arial" w:hAnsi="Arial"/>
                <w:sz w:val="16"/>
                <w:szCs w:val="16"/>
                <w:color w:val="auto"/>
                <w:w w:val="93"/>
              </w:rPr>
              <w:t>6.875% Series D Fixed-to-Floating Rate Cumulative Redeemable Preferred Stock (aggregate liquidation preference of</w:t>
            </w:r>
          </w:p>
        </w:tc>
        <w:tc>
          <w:tcPr>
            <w:tcW w:w="22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r>
      <w:tr>
        <w:trPr>
          <w:trHeight w:val="219"/>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$235)</w:t>
            </w:r>
          </w:p>
        </w:tc>
        <w:tc>
          <w:tcPr>
            <w:tcW w:w="22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227</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Common stock - $0.01 par value; 900 shares authorized; 536.3 shares issued and outstanding</w:t>
            </w:r>
          </w:p>
        </w:tc>
        <w:tc>
          <w:tcPr>
            <w:tcW w:w="220" w:type="dxa"/>
            <w:vAlign w:val="bottom"/>
          </w:tcPr>
          <w:p>
            <w:pPr>
              <w:spacing w:after="0"/>
              <w:rPr>
                <w:sz w:val="20"/>
                <w:szCs w:val="20"/>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Additional paid-in capital</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13,795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13,793</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Retained deficit</w:t>
            </w:r>
          </w:p>
        </w:tc>
        <w:tc>
          <w:tcPr>
            <w:tcW w:w="2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16"/>
                <w:szCs w:val="16"/>
                <w:color w:val="auto"/>
              </w:rPr>
              <w:t>(3,467)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(3,433)</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Accumulated other comprehensive loss</w:t>
            </w:r>
          </w:p>
        </w:tc>
        <w:tc>
          <w:tcPr>
            <w:tcW w:w="2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(943)</w:t>
            </w:r>
          </w:p>
        </w:tc>
      </w:tr>
      <w:tr>
        <w:trPr>
          <w:trHeight w:val="217"/>
        </w:trPr>
        <w:tc>
          <w:tcPr>
            <w:tcW w:w="8120" w:type="dxa"/>
            <w:vAlign w:val="bottom"/>
          </w:tcPr>
          <w:p>
            <w:pPr>
              <w:ind w:left="600"/>
              <w:spacing w:after="0"/>
              <w:rPr>
                <w:sz w:val="20"/>
                <w:szCs w:val="20"/>
                <w:color w:val="auto"/>
              </w:rPr>
            </w:pPr>
            <w:r>
              <w:rPr>
                <w:rFonts w:ascii="Arial" w:cs="Arial" w:eastAsia="Arial" w:hAnsi="Arial"/>
                <w:sz w:val="16"/>
                <w:szCs w:val="16"/>
                <w:color w:val="auto"/>
              </w:rPr>
              <w:t>Total stockholders' equity</w:t>
            </w:r>
          </w:p>
        </w:tc>
        <w:tc>
          <w:tcPr>
            <w:tcW w:w="22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10,501</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9,906</w:t>
            </w:r>
          </w:p>
        </w:tc>
      </w:tr>
      <w:tr>
        <w:trPr>
          <w:trHeight w:val="33"/>
        </w:trPr>
        <w:tc>
          <w:tcPr>
            <w:tcW w:w="8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 and stockholders' equity</w:t>
            </w: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4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118,807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109,241</w:t>
            </w:r>
          </w:p>
        </w:tc>
      </w:tr>
      <w:tr>
        <w:trPr>
          <w:trHeight w:val="20"/>
        </w:trPr>
        <w:tc>
          <w:tcPr>
            <w:tcW w:w="8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3" w:name="page4"/>
    <w:bookmarkEnd w:id="3"/>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millions, except per share data)</w:t>
      </w:r>
    </w:p>
    <w:p>
      <w:pPr>
        <w:spacing w:after="0" w:line="346" w:lineRule="exact"/>
        <w:rPr>
          <w:sz w:val="20"/>
          <w:szCs w:val="20"/>
          <w:color w:val="auto"/>
        </w:rPr>
      </w:pPr>
    </w:p>
    <w:p>
      <w:pPr>
        <w:jc w:val="center"/>
        <w:ind w:left="8300"/>
        <w:spacing w:after="0"/>
        <w:rPr>
          <w:sz w:val="20"/>
          <w:szCs w:val="20"/>
          <w:color w:val="auto"/>
        </w:rPr>
      </w:pPr>
      <w:r>
        <w:rPr>
          <w:rFonts w:ascii="Arial" w:cs="Arial" w:eastAsia="Arial" w:hAnsi="Arial"/>
          <w:sz w:val="16"/>
          <w:szCs w:val="16"/>
          <w:b w:val="1"/>
          <w:bCs w:val="1"/>
          <w:color w:val="auto"/>
        </w:rPr>
        <w:t>Three Months Ended March</w:t>
      </w:r>
    </w:p>
    <w:p>
      <w:pPr>
        <w:spacing w:after="0" w:line="26" w:lineRule="exact"/>
        <w:rPr>
          <w:sz w:val="20"/>
          <w:szCs w:val="20"/>
          <w:color w:val="auto"/>
        </w:rPr>
      </w:pPr>
    </w:p>
    <w:p>
      <w:pPr>
        <w:jc w:val="center"/>
        <w:ind w:left="8300"/>
        <w:spacing w:after="0"/>
        <w:rPr>
          <w:sz w:val="20"/>
          <w:szCs w:val="20"/>
          <w:color w:val="auto"/>
        </w:rPr>
      </w:pPr>
      <w:r>
        <w:rPr>
          <w:rFonts w:ascii="Arial" w:cs="Arial" w:eastAsia="Arial" w:hAnsi="Arial"/>
          <w:sz w:val="16"/>
          <w:szCs w:val="16"/>
          <w:b w:val="1"/>
          <w:bCs w:val="1"/>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5244465</wp:posOffset>
            </wp:positionH>
            <wp:positionV relativeFrom="paragraph">
              <wp:posOffset>33020</wp:posOffset>
            </wp:positionV>
            <wp:extent cx="13893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2018</w:t>
            </w:r>
          </w:p>
        </w:tc>
      </w:tr>
      <w:tr>
        <w:trPr>
          <w:trHeight w:val="33"/>
        </w:trPr>
        <w:tc>
          <w:tcPr>
            <w:tcW w:w="82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Interest income:</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8260" w:type="dxa"/>
            <w:vAlign w:val="bottom"/>
          </w:tcPr>
          <w:p>
            <w:pPr>
              <w:ind w:left="360"/>
              <w:spacing w:after="0"/>
              <w:rPr>
                <w:sz w:val="20"/>
                <w:szCs w:val="20"/>
                <w:color w:val="auto"/>
              </w:rPr>
            </w:pPr>
            <w:r>
              <w:rPr>
                <w:rFonts w:ascii="Arial" w:cs="Arial" w:eastAsia="Arial" w:hAnsi="Arial"/>
                <w:sz w:val="18"/>
                <w:szCs w:val="18"/>
                <w:color w:val="auto"/>
              </w:rPr>
              <w:t>Interest income</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705</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431</w:t>
            </w:r>
          </w:p>
        </w:tc>
      </w:tr>
      <w:tr>
        <w:trPr>
          <w:trHeight w:val="27"/>
        </w:trPr>
        <w:tc>
          <w:tcPr>
            <w:tcW w:w="8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8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Interest expense</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541</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w:t>
            </w:r>
          </w:p>
        </w:tc>
      </w:tr>
      <w:tr>
        <w:trPr>
          <w:trHeight w:val="237"/>
        </w:trPr>
        <w:tc>
          <w:tcPr>
            <w:tcW w:w="8260" w:type="dxa"/>
            <w:vAlign w:val="bottom"/>
          </w:tcPr>
          <w:p>
            <w:pPr>
              <w:ind w:left="680"/>
              <w:spacing w:after="0"/>
              <w:rPr>
                <w:sz w:val="20"/>
                <w:szCs w:val="20"/>
                <w:color w:val="auto"/>
              </w:rPr>
            </w:pPr>
            <w:r>
              <w:rPr>
                <w:rFonts w:ascii="Arial" w:cs="Arial" w:eastAsia="Arial" w:hAnsi="Arial"/>
                <w:sz w:val="18"/>
                <w:szCs w:val="18"/>
                <w:color w:val="auto"/>
              </w:rPr>
              <w:t>Net interest income</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225</w:t>
            </w:r>
          </w:p>
        </w:tc>
      </w:tr>
      <w:tr>
        <w:trPr>
          <w:trHeight w:val="27"/>
        </w:trPr>
        <w:tc>
          <w:tcPr>
            <w:tcW w:w="82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Other gain (loss), net: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8260" w:type="dxa"/>
            <w:vAlign w:val="bottom"/>
          </w:tcPr>
          <w:p>
            <w:pPr>
              <w:ind w:left="360"/>
              <w:spacing w:after="0"/>
              <w:rPr>
                <w:sz w:val="20"/>
                <w:szCs w:val="20"/>
                <w:color w:val="auto"/>
              </w:rPr>
            </w:pPr>
            <w:r>
              <w:rPr>
                <w:rFonts w:ascii="Arial" w:cs="Arial" w:eastAsia="Arial" w:hAnsi="Arial"/>
                <w:sz w:val="18"/>
                <w:szCs w:val="18"/>
                <w:color w:val="auto"/>
              </w:rPr>
              <w:t>Gain (loss) on sale of investment securities, net</w:t>
            </w:r>
          </w:p>
        </w:tc>
        <w:tc>
          <w:tcPr>
            <w:tcW w:w="2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60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8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Unrealized gain (loss) on investment securities measured at fair value through net income, net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(523)</w:t>
            </w:r>
          </w:p>
        </w:tc>
      </w:tr>
      <w:tr>
        <w:trPr>
          <w:trHeight w:val="243"/>
        </w:trPr>
        <w:tc>
          <w:tcPr>
            <w:tcW w:w="8260" w:type="dxa"/>
            <w:vAlign w:val="bottom"/>
          </w:tcPr>
          <w:p>
            <w:pPr>
              <w:ind w:left="360"/>
              <w:spacing w:after="0"/>
              <w:rPr>
                <w:sz w:val="20"/>
                <w:szCs w:val="20"/>
                <w:color w:val="auto"/>
              </w:rPr>
            </w:pPr>
            <w:r>
              <w:rPr>
                <w:rFonts w:ascii="Arial" w:cs="Arial" w:eastAsia="Arial" w:hAnsi="Arial"/>
                <w:sz w:val="18"/>
                <w:szCs w:val="18"/>
                <w:color w:val="auto"/>
              </w:rPr>
              <w:t>Gain (loss) on derivative instruments and other securities, net</w:t>
            </w: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738</w:t>
            </w:r>
          </w:p>
        </w:tc>
      </w:tr>
      <w:tr>
        <w:trPr>
          <w:trHeight w:val="27"/>
        </w:trPr>
        <w:tc>
          <w:tcPr>
            <w:tcW w:w="8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8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Management fee income</w:t>
            </w: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r>
      <w:tr>
        <w:trPr>
          <w:trHeight w:val="237"/>
        </w:trPr>
        <w:tc>
          <w:tcPr>
            <w:tcW w:w="8260" w:type="dxa"/>
            <w:vAlign w:val="bottom"/>
          </w:tcPr>
          <w:p>
            <w:pPr>
              <w:ind w:left="680"/>
              <w:spacing w:after="0"/>
              <w:rPr>
                <w:sz w:val="20"/>
                <w:szCs w:val="20"/>
                <w:color w:val="auto"/>
              </w:rPr>
            </w:pPr>
            <w:r>
              <w:rPr>
                <w:rFonts w:ascii="Arial" w:cs="Arial" w:eastAsia="Arial" w:hAnsi="Arial"/>
                <w:sz w:val="18"/>
                <w:szCs w:val="18"/>
                <w:color w:val="auto"/>
              </w:rPr>
              <w:t>Total other gain, net:</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120</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217</w:t>
            </w:r>
          </w:p>
        </w:tc>
      </w:tr>
      <w:tr>
        <w:trPr>
          <w:trHeight w:val="27"/>
        </w:trPr>
        <w:tc>
          <w:tcPr>
            <w:tcW w:w="82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Expenses:</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8260" w:type="dxa"/>
            <w:vAlign w:val="bottom"/>
          </w:tcPr>
          <w:p>
            <w:pPr>
              <w:ind w:left="360"/>
              <w:spacing w:after="0"/>
              <w:rPr>
                <w:sz w:val="20"/>
                <w:szCs w:val="20"/>
                <w:color w:val="auto"/>
              </w:rPr>
            </w:pPr>
            <w:r>
              <w:rPr>
                <w:rFonts w:ascii="Arial" w:cs="Arial" w:eastAsia="Arial" w:hAnsi="Arial"/>
                <w:sz w:val="18"/>
                <w:szCs w:val="18"/>
                <w:color w:val="auto"/>
              </w:rPr>
              <w:t>Compensation and benefits</w:t>
            </w:r>
          </w:p>
        </w:tc>
        <w:tc>
          <w:tcPr>
            <w:tcW w:w="2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10</w:t>
            </w:r>
          </w:p>
        </w:tc>
      </w:tr>
      <w:tr>
        <w:trPr>
          <w:trHeight w:val="27"/>
        </w:trPr>
        <w:tc>
          <w:tcPr>
            <w:tcW w:w="8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8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operating expense</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w:t>
            </w:r>
          </w:p>
        </w:tc>
      </w:tr>
      <w:tr>
        <w:trPr>
          <w:trHeight w:val="237"/>
        </w:trPr>
        <w:tc>
          <w:tcPr>
            <w:tcW w:w="8260" w:type="dxa"/>
            <w:vAlign w:val="bottom"/>
          </w:tcPr>
          <w:p>
            <w:pPr>
              <w:ind w:left="680"/>
              <w:spacing w:after="0"/>
              <w:rPr>
                <w:sz w:val="20"/>
                <w:szCs w:val="20"/>
                <w:color w:val="auto"/>
              </w:rPr>
            </w:pPr>
            <w:r>
              <w:rPr>
                <w:rFonts w:ascii="Arial" w:cs="Arial" w:eastAsia="Arial" w:hAnsi="Arial"/>
                <w:sz w:val="18"/>
                <w:szCs w:val="18"/>
                <w:color w:val="auto"/>
              </w:rPr>
              <w:t>Total operating expense</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w:t>
            </w:r>
          </w:p>
        </w:tc>
      </w:tr>
      <w:tr>
        <w:trPr>
          <w:trHeight w:val="27"/>
        </w:trPr>
        <w:tc>
          <w:tcPr>
            <w:tcW w:w="82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424</w:t>
            </w:r>
          </w:p>
        </w:tc>
      </w:tr>
      <w:tr>
        <w:trPr>
          <w:trHeight w:val="243"/>
        </w:trPr>
        <w:tc>
          <w:tcPr>
            <w:tcW w:w="8260" w:type="dxa"/>
            <w:vAlign w:val="bottom"/>
          </w:tcPr>
          <w:p>
            <w:pPr>
              <w:ind w:left="360"/>
              <w:spacing w:after="0"/>
              <w:rPr>
                <w:sz w:val="20"/>
                <w:szCs w:val="20"/>
                <w:color w:val="auto"/>
              </w:rPr>
            </w:pPr>
            <w:r>
              <w:rPr>
                <w:rFonts w:ascii="Arial" w:cs="Arial" w:eastAsia="Arial" w:hAnsi="Arial"/>
                <w:sz w:val="18"/>
                <w:szCs w:val="18"/>
                <w:color w:val="auto"/>
              </w:rPr>
              <w:t>Dividend on preferred stock</w:t>
            </w:r>
          </w:p>
        </w:tc>
        <w:tc>
          <w:tcPr>
            <w:tcW w:w="2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9</w:t>
            </w:r>
          </w:p>
        </w:tc>
      </w:tr>
      <w:tr>
        <w:trPr>
          <w:trHeight w:val="27"/>
        </w:trPr>
        <w:tc>
          <w:tcPr>
            <w:tcW w:w="82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7"/>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available to common stockholders</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255</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415</w:t>
            </w:r>
          </w:p>
        </w:tc>
      </w:tr>
      <w:tr>
        <w:trPr>
          <w:trHeight w:val="20"/>
        </w:trPr>
        <w:tc>
          <w:tcPr>
            <w:tcW w:w="8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311"/>
        </w:trPr>
        <w:tc>
          <w:tcPr>
            <w:tcW w:w="8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50"/>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424</w:t>
            </w:r>
          </w:p>
        </w:tc>
      </w:tr>
      <w:tr>
        <w:trPr>
          <w:trHeight w:val="243"/>
        </w:trPr>
        <w:tc>
          <w:tcPr>
            <w:tcW w:w="8260" w:type="dxa"/>
            <w:vAlign w:val="bottom"/>
          </w:tcPr>
          <w:p>
            <w:pPr>
              <w:ind w:left="20"/>
              <w:spacing w:after="0"/>
              <w:rPr>
                <w:sz w:val="20"/>
                <w:szCs w:val="20"/>
                <w:color w:val="auto"/>
              </w:rPr>
            </w:pPr>
            <w:r>
              <w:rPr>
                <w:rFonts w:ascii="Arial" w:cs="Arial" w:eastAsia="Arial" w:hAnsi="Arial"/>
                <w:sz w:val="18"/>
                <w:szCs w:val="18"/>
                <w:b w:val="1"/>
                <w:bCs w:val="1"/>
                <w:color w:val="auto"/>
              </w:rPr>
              <w:t>Other comprehensive income (loss):</w:t>
            </w: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8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8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Unrealized gain (loss) on available-for-sale securities, net</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(621)</w:t>
            </w:r>
          </w:p>
        </w:tc>
      </w:tr>
      <w:tr>
        <w:trPr>
          <w:trHeight w:val="237"/>
        </w:trPr>
        <w:tc>
          <w:tcPr>
            <w:tcW w:w="8260" w:type="dxa"/>
            <w:vAlign w:val="bottom"/>
          </w:tcPr>
          <w:p>
            <w:pPr>
              <w:ind w:left="20"/>
              <w:spacing w:after="0"/>
              <w:rPr>
                <w:sz w:val="20"/>
                <w:szCs w:val="20"/>
                <w:color w:val="auto"/>
              </w:rPr>
            </w:pPr>
            <w:r>
              <w:rPr>
                <w:rFonts w:ascii="Arial" w:cs="Arial" w:eastAsia="Arial" w:hAnsi="Arial"/>
                <w:sz w:val="18"/>
                <w:szCs w:val="18"/>
                <w:b w:val="1"/>
                <w:bCs w:val="1"/>
                <w:color w:val="auto"/>
              </w:rPr>
              <w:t>Comprehensive income (loss)</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665</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(197)</w:t>
            </w:r>
          </w:p>
        </w:tc>
      </w:tr>
      <w:tr>
        <w:trPr>
          <w:trHeight w:val="27"/>
        </w:trPr>
        <w:tc>
          <w:tcPr>
            <w:tcW w:w="8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8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Dividend on preferred stock</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w:t>
            </w:r>
          </w:p>
        </w:tc>
      </w:tr>
      <w:tr>
        <w:trPr>
          <w:trHeight w:val="297"/>
        </w:trPr>
        <w:tc>
          <w:tcPr>
            <w:tcW w:w="82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Comprehensive income (loss) available (attributable) to common stockholders</w:t>
            </w: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655</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(206)</w:t>
            </w:r>
          </w:p>
        </w:tc>
      </w:tr>
      <w:tr>
        <w:trPr>
          <w:trHeight w:val="311"/>
        </w:trPr>
        <w:tc>
          <w:tcPr>
            <w:tcW w:w="82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304"/>
        </w:trPr>
        <w:tc>
          <w:tcPr>
            <w:tcW w:w="82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Weighted average number of common shares outstanding - basic</w:t>
            </w: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536.7</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391.3</w:t>
            </w:r>
          </w:p>
        </w:tc>
      </w:tr>
      <w:tr>
        <w:trPr>
          <w:trHeight w:val="251"/>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Weighted average number of common shares outstanding - diluted</w:t>
            </w:r>
          </w:p>
        </w:tc>
        <w:tc>
          <w:tcPr>
            <w:tcW w:w="2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537.2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391.5</w:t>
            </w:r>
          </w:p>
        </w:tc>
      </w:tr>
      <w:tr>
        <w:trPr>
          <w:trHeight w:val="20"/>
        </w:trPr>
        <w:tc>
          <w:tcPr>
            <w:tcW w:w="8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91"/>
        </w:trPr>
        <w:tc>
          <w:tcPr>
            <w:tcW w:w="82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Net income per common share - basic</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0.48</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1.06</w:t>
            </w:r>
          </w:p>
        </w:tc>
      </w:tr>
      <w:tr>
        <w:trPr>
          <w:trHeight w:val="251"/>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per common share - diluted</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0.47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1.06</w:t>
            </w:r>
          </w:p>
        </w:tc>
      </w:tr>
      <w:tr>
        <w:trPr>
          <w:trHeight w:val="20"/>
        </w:trPr>
        <w:tc>
          <w:tcPr>
            <w:tcW w:w="8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51"/>
        </w:trPr>
        <w:tc>
          <w:tcPr>
            <w:tcW w:w="8260" w:type="dxa"/>
            <w:vAlign w:val="bottom"/>
          </w:tcPr>
          <w:p>
            <w:pPr>
              <w:ind w:left="20"/>
              <w:spacing w:after="0"/>
              <w:rPr>
                <w:sz w:val="20"/>
                <w:szCs w:val="20"/>
                <w:color w:val="auto"/>
              </w:rPr>
            </w:pPr>
            <w:r>
              <w:rPr>
                <w:rFonts w:ascii="Arial" w:cs="Arial" w:eastAsia="Arial" w:hAnsi="Arial"/>
                <w:sz w:val="18"/>
                <w:szCs w:val="18"/>
                <w:b w:val="1"/>
                <w:bCs w:val="1"/>
                <w:color w:val="auto"/>
              </w:rPr>
              <w:t>Dividends declared per common share</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0.54</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0.54</w:t>
            </w:r>
          </w:p>
        </w:tc>
      </w:tr>
      <w:tr>
        <w:trPr>
          <w:trHeight w:val="20"/>
        </w:trPr>
        <w:tc>
          <w:tcPr>
            <w:tcW w:w="8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440"/>
          </w:cols>
          <w:pgMar w:left="740" w:top="580" w:right="71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(in millions)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7.000% Series</w:t>
            </w:r>
          </w:p>
        </w:tc>
        <w:tc>
          <w:tcPr>
            <w:tcW w:w="11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6.875% Series</w:t>
            </w: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300" w:type="dxa"/>
            <w:vAlign w:val="bottom"/>
          </w:tcPr>
          <w:p>
            <w:pPr>
              <w:spacing w:after="0"/>
              <w:rPr>
                <w:sz w:val="12"/>
                <w:szCs w:val="12"/>
                <w:color w:val="auto"/>
              </w:rPr>
            </w:pPr>
          </w:p>
        </w:tc>
        <w:tc>
          <w:tcPr>
            <w:tcW w:w="116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4"/>
              </w:rPr>
              <w:t>7.750% Series</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C Fixed-to-</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D Fixed-to-</w:t>
            </w:r>
          </w:p>
        </w:tc>
        <w:tc>
          <w:tcPr>
            <w:tcW w:w="1580" w:type="dxa"/>
            <w:vAlign w:val="bottom"/>
            <w:gridSpan w:val="5"/>
            <w:vMerge w:val="restart"/>
          </w:tcPr>
          <w:p>
            <w:pPr>
              <w:ind w:left="280"/>
              <w:spacing w:after="0"/>
              <w:rPr>
                <w:sz w:val="20"/>
                <w:szCs w:val="20"/>
                <w:color w:val="auto"/>
              </w:rPr>
            </w:pPr>
            <w:r>
              <w:rPr>
                <w:rFonts w:ascii="Arial" w:cs="Arial" w:eastAsia="Arial" w:hAnsi="Arial"/>
                <w:sz w:val="14"/>
                <w:szCs w:val="14"/>
                <w:b w:val="1"/>
                <w:bCs w:val="1"/>
                <w:color w:val="auto"/>
              </w:rPr>
              <w:t>Common Stock</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Accumulated</w:t>
            </w: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300" w:type="dxa"/>
            <w:vAlign w:val="bottom"/>
          </w:tcPr>
          <w:p>
            <w:pPr>
              <w:spacing w:after="0"/>
              <w:rPr>
                <w:sz w:val="13"/>
                <w:szCs w:val="13"/>
                <w:color w:val="auto"/>
              </w:rPr>
            </w:pPr>
          </w:p>
        </w:tc>
        <w:tc>
          <w:tcPr>
            <w:tcW w:w="1160" w:type="dxa"/>
            <w:vAlign w:val="bottom"/>
            <w:gridSpan w:val="3"/>
            <w:vMerge w:val="continue"/>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00"/>
              <w:spacing w:after="0" w:line="158" w:lineRule="exact"/>
              <w:rPr>
                <w:sz w:val="20"/>
                <w:szCs w:val="20"/>
                <w:color w:val="auto"/>
              </w:rPr>
            </w:pPr>
            <w:r>
              <w:rPr>
                <w:rFonts w:ascii="Arial" w:cs="Arial" w:eastAsia="Arial" w:hAnsi="Arial"/>
                <w:sz w:val="14"/>
                <w:szCs w:val="14"/>
                <w:b w:val="1"/>
                <w:bCs w:val="1"/>
                <w:color w:val="auto"/>
                <w:w w:val="94"/>
              </w:rPr>
              <w:t>Floating Rate</w:t>
            </w:r>
          </w:p>
        </w:tc>
        <w:tc>
          <w:tcPr>
            <w:tcW w:w="100" w:type="dxa"/>
            <w:vAlign w:val="bottom"/>
          </w:tcPr>
          <w:p>
            <w:pPr>
              <w:spacing w:after="0"/>
              <w:rPr>
                <w:sz w:val="13"/>
                <w:szCs w:val="13"/>
                <w:color w:val="auto"/>
              </w:rPr>
            </w:pPr>
          </w:p>
        </w:tc>
        <w:tc>
          <w:tcPr>
            <w:tcW w:w="1080" w:type="dxa"/>
            <w:vAlign w:val="bottom"/>
            <w:gridSpan w:val="2"/>
          </w:tcPr>
          <w:p>
            <w:pPr>
              <w:jc w:val="center"/>
              <w:ind w:right="240"/>
              <w:spacing w:after="0" w:line="158" w:lineRule="exact"/>
              <w:rPr>
                <w:sz w:val="20"/>
                <w:szCs w:val="20"/>
                <w:color w:val="auto"/>
              </w:rPr>
            </w:pPr>
            <w:r>
              <w:rPr>
                <w:rFonts w:ascii="Arial" w:cs="Arial" w:eastAsia="Arial" w:hAnsi="Arial"/>
                <w:sz w:val="14"/>
                <w:szCs w:val="14"/>
                <w:b w:val="1"/>
                <w:bCs w:val="1"/>
                <w:color w:val="auto"/>
                <w:w w:val="94"/>
              </w:rPr>
              <w:t>Floating Rate</w:t>
            </w:r>
          </w:p>
        </w:tc>
        <w:tc>
          <w:tcPr>
            <w:tcW w:w="1580" w:type="dxa"/>
            <w:vAlign w:val="bottom"/>
            <w:gridSpan w:val="5"/>
            <w:vMerge w:val="continue"/>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2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B Cumulative</w:t>
            </w:r>
          </w:p>
        </w:tc>
        <w:tc>
          <w:tcPr>
            <w:tcW w:w="100" w:type="dxa"/>
            <w:vAlign w:val="bottom"/>
          </w:tcPr>
          <w:p>
            <w:pPr>
              <w:spacing w:after="0"/>
              <w:rPr>
                <w:sz w:val="10"/>
                <w:szCs w:val="10"/>
                <w:color w:val="auto"/>
              </w:rPr>
            </w:pPr>
          </w:p>
        </w:tc>
        <w:tc>
          <w:tcPr>
            <w:tcW w:w="1080" w:type="dxa"/>
            <w:vAlign w:val="bottom"/>
            <w:gridSpan w:val="2"/>
          </w:tcPr>
          <w:p>
            <w:pPr>
              <w:jc w:val="center"/>
              <w:ind w:right="200"/>
              <w:spacing w:after="0" w:line="119" w:lineRule="exact"/>
              <w:rPr>
                <w:sz w:val="20"/>
                <w:szCs w:val="20"/>
                <w:color w:val="auto"/>
              </w:rPr>
            </w:pPr>
            <w:r>
              <w:rPr>
                <w:rFonts w:ascii="Arial" w:cs="Arial" w:eastAsia="Arial" w:hAnsi="Arial"/>
                <w:sz w:val="13"/>
                <w:szCs w:val="13"/>
                <w:b w:val="1"/>
                <w:bCs w:val="1"/>
                <w:color w:val="auto"/>
              </w:rPr>
              <w:t>Cumulative</w:t>
            </w:r>
          </w:p>
        </w:tc>
        <w:tc>
          <w:tcPr>
            <w:tcW w:w="100" w:type="dxa"/>
            <w:vAlign w:val="bottom"/>
          </w:tcPr>
          <w:p>
            <w:pPr>
              <w:spacing w:after="0"/>
              <w:rPr>
                <w:sz w:val="10"/>
                <w:szCs w:val="10"/>
                <w:color w:val="auto"/>
              </w:rPr>
            </w:pPr>
          </w:p>
        </w:tc>
        <w:tc>
          <w:tcPr>
            <w:tcW w:w="108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rPr>
              <w:t>Cumulative</w:t>
            </w:r>
          </w:p>
        </w:tc>
        <w:tc>
          <w:tcPr>
            <w:tcW w:w="70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40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Additional</w:t>
            </w:r>
          </w:p>
        </w:tc>
        <w:tc>
          <w:tcPr>
            <w:tcW w:w="100" w:type="dxa"/>
            <w:vAlign w:val="bottom"/>
          </w:tcPr>
          <w:p>
            <w:pPr>
              <w:spacing w:after="0"/>
              <w:rPr>
                <w:sz w:val="10"/>
                <w:szCs w:val="10"/>
                <w:color w:val="auto"/>
              </w:rPr>
            </w:pPr>
          </w:p>
        </w:tc>
        <w:tc>
          <w:tcPr>
            <w:tcW w:w="7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Retained</w:t>
            </w:r>
          </w:p>
        </w:tc>
        <w:tc>
          <w:tcPr>
            <w:tcW w:w="120" w:type="dxa"/>
            <w:vAlign w:val="bottom"/>
          </w:tcPr>
          <w:p>
            <w:pPr>
              <w:spacing w:after="0"/>
              <w:rPr>
                <w:sz w:val="10"/>
                <w:szCs w:val="10"/>
                <w:color w:val="auto"/>
              </w:rPr>
            </w:pPr>
          </w:p>
        </w:tc>
        <w:tc>
          <w:tcPr>
            <w:tcW w:w="122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Other</w:t>
            </w:r>
          </w:p>
        </w:tc>
        <w:tc>
          <w:tcPr>
            <w:tcW w:w="1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Redeemable</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Redeemable</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Redeemable</w:t>
            </w:r>
          </w:p>
        </w:tc>
        <w:tc>
          <w:tcPr>
            <w:tcW w:w="7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rPr>
              <w:t>Shares</w:t>
            </w:r>
          </w:p>
        </w:tc>
        <w:tc>
          <w:tcPr>
            <w:tcW w:w="100" w:type="dxa"/>
            <w:vAlign w:val="bottom"/>
            <w:vMerge w:val="restart"/>
          </w:tcPr>
          <w:p>
            <w:pPr>
              <w:spacing w:after="0"/>
              <w:rPr>
                <w:sz w:val="12"/>
                <w:szCs w:val="12"/>
                <w:color w:val="auto"/>
              </w:rPr>
            </w:pPr>
          </w:p>
        </w:tc>
        <w:tc>
          <w:tcPr>
            <w:tcW w:w="66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2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Paid-in</w:t>
            </w:r>
          </w:p>
        </w:tc>
        <w:tc>
          <w:tcPr>
            <w:tcW w:w="10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160" w:type="dxa"/>
            <w:vAlign w:val="bottom"/>
          </w:tcPr>
          <w:p>
            <w:pPr>
              <w:spacing w:after="0"/>
              <w:rPr>
                <w:sz w:val="12"/>
                <w:szCs w:val="12"/>
                <w:color w:val="auto"/>
              </w:rPr>
            </w:pPr>
          </w:p>
        </w:tc>
        <w:tc>
          <w:tcPr>
            <w:tcW w:w="62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3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Preferred Stock</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Preferred Stock</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Preferred Stock</w:t>
            </w:r>
          </w:p>
        </w:tc>
        <w:tc>
          <w:tcPr>
            <w:tcW w:w="12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66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4"/>
              </w:rPr>
              <w:t>Capital</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Deficit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2"/>
              </w:rPr>
              <w:t>Income (Loss)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23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December 31, 2017</w:t>
            </w: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391.3</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11,173</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(2,562)</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8,754</w:t>
            </w:r>
          </w:p>
        </w:tc>
        <w:tc>
          <w:tcPr>
            <w:tcW w:w="0" w:type="dxa"/>
            <w:vAlign w:val="bottom"/>
          </w:tcPr>
          <w:p>
            <w:pPr>
              <w:spacing w:after="0"/>
              <w:rPr>
                <w:sz w:val="1"/>
                <w:szCs w:val="1"/>
                <w:color w:val="auto"/>
              </w:rPr>
            </w:pPr>
          </w:p>
        </w:tc>
      </w:tr>
      <w:tr>
        <w:trPr>
          <w:trHeight w:val="264"/>
        </w:trPr>
        <w:tc>
          <w:tcPr>
            <w:tcW w:w="2300" w:type="dxa"/>
            <w:vAlign w:val="bottom"/>
          </w:tcPr>
          <w:p>
            <w:pPr>
              <w:ind w:left="200"/>
              <w:spacing w:after="0"/>
              <w:rPr>
                <w:sz w:val="20"/>
                <w:szCs w:val="20"/>
                <w:color w:val="auto"/>
              </w:rPr>
            </w:pPr>
            <w:r>
              <w:rPr>
                <w:rFonts w:ascii="Arial" w:cs="Arial" w:eastAsia="Arial" w:hAnsi="Arial"/>
                <w:sz w:val="14"/>
                <w:szCs w:val="14"/>
                <w:color w:val="auto"/>
              </w:rPr>
              <w:t>Net income</w:t>
            </w:r>
          </w:p>
        </w:tc>
        <w:tc>
          <w:tcPr>
            <w:tcW w:w="100" w:type="dxa"/>
            <w:vAlign w:val="bottom"/>
          </w:tcPr>
          <w:p>
            <w:pPr>
              <w:spacing w:after="0"/>
              <w:rPr>
                <w:sz w:val="22"/>
                <w:szCs w:val="22"/>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424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424</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loss:</w:t>
            </w: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2300" w:type="dxa"/>
            <w:vAlign w:val="bottom"/>
          </w:tcPr>
          <w:p>
            <w:pPr>
              <w:ind w:left="380"/>
              <w:spacing w:after="0" w:line="157" w:lineRule="exact"/>
              <w:rPr>
                <w:sz w:val="20"/>
                <w:szCs w:val="20"/>
                <w:color w:val="auto"/>
              </w:rPr>
            </w:pPr>
            <w:r>
              <w:rPr>
                <w:rFonts w:ascii="Arial" w:cs="Arial" w:eastAsia="Arial" w:hAnsi="Arial"/>
                <w:sz w:val="14"/>
                <w:szCs w:val="14"/>
                <w:color w:val="auto"/>
              </w:rPr>
              <w:t>Unrealized loss on available-</w:t>
            </w: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300" w:type="dxa"/>
            <w:vAlign w:val="bottom"/>
          </w:tcPr>
          <w:p>
            <w:pPr>
              <w:ind w:left="380"/>
              <w:spacing w:after="0"/>
              <w:rPr>
                <w:sz w:val="20"/>
                <w:szCs w:val="20"/>
                <w:color w:val="auto"/>
              </w:rPr>
            </w:pPr>
            <w:r>
              <w:rPr>
                <w:rFonts w:ascii="Arial" w:cs="Arial" w:eastAsia="Arial" w:hAnsi="Arial"/>
                <w:sz w:val="14"/>
                <w:szCs w:val="14"/>
                <w:color w:val="auto"/>
              </w:rPr>
              <w:t>for-sale securities, net</w:t>
            </w:r>
          </w:p>
        </w:tc>
        <w:tc>
          <w:tcPr>
            <w:tcW w:w="100" w:type="dxa"/>
            <w:vAlign w:val="bottom"/>
          </w:tcPr>
          <w:p>
            <w:pPr>
              <w:spacing w:after="0"/>
              <w:rPr>
                <w:sz w:val="16"/>
                <w:szCs w:val="16"/>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(621)</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(621)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Stock-based compensation</w:t>
            </w:r>
          </w:p>
        </w:tc>
        <w:tc>
          <w:tcPr>
            <w:tcW w:w="10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64"/>
        </w:trPr>
        <w:tc>
          <w:tcPr>
            <w:tcW w:w="2300" w:type="dxa"/>
            <w:vAlign w:val="bottom"/>
          </w:tcPr>
          <w:p>
            <w:pPr>
              <w:ind w:left="540"/>
              <w:spacing w:after="0"/>
              <w:rPr>
                <w:sz w:val="20"/>
                <w:szCs w:val="20"/>
                <w:color w:val="auto"/>
              </w:rPr>
            </w:pPr>
            <w:r>
              <w:rPr>
                <w:rFonts w:ascii="Arial" w:cs="Arial" w:eastAsia="Arial" w:hAnsi="Arial"/>
                <w:sz w:val="14"/>
                <w:szCs w:val="14"/>
                <w:color w:val="auto"/>
                <w:w w:val="97"/>
              </w:rPr>
              <w:t>Preferred dividends declared</w:t>
            </w:r>
          </w:p>
        </w:tc>
        <w:tc>
          <w:tcPr>
            <w:tcW w:w="100" w:type="dxa"/>
            <w:vAlign w:val="bottom"/>
          </w:tcPr>
          <w:p>
            <w:pPr>
              <w:spacing w:after="0"/>
              <w:rPr>
                <w:sz w:val="22"/>
                <w:szCs w:val="22"/>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70"/>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w w:val="98"/>
              </w:rPr>
              <w:t>Common dividends declared</w:t>
            </w:r>
          </w:p>
        </w:tc>
        <w:tc>
          <w:tcPr>
            <w:tcW w:w="10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0" w:type="dxa"/>
            <w:vAlign w:val="bottom"/>
          </w:tcPr>
          <w:p>
            <w:pPr>
              <w:spacing w:after="0"/>
              <w:rPr>
                <w:sz w:val="1"/>
                <w:szCs w:val="1"/>
                <w:color w:val="auto"/>
              </w:rPr>
            </w:pPr>
          </w:p>
        </w:tc>
      </w:tr>
      <w:tr>
        <w:trPr>
          <w:trHeight w:val="283"/>
        </w:trPr>
        <w:tc>
          <w:tcPr>
            <w:tcW w:w="2300" w:type="dxa"/>
            <w:vAlign w:val="bottom"/>
          </w:tcPr>
          <w:p>
            <w:pPr>
              <w:ind w:left="40"/>
              <w:spacing w:after="0"/>
              <w:rPr>
                <w:sz w:val="20"/>
                <w:szCs w:val="20"/>
                <w:color w:val="auto"/>
              </w:rPr>
            </w:pPr>
            <w:r>
              <w:rPr>
                <w:rFonts w:ascii="Arial" w:cs="Arial" w:eastAsia="Arial" w:hAnsi="Arial"/>
                <w:sz w:val="14"/>
                <w:szCs w:val="14"/>
                <w:b w:val="1"/>
                <w:bCs w:val="1"/>
                <w:color w:val="auto"/>
              </w:rPr>
              <w:t>Balance, March 31, 2018</w:t>
            </w:r>
          </w:p>
        </w:tc>
        <w:tc>
          <w:tcPr>
            <w:tcW w:w="100" w:type="dxa"/>
            <w:vAlign w:val="bottom"/>
          </w:tcPr>
          <w:p>
            <w:pPr>
              <w:ind w:left="2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391.3</w:t>
            </w:r>
          </w:p>
        </w:tc>
        <w:tc>
          <w:tcPr>
            <w:tcW w:w="100" w:type="dxa"/>
            <w:vAlign w:val="bottom"/>
          </w:tcPr>
          <w:p>
            <w:pPr>
              <w:spacing w:after="0"/>
              <w:rPr>
                <w:sz w:val="24"/>
                <w:szCs w:val="24"/>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11,174</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(2,358)</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(966)</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8,338</w:t>
            </w:r>
          </w:p>
        </w:tc>
        <w:tc>
          <w:tcPr>
            <w:tcW w:w="0" w:type="dxa"/>
            <w:vAlign w:val="bottom"/>
          </w:tcPr>
          <w:p>
            <w:pPr>
              <w:spacing w:after="0"/>
              <w:rPr>
                <w:sz w:val="1"/>
                <w:szCs w:val="1"/>
                <w:color w:val="auto"/>
              </w:rPr>
            </w:pPr>
          </w:p>
        </w:tc>
      </w:tr>
      <w:tr>
        <w:trPr>
          <w:trHeight w:val="278"/>
        </w:trPr>
        <w:tc>
          <w:tcPr>
            <w:tcW w:w="230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94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96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96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70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260" w:type="dxa"/>
            <w:vAlign w:val="bottom"/>
            <w:tcBorders>
              <w:top w:val="single" w:sz="8" w:color="auto"/>
            </w:tcBorders>
            <w:shd w:val="clear" w:color="auto" w:fill="CCEEFF"/>
          </w:tcPr>
          <w:p>
            <w:pPr>
              <w:spacing w:after="0"/>
              <w:rPr>
                <w:sz w:val="24"/>
                <w:szCs w:val="24"/>
                <w:color w:val="auto"/>
              </w:rPr>
            </w:pPr>
          </w:p>
        </w:tc>
        <w:tc>
          <w:tcPr>
            <w:tcW w:w="40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78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68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11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60" w:type="dxa"/>
            <w:vAlign w:val="bottom"/>
            <w:tcBorders>
              <w:top w:val="single" w:sz="8" w:color="auto"/>
            </w:tcBorders>
            <w:shd w:val="clear" w:color="auto" w:fill="CCEEFF"/>
          </w:tcPr>
          <w:p>
            <w:pPr>
              <w:spacing w:after="0"/>
              <w:rPr>
                <w:sz w:val="24"/>
                <w:szCs w:val="24"/>
                <w:color w:val="auto"/>
              </w:rPr>
            </w:pPr>
          </w:p>
        </w:tc>
        <w:tc>
          <w:tcPr>
            <w:tcW w:w="62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00" w:type="dxa"/>
            <w:vAlign w:val="bottom"/>
          </w:tcPr>
          <w:p>
            <w:pPr>
              <w:ind w:left="40"/>
              <w:spacing w:after="0"/>
              <w:rPr>
                <w:sz w:val="20"/>
                <w:szCs w:val="20"/>
                <w:color w:val="auto"/>
              </w:rPr>
            </w:pPr>
            <w:r>
              <w:rPr>
                <w:rFonts w:ascii="Arial" w:cs="Arial" w:eastAsia="Arial" w:hAnsi="Arial"/>
                <w:sz w:val="14"/>
                <w:szCs w:val="14"/>
                <w:b w:val="1"/>
                <w:bCs w:val="1"/>
                <w:color w:val="auto"/>
              </w:rPr>
              <w:t>Balance, December 31, 2018</w:t>
            </w:r>
          </w:p>
        </w:tc>
        <w:tc>
          <w:tcPr>
            <w:tcW w:w="100" w:type="dxa"/>
            <w:vAlign w:val="bottom"/>
          </w:tcPr>
          <w:p>
            <w:pPr>
              <w:ind w:left="2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536.3</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tcPr>
          <w:p>
            <w:pPr>
              <w:jc w:val="right"/>
              <w:ind w:right="2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13,793</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(3,433)</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(943)</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9,906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Net income</w:t>
            </w:r>
          </w:p>
        </w:tc>
        <w:tc>
          <w:tcPr>
            <w:tcW w:w="10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265</w:t>
            </w:r>
          </w:p>
        </w:tc>
        <w:tc>
          <w:tcPr>
            <w:tcW w:w="0" w:type="dxa"/>
            <w:vAlign w:val="bottom"/>
          </w:tcPr>
          <w:p>
            <w:pPr>
              <w:spacing w:after="0"/>
              <w:rPr>
                <w:sz w:val="1"/>
                <w:szCs w:val="1"/>
                <w:color w:val="auto"/>
              </w:rPr>
            </w:pPr>
          </w:p>
        </w:tc>
      </w:tr>
      <w:tr>
        <w:trPr>
          <w:trHeight w:val="264"/>
        </w:trPr>
        <w:tc>
          <w:tcPr>
            <w:tcW w:w="2300" w:type="dxa"/>
            <w:vAlign w:val="bottom"/>
          </w:tcPr>
          <w:p>
            <w:pPr>
              <w:ind w:left="200"/>
              <w:spacing w:after="0"/>
              <w:rPr>
                <w:sz w:val="20"/>
                <w:szCs w:val="20"/>
                <w:color w:val="auto"/>
              </w:rPr>
            </w:pPr>
            <w:r>
              <w:rPr>
                <w:rFonts w:ascii="Arial" w:cs="Arial" w:eastAsia="Arial" w:hAnsi="Arial"/>
                <w:sz w:val="14"/>
                <w:szCs w:val="14"/>
                <w:color w:val="auto"/>
              </w:rPr>
              <w:t>Other comprehensive income:</w:t>
            </w: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Unrealized gain on available-</w:t>
            </w: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for-sale securities, net</w:t>
            </w:r>
          </w:p>
        </w:tc>
        <w:tc>
          <w:tcPr>
            <w:tcW w:w="10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400</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400</w:t>
            </w:r>
          </w:p>
        </w:tc>
        <w:tc>
          <w:tcPr>
            <w:tcW w:w="0" w:type="dxa"/>
            <w:vAlign w:val="bottom"/>
          </w:tcPr>
          <w:p>
            <w:pPr>
              <w:spacing w:after="0"/>
              <w:rPr>
                <w:sz w:val="1"/>
                <w:szCs w:val="1"/>
                <w:color w:val="auto"/>
              </w:rPr>
            </w:pPr>
          </w:p>
        </w:tc>
      </w:tr>
      <w:tr>
        <w:trPr>
          <w:trHeight w:val="264"/>
        </w:trPr>
        <w:tc>
          <w:tcPr>
            <w:tcW w:w="2300" w:type="dxa"/>
            <w:vAlign w:val="bottom"/>
          </w:tcPr>
          <w:p>
            <w:pPr>
              <w:ind w:left="540"/>
              <w:spacing w:after="0"/>
              <w:rPr>
                <w:sz w:val="20"/>
                <w:szCs w:val="20"/>
                <w:color w:val="auto"/>
              </w:rPr>
            </w:pPr>
            <w:r>
              <w:rPr>
                <w:rFonts w:ascii="Arial" w:cs="Arial" w:eastAsia="Arial" w:hAnsi="Arial"/>
                <w:sz w:val="14"/>
                <w:szCs w:val="14"/>
                <w:color w:val="auto"/>
              </w:rPr>
              <w:t>Stock-based compensation</w:t>
            </w:r>
          </w:p>
        </w:tc>
        <w:tc>
          <w:tcPr>
            <w:tcW w:w="100" w:type="dxa"/>
            <w:vAlign w:val="bottom"/>
          </w:tcPr>
          <w:p>
            <w:pPr>
              <w:spacing w:after="0"/>
              <w:rPr>
                <w:sz w:val="22"/>
                <w:szCs w:val="22"/>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Issuance of preferred stock</w:t>
            </w:r>
          </w:p>
        </w:tc>
        <w:tc>
          <w:tcPr>
            <w:tcW w:w="10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227</w:t>
            </w:r>
          </w:p>
        </w:tc>
        <w:tc>
          <w:tcPr>
            <w:tcW w:w="12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227</w:t>
            </w:r>
          </w:p>
        </w:tc>
        <w:tc>
          <w:tcPr>
            <w:tcW w:w="0" w:type="dxa"/>
            <w:vAlign w:val="bottom"/>
          </w:tcPr>
          <w:p>
            <w:pPr>
              <w:spacing w:after="0"/>
              <w:rPr>
                <w:sz w:val="1"/>
                <w:szCs w:val="1"/>
                <w:color w:val="auto"/>
              </w:rPr>
            </w:pPr>
          </w:p>
        </w:tc>
      </w:tr>
      <w:tr>
        <w:trPr>
          <w:trHeight w:val="264"/>
        </w:trPr>
        <w:tc>
          <w:tcPr>
            <w:tcW w:w="2300" w:type="dxa"/>
            <w:vAlign w:val="bottom"/>
          </w:tcPr>
          <w:p>
            <w:pPr>
              <w:ind w:left="540"/>
              <w:spacing w:after="0"/>
              <w:rPr>
                <w:sz w:val="20"/>
                <w:szCs w:val="20"/>
                <w:color w:val="auto"/>
              </w:rPr>
            </w:pPr>
            <w:r>
              <w:rPr>
                <w:rFonts w:ascii="Arial" w:cs="Arial" w:eastAsia="Arial" w:hAnsi="Arial"/>
                <w:sz w:val="14"/>
                <w:szCs w:val="14"/>
                <w:color w:val="auto"/>
                <w:w w:val="97"/>
              </w:rPr>
              <w:t>Preferred dividends declared</w:t>
            </w:r>
          </w:p>
        </w:tc>
        <w:tc>
          <w:tcPr>
            <w:tcW w:w="100" w:type="dxa"/>
            <w:vAlign w:val="bottom"/>
          </w:tcPr>
          <w:p>
            <w:pPr>
              <w:spacing w:after="0"/>
              <w:rPr>
                <w:sz w:val="22"/>
                <w:szCs w:val="22"/>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70"/>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w w:val="98"/>
              </w:rPr>
              <w:t>Common dividends declared</w:t>
            </w:r>
          </w:p>
        </w:tc>
        <w:tc>
          <w:tcPr>
            <w:tcW w:w="100" w:type="dxa"/>
            <w:vAlign w:val="bottom"/>
            <w:shd w:val="clear" w:color="auto" w:fill="CCEEFF"/>
          </w:tcPr>
          <w:p>
            <w:pPr>
              <w:spacing w:after="0"/>
              <w:rPr>
                <w:sz w:val="23"/>
                <w:szCs w:val="23"/>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3"/>
                <w:szCs w:val="23"/>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(289)</w:t>
            </w:r>
          </w:p>
        </w:tc>
        <w:tc>
          <w:tcPr>
            <w:tcW w:w="0" w:type="dxa"/>
            <w:vAlign w:val="bottom"/>
          </w:tcPr>
          <w:p>
            <w:pPr>
              <w:spacing w:after="0"/>
              <w:rPr>
                <w:sz w:val="1"/>
                <w:szCs w:val="1"/>
                <w:color w:val="auto"/>
              </w:rPr>
            </w:pPr>
          </w:p>
        </w:tc>
      </w:tr>
      <w:tr>
        <w:trPr>
          <w:trHeight w:val="243"/>
        </w:trPr>
        <w:tc>
          <w:tcPr>
            <w:tcW w:w="2300" w:type="dxa"/>
            <w:vAlign w:val="bottom"/>
          </w:tcPr>
          <w:p>
            <w:pPr>
              <w:ind w:left="40"/>
              <w:spacing w:after="0"/>
              <w:rPr>
                <w:sz w:val="20"/>
                <w:szCs w:val="20"/>
                <w:color w:val="auto"/>
              </w:rPr>
            </w:pPr>
            <w:r>
              <w:rPr>
                <w:rFonts w:ascii="Arial" w:cs="Arial" w:eastAsia="Arial" w:hAnsi="Arial"/>
                <w:sz w:val="14"/>
                <w:szCs w:val="14"/>
                <w:b w:val="1"/>
                <w:bCs w:val="1"/>
                <w:color w:val="auto"/>
              </w:rPr>
              <w:t>Balance, March 31, 2019</w:t>
            </w: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227</w:t>
            </w:r>
          </w:p>
        </w:tc>
        <w:tc>
          <w:tcPr>
            <w:tcW w:w="120" w:type="dxa"/>
            <w:vAlign w:val="bottom"/>
          </w:tcPr>
          <w:p>
            <w:pPr>
              <w:spacing w:after="0"/>
              <w:rPr>
                <w:sz w:val="21"/>
                <w:szCs w:val="21"/>
                <w:color w:val="auto"/>
              </w:rPr>
            </w:pPr>
          </w:p>
        </w:tc>
        <w:tc>
          <w:tcPr>
            <w:tcW w:w="7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536.3</w:t>
            </w: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13,795</w:t>
            </w:r>
          </w:p>
        </w:tc>
        <w:tc>
          <w:tcPr>
            <w:tcW w:w="120" w:type="dxa"/>
            <w:vAlign w:val="bottom"/>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(3,467)</w:t>
            </w:r>
          </w:p>
        </w:tc>
        <w:tc>
          <w:tcPr>
            <w:tcW w:w="1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(543)</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10,501</w:t>
            </w: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364" w:right="25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20" w:type="dxa"/>
            <w:vAlign w:val="bottom"/>
          </w:tcPr>
          <w:p>
            <w:pPr>
              <w:spacing w:after="0"/>
              <w:rPr>
                <w:sz w:val="16"/>
                <w:szCs w:val="16"/>
                <w:color w:val="auto"/>
              </w:rPr>
            </w:pPr>
          </w:p>
        </w:tc>
        <w:tc>
          <w:tcPr>
            <w:tcW w:w="214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8"/>
              </w:rPr>
              <w:t>Three Months Ended March 31,</w:t>
            </w:r>
          </w:p>
        </w:tc>
      </w:tr>
      <w:tr>
        <w:trPr>
          <w:trHeight w:val="264"/>
        </w:trPr>
        <w:tc>
          <w:tcPr>
            <w:tcW w:w="8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2018</w:t>
            </w: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Operating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37"/>
        </w:trPr>
        <w:tc>
          <w:tcPr>
            <w:tcW w:w="812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265</w:t>
            </w:r>
          </w:p>
        </w:tc>
        <w:tc>
          <w:tcPr>
            <w:tcW w:w="100" w:type="dxa"/>
            <w:vAlign w:val="bottom"/>
          </w:tcPr>
          <w:p>
            <w:pPr>
              <w:spacing w:after="0"/>
              <w:rPr>
                <w:sz w:val="20"/>
                <w:szCs w:val="20"/>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424</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Amortization of premiums and discounts on mortgage-backed securities, net</w:t>
            </w: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142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69</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Amortization of intangible assets</w:t>
            </w: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Stock-based compensation</w:t>
            </w: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(Gain) loss on sale of investment securities, net</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Unrealized (gain) loss on investment securities measured at fair value through net income, net</w:t>
            </w: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(1,060)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523</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(Gain) loss on derivative instruments and other securities, net</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(738)</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(Increase) decrease in other assets</w:t>
            </w: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in accounts payable and other accrued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w:t>
            </w:r>
          </w:p>
        </w:tc>
      </w:tr>
      <w:tr>
        <w:trPr>
          <w:trHeight w:val="217"/>
        </w:trPr>
        <w:tc>
          <w:tcPr>
            <w:tcW w:w="8120" w:type="dxa"/>
            <w:vAlign w:val="bottom"/>
          </w:tcPr>
          <w:p>
            <w:pPr>
              <w:ind w:left="40"/>
              <w:spacing w:after="0"/>
              <w:rPr>
                <w:sz w:val="20"/>
                <w:szCs w:val="20"/>
                <w:color w:val="auto"/>
              </w:rPr>
            </w:pPr>
            <w:r>
              <w:rPr>
                <w:rFonts w:ascii="Arial" w:cs="Arial" w:eastAsia="Arial" w:hAnsi="Arial"/>
                <w:sz w:val="16"/>
                <w:szCs w:val="16"/>
                <w:color w:val="auto"/>
              </w:rPr>
              <w:t>Net cash provided by operating activities</w:t>
            </w: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329</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288</w:t>
            </w:r>
          </w:p>
        </w:tc>
      </w:tr>
      <w:tr>
        <w:trPr>
          <w:trHeight w:val="33"/>
        </w:trPr>
        <w:tc>
          <w:tcPr>
            <w:tcW w:w="8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Investing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Purchases of Agency mortgage-backed securities</w:t>
            </w: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(16,038)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(2,287)</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credit risk transfer and non-Agency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(215)</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Proceeds from sale of Agency mortgage-backed securities</w:t>
            </w: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4,694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1,181</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sale of credit risk transfer and non-Agency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208</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Principal collections on Agency mortgage-backed securities</w:t>
            </w: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1,889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1,661</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Principal collections on credit risk transfer and non-Agency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Payments on U.S. Treasury securities</w:t>
            </w: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(7,550)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(1,345)</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U.S. Treasury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5,103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1,403</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Net proceeds from reverse repurchase agreements</w:t>
            </w: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1,526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231</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(payments on) derivative instruments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466</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Net payments on other investing activity</w:t>
            </w:r>
          </w:p>
        </w:tc>
        <w:tc>
          <w:tcPr>
            <w:tcW w:w="220" w:type="dxa"/>
            <w:vAlign w:val="bottom"/>
          </w:tcPr>
          <w:p>
            <w:pPr>
              <w:spacing w:after="0"/>
              <w:rPr>
                <w:sz w:val="20"/>
                <w:szCs w:val="20"/>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(16)</w:t>
            </w:r>
          </w:p>
        </w:tc>
      </w:tr>
      <w:tr>
        <w:trPr>
          <w:trHeight w:val="33"/>
        </w:trPr>
        <w:tc>
          <w:tcPr>
            <w:tcW w:w="8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cash (used in) provided by investing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(11,287)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1,287</w:t>
            </w:r>
          </w:p>
        </w:tc>
      </w:tr>
      <w:tr>
        <w:trPr>
          <w:trHeight w:val="231"/>
        </w:trPr>
        <w:tc>
          <w:tcPr>
            <w:tcW w:w="8120" w:type="dxa"/>
            <w:vAlign w:val="bottom"/>
          </w:tcPr>
          <w:p>
            <w:pPr>
              <w:ind w:left="40"/>
              <w:spacing w:after="0"/>
              <w:rPr>
                <w:sz w:val="20"/>
                <w:szCs w:val="20"/>
                <w:color w:val="auto"/>
              </w:rPr>
            </w:pPr>
            <w:r>
              <w:rPr>
                <w:rFonts w:ascii="Arial" w:cs="Arial" w:eastAsia="Arial" w:hAnsi="Arial"/>
                <w:sz w:val="16"/>
                <w:szCs w:val="16"/>
                <w:b w:val="1"/>
                <w:bCs w:val="1"/>
                <w:color w:val="auto"/>
              </w:rPr>
              <w:t>Financing activities:</w:t>
            </w: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repurchase arrangements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930,289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243,168</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Payments on repurchase agreements</w:t>
            </w: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(919,321)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(244,507)</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Payments on debt of consolidated variable interest entities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w:t>
            </w:r>
          </w:p>
        </w:tc>
      </w:tr>
      <w:tr>
        <w:trPr>
          <w:trHeight w:val="237"/>
        </w:trPr>
        <w:tc>
          <w:tcPr>
            <w:tcW w:w="8120" w:type="dxa"/>
            <w:vAlign w:val="bottom"/>
          </w:tcPr>
          <w:p>
            <w:pPr>
              <w:ind w:left="380"/>
              <w:spacing w:after="0"/>
              <w:rPr>
                <w:sz w:val="20"/>
                <w:szCs w:val="20"/>
                <w:color w:val="auto"/>
              </w:rPr>
            </w:pPr>
            <w:r>
              <w:rPr>
                <w:rFonts w:ascii="Arial" w:cs="Arial" w:eastAsia="Arial" w:hAnsi="Arial"/>
                <w:sz w:val="16"/>
                <w:szCs w:val="16"/>
                <w:color w:val="auto"/>
              </w:rPr>
              <w:t>Net proceeds from preferred stock issuance</w:t>
            </w: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227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Cash dividends paid</w:t>
            </w: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(220)</w:t>
            </w:r>
          </w:p>
        </w:tc>
      </w:tr>
      <w:tr>
        <w:trPr>
          <w:trHeight w:val="217"/>
        </w:trPr>
        <w:tc>
          <w:tcPr>
            <w:tcW w:w="8120" w:type="dxa"/>
            <w:vAlign w:val="bottom"/>
          </w:tcPr>
          <w:p>
            <w:pPr>
              <w:ind w:left="40"/>
              <w:spacing w:after="0"/>
              <w:rPr>
                <w:sz w:val="20"/>
                <w:szCs w:val="20"/>
                <w:color w:val="auto"/>
              </w:rPr>
            </w:pPr>
            <w:r>
              <w:rPr>
                <w:rFonts w:ascii="Arial" w:cs="Arial" w:eastAsia="Arial" w:hAnsi="Arial"/>
                <w:sz w:val="16"/>
                <w:szCs w:val="16"/>
                <w:color w:val="auto"/>
              </w:rPr>
              <w:t>Net cash (used in) provided by financing activities</w:t>
            </w: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10,884</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(1,580)</w:t>
            </w:r>
          </w:p>
        </w:tc>
      </w:tr>
      <w:tr>
        <w:trPr>
          <w:trHeight w:val="33"/>
        </w:trPr>
        <w:tc>
          <w:tcPr>
            <w:tcW w:w="8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change in cash, cash equivalents and restricted cash</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w:t>
            </w:r>
          </w:p>
        </w:tc>
      </w:tr>
      <w:tr>
        <w:trPr>
          <w:trHeight w:val="237"/>
        </w:trPr>
        <w:tc>
          <w:tcPr>
            <w:tcW w:w="8120" w:type="dxa"/>
            <w:vAlign w:val="bottom"/>
          </w:tcPr>
          <w:p>
            <w:pPr>
              <w:ind w:left="40"/>
              <w:spacing w:after="0"/>
              <w:rPr>
                <w:sz w:val="20"/>
                <w:szCs w:val="20"/>
                <w:color w:val="auto"/>
              </w:rPr>
            </w:pPr>
            <w:r>
              <w:rPr>
                <w:rFonts w:ascii="Arial" w:cs="Arial" w:eastAsia="Arial" w:hAnsi="Arial"/>
                <w:sz w:val="16"/>
                <w:szCs w:val="16"/>
                <w:color w:val="auto"/>
              </w:rPr>
              <w:t>Cash, cash equivalents and restricted cash at beginning of period</w:t>
            </w: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1,520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1,363</w:t>
            </w:r>
          </w:p>
        </w:tc>
      </w:tr>
      <w:tr>
        <w:trPr>
          <w:trHeight w:val="33"/>
        </w:trPr>
        <w:tc>
          <w:tcPr>
            <w:tcW w:w="8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cash equivalents and restricted cash at end of period</w:t>
            </w: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1,446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1,358</w:t>
            </w:r>
          </w:p>
        </w:tc>
      </w:tr>
      <w:tr>
        <w:trPr>
          <w:trHeight w:val="20"/>
        </w:trPr>
        <w:tc>
          <w:tcPr>
            <w:tcW w:w="8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260"/>
          </w:cols>
          <w:pgMar w:left="820" w:top="580" w:right="81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The unaudited interim consolidated financial statements of AGNC Investment Corp. (referred throughout this report as the "Company," "we," "us" and "our") are prepared in accordance with U.S. generally accepted accounting principles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13"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Our unaudited interim consolidated financial statements include the accounts of all of our wholly-owned subsidiaries and variable interest entities for which we are the primary beneficiary. Significant intercompany accounts and transactions have been eliminated.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We are internally-managed, and 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w:t>
      </w:r>
    </w:p>
    <w:p>
      <w:pPr>
        <w:spacing w:after="0" w:line="12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operate to qualify to be taxed as a real estate investment trust ("REIT") under the Internal Revenue Code of 1986, as amended (the "Internal Revenue Code"). As a REIT, we are required to distribute annually 90% of our taxable income. As a REIT, we will generally not be subject to U.S. federal or state corporate taxes on our taxable income to the extent that we distribute our annual taxable income to our stockholders on a timely basis. It is our intention to distribute 100% of our taxable income, after application of available tax attributes, within the limits prescribed by the Internal Revenue Code, which may extend into the subsequent tax year.</w:t>
      </w:r>
    </w:p>
    <w:p>
      <w:pPr>
        <w:spacing w:after="0" w:line="134"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We invest primarily in Agency residential mortgage-backed securities ("Agency RMBS") for which the principal and interest payments are guaranteed by a U.S. Government-sponsored enterprise ("GSE") or a U.S. Government agency. We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and in other investments in, or related to, the housing, mortgage or real estate markets. We fund our investments primarily through borrowings structured as repurchase agreements.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127"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CRT securities are risk sharing instruments issued by the GSEs, and similarly structured transactions issued by third-party market participants, that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offset credit losses on the related loans.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0" w:right="239" w:bottom="1440" w:gutter="0" w:footer="0" w:header="0"/>
        </w:sectPr>
      </w:pPr>
    </w:p>
    <w:bookmarkStart w:id="7" w:name="page8"/>
    <w:bookmarkEnd w:id="7"/>
    <w:p>
      <w:pPr>
        <w:jc w:val="both"/>
        <w:ind w:firstLine="405"/>
        <w:spacing w:after="0" w:line="286" w:lineRule="auto"/>
        <w:rPr>
          <w:sz w:val="20"/>
          <w:szCs w:val="20"/>
          <w:color w:val="auto"/>
        </w:rPr>
      </w:pPr>
      <w:r>
        <w:rPr>
          <w:rFonts w:ascii="Arial" w:cs="Arial" w:eastAsia="Arial" w:hAnsi="Arial"/>
          <w:sz w:val="17"/>
          <w:szCs w:val="17"/>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111" w:lineRule="exact"/>
        <w:rPr>
          <w:sz w:val="20"/>
          <w:szCs w:val="20"/>
          <w:color w:val="auto"/>
        </w:rPr>
      </w:pPr>
    </w:p>
    <w:p>
      <w:pPr>
        <w:jc w:val="both"/>
        <w:ind w:firstLine="432"/>
        <w:spacing w:after="0" w:line="269" w:lineRule="auto"/>
        <w:rPr>
          <w:sz w:val="20"/>
          <w:szCs w:val="20"/>
          <w:color w:val="auto"/>
        </w:rPr>
      </w:pPr>
      <w:r>
        <w:rPr>
          <w:rFonts w:ascii="Arial" w:cs="Arial" w:eastAsia="Arial" w:hAnsi="Arial"/>
          <w:sz w:val="17"/>
          <w:szCs w:val="17"/>
          <w:color w:val="auto"/>
        </w:rPr>
        <w:t xml:space="preserve">All of our securities are reported at fair value on our consolidated balance sheet. Accounting Standards Codification ("ASC") Topic 320, </w:t>
      </w:r>
      <w:r>
        <w:rPr>
          <w:rFonts w:ascii="Arial" w:cs="Arial" w:eastAsia="Arial" w:hAnsi="Arial"/>
          <w:sz w:val="17"/>
          <w:szCs w:val="17"/>
          <w:i w:val="1"/>
          <w:iCs w:val="1"/>
          <w:color w:val="auto"/>
        </w:rPr>
        <w:t>Investments—</w:t>
      </w:r>
      <w:r>
        <w:rPr>
          <w:rFonts w:ascii="Arial" w:cs="Arial" w:eastAsia="Arial" w:hAnsi="Arial"/>
          <w:sz w:val="17"/>
          <w:szCs w:val="17"/>
          <w:color w:val="auto"/>
        </w:rPr>
        <w:t xml:space="preserve"> </w:t>
      </w:r>
      <w:r>
        <w:rPr>
          <w:rFonts w:ascii="Arial" w:cs="Arial" w:eastAsia="Arial" w:hAnsi="Arial"/>
          <w:sz w:val="17"/>
          <w:szCs w:val="17"/>
          <w:i w:val="1"/>
          <w:iCs w:val="1"/>
          <w:color w:val="auto"/>
        </w:rPr>
        <w:t>Debt and Equity Securities</w:t>
      </w:r>
      <w:r>
        <w:rPr>
          <w:rFonts w:ascii="Arial" w:cs="Arial" w:eastAsia="Arial" w:hAnsi="Arial"/>
          <w:sz w:val="17"/>
          <w:szCs w:val="17"/>
          <w:color w:val="auto"/>
        </w:rPr>
        <w:t>, requires that at the time of purchase, we designate a security as held-to-maturity, available-for-sale or trading, depending on our</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ability and intent to hold such security to maturity. Alternatively, we may elect the fair value option of accounting for securities pursuant to ASC Topic 825, </w:t>
      </w:r>
      <w:r>
        <w:rPr>
          <w:rFonts w:ascii="Arial" w:cs="Arial" w:eastAsia="Arial" w:hAnsi="Arial"/>
          <w:sz w:val="17"/>
          <w:szCs w:val="17"/>
          <w:i w:val="1"/>
          <w:iCs w:val="1"/>
          <w:color w:val="auto"/>
        </w:rPr>
        <w:t>Financial Instruments</w:t>
      </w:r>
      <w:r>
        <w:rPr>
          <w:rFonts w:ascii="Arial" w:cs="Arial" w:eastAsia="Arial" w:hAnsi="Arial"/>
          <w:sz w:val="17"/>
          <w:szCs w:val="17"/>
          <w:color w:val="auto"/>
        </w:rPr>
        <w:t>. Prior to fiscal year 2017, we primarily designated our investment securities as available-for-sale. On January 1, 2017, we began</w:t>
      </w:r>
      <w:r>
        <w:rPr>
          <w:rFonts w:ascii="Arial" w:cs="Arial" w:eastAsia="Arial" w:hAnsi="Arial"/>
          <w:sz w:val="17"/>
          <w:szCs w:val="17"/>
          <w:i w:val="1"/>
          <w:iCs w:val="1"/>
          <w:color w:val="auto"/>
        </w:rPr>
        <w:t xml:space="preserve"> </w:t>
      </w:r>
      <w:r>
        <w:rPr>
          <w:rFonts w:ascii="Arial" w:cs="Arial" w:eastAsia="Arial" w:hAnsi="Arial"/>
          <w:sz w:val="17"/>
          <w:szCs w:val="17"/>
          <w:color w:val="auto"/>
        </w:rPr>
        <w:t>electing the fair value option of accounting for all investment securities acquired after fiscal year 2016. Unrealized gains and losses on securities classified as available-for-sale are reported in accumulated other comprehensive income ("OCI"). Unrealized gains and losses on securities for which we elected the fair value option or are classified as trading are reported in net income through other gain (loss) during the period in which they occur. Upon the sale of a security designated as available-for-sale, we determine the cost of the security and the amount of unrealized gains or losses to reclassify out of accumulated OCI into earnings based on the specific identification method. In our view, the election of the fair value option simplifies the accounting for investment securities and more appropriately reflects the results of our operations for a reporting period, as the fair value changes for these assets are presented in a manner consistent with the presentation and timing of the fair value changes of our derivative instruments.</w:t>
      </w:r>
    </w:p>
    <w:p>
      <w:pPr>
        <w:spacing w:after="0" w:line="129"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estimate the fair value of our investment securities based on prices provided by multiple third-party pricing services and non-binding dealer quotes (collectively "pricing sources"). These pricing sources use various valuation approaches, including market and income approaches, using "Level 2" inputs. The pricing sources primarily utilize a matrix pricing technique that interpolates the estimated fair value of our Agency RMBS based on observed quoted prices for forward contracts in the Agency RMBS "to-be-announced" market ("TBA securities") of the same coupon, maturity and issuer, adjusted to reflect the specific characteristics of the pool of mortgages underlying the Agency security, which may include maximum loan balance, loan vintage, loan-to-value ratio, geography and other characteristics as may be appropriate. The pricing sources may also utilize discounted cash flow model-derived pricing techniques to estimate the fair value of investment securities. Such models incorporate market-based discount rate assumptions based on observable inputs such as recent trading activity, credit data, volatility statistics, benchmark interest rate curves and other market data that are current as of the measurement date and may include certain unobservable inputs, such as assumptions of future levels of prepayment, defaults and loss severities. We review the pricing estimates obtained from the pricing sources and perform procedures to validate their reasonableness. Refer to Note 8 for further discussion of fair value measurements.</w:t>
      </w:r>
    </w:p>
    <w:p>
      <w:pPr>
        <w:spacing w:after="0" w:line="115"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evaluate our investments designated as available-for-sale for other-than-temporary impairment ("OTTI") on at least a quarterly basis. The determination of whether a security is other-than-temporarily impaired may involve judgments and assumptions based on subjective and objective factors. When a security is impaired, an OTTI is considered to have occurred if any one of the following three conditions exists as of the financial reporting date:</w:t>
      </w:r>
    </w:p>
    <w:p>
      <w:pPr>
        <w:jc w:val="both"/>
        <w:ind w:firstLine="8"/>
        <w:spacing w:after="0" w:line="254" w:lineRule="auto"/>
        <w:tabs>
          <w:tab w:leader="none" w:pos="215"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intend to sell the security (that is, a decision has been made to sell the security), (ii) it is more likely than not that we will be required to sell the security before recovery of its amortized cost basis or (iii) we do not expect to recover the security's amortized cost basis, even if we do not intend to sell the security and it is not more likely than not that we will be required to sell the security. A general allowance for unidentified impairments in a portfolio of securities is not permitted.</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8"/>
          <w:szCs w:val="18"/>
          <w:i w:val="1"/>
          <w:iCs w:val="1"/>
          <w:color w:val="auto"/>
        </w:rPr>
        <w:t>Receivables—Nonrefundable Fees and Other Costs</w:t>
      </w:r>
      <w:r>
        <w:rPr>
          <w:rFonts w:ascii="Arial" w:cs="Arial" w:eastAsia="Arial" w:hAnsi="Arial"/>
          <w:sz w:val="18"/>
          <w:szCs w:val="18"/>
          <w:color w:val="auto"/>
        </w:rPr>
        <w:t>.</w:t>
      </w:r>
    </w:p>
    <w:p>
      <w:pPr>
        <w:spacing w:after="0" w:line="133"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estimate long-term prepayment speeds of our mortgage securities using a third-party service and market data. The third-party service provider estimates prepayment speeds using models that incorporate the forward yield curve, current mortgage rates, mortgage rates of the outstanding loans, age and size of the outstanding loans, loan-to-value ratios, interest rate volatility and other factors. We review the prepayment speeds estimated by the third-party service and compare the results to market consensus prepayment speeds, if available. We also consider historical prepayment speeds and current market conditions to validate the reasonableness of the third-party estimates. We review our actual and anticipated prepayment experience on at least a quarterly basis and effective yields are recalculated when differences arise between (i) our previously estimated future prepayments and (ii) actual prepayments to date and our current estimated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46" w:right="239" w:bottom="1440" w:gutter="0" w:footer="0" w:header="0"/>
        </w:sectPr>
      </w:pPr>
    </w:p>
    <w:bookmarkStart w:id="8" w:name="page9"/>
    <w:bookmarkEnd w:id="8"/>
    <w:p>
      <w:pPr>
        <w:jc w:val="both"/>
        <w:ind w:firstLine="432"/>
        <w:spacing w:after="0" w:line="293" w:lineRule="auto"/>
        <w:rPr>
          <w:sz w:val="20"/>
          <w:szCs w:val="20"/>
          <w:color w:val="auto"/>
        </w:rPr>
      </w:pPr>
      <w:r>
        <w:rPr>
          <w:rFonts w:ascii="Arial" w:cs="Arial" w:eastAsia="Arial" w:hAnsi="Arial"/>
          <w:sz w:val="16"/>
          <w:szCs w:val="16"/>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8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 xml:space="preserve">We finance the acquisition of securities for our investment portfolio primarily through repurchase transactions under master repurchase agreements. Pursuant to ASC Topic 860, </w:t>
      </w:r>
      <w:r>
        <w:rPr>
          <w:rFonts w:ascii="Arial" w:cs="Arial" w:eastAsia="Arial" w:hAnsi="Arial"/>
          <w:sz w:val="17"/>
          <w:szCs w:val="17"/>
          <w:i w:val="1"/>
          <w:iCs w:val="1"/>
          <w:color w:val="auto"/>
        </w:rPr>
        <w:t>Transfers and Servicing</w:t>
      </w:r>
      <w:r>
        <w:rPr>
          <w:rFonts w:ascii="Arial" w:cs="Arial" w:eastAsia="Arial" w:hAnsi="Arial"/>
          <w:sz w:val="17"/>
          <w:szCs w:val="17"/>
          <w:color w:val="auto"/>
        </w:rPr>
        <w:t>, we account for repurchase transactions as collateralized financing transactions, which are carried at their contractual amounts (cost), plus accrued interest. Our repurchase agreements typically have maturities of less than one year but may extend up to five years or more. Interest rates on our repurchase agreements generally correspond to one or three-month LIBOR plus or minus a fixed spread. The fair value of our repurchase agreements is assumed to equal cost as the interest rates are considered to be at market.</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 and Obligation to Return Securities Borrowed under Reverse Repurchase Agreements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 xml:space="preserve">We borrow securities to cover short sales of U.S. Treasury securities through reverse repurchase transactions under our master repurchase agreements (see </w:t>
      </w:r>
      <w:r>
        <w:rPr>
          <w:rFonts w:ascii="Arial" w:cs="Arial" w:eastAsia="Arial" w:hAnsi="Arial"/>
          <w:sz w:val="18"/>
          <w:szCs w:val="18"/>
          <w:i w:val="1"/>
          <w:iCs w:val="1"/>
          <w:color w:val="auto"/>
        </w:rPr>
        <w:t>Derivative Instruments</w:t>
      </w:r>
      <w:r>
        <w:rPr>
          <w:rFonts w:ascii="Arial" w:cs="Arial" w:eastAsia="Arial" w:hAnsi="Arial"/>
          <w:sz w:val="18"/>
          <w:szCs w:val="18"/>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Our reverse repurchase agreements typically have maturities of 30 days or less. The fair value of our reverse repurchase agreements is assumed to equal cost as the interest rates are considered to be at market.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as well as to periodically reduce our exposure to Agency RMBS.</w:t>
      </w:r>
    </w:p>
    <w:p>
      <w:pPr>
        <w:spacing w:after="0" w:line="13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 entity to recognize all derivatives as either assets or liabilities in our accompanying consolidated balance sheets and to measure those instruments at fair value. None of our derivative instruments have been designated as hedging instruments for accounting purposes under the provisions of ASC 815, consequently changes in the fair value of our derivative instruments are reported in gain (loss) on derivative instruments and other securities, net in our consolidated statements of comprehensive income.</w:t>
      </w:r>
    </w:p>
    <w:p>
      <w:pPr>
        <w:spacing w:after="0" w:line="13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35"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The use of derivative instruments creates exposure to credit risk relating to potential losses that could be recognized if the counterparties to these instruments fail to perform their obligations under the contracts. Our derivative agreements require that we post or receive collateral to mitigate such risk. We also attempt to minimize our risk of loss by limiting our counterparties to registered central clearing exchanges and major financial institutions with acceptable credit ratings, monitoring positions with individual counterparties and adjusting posted collateral as required.</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use interest rate swaps to economically hedge the variable cash flows associated with our borrowings made under repurchase agreements. Under our interest rate swap agreements, we typically pay a fixed rate and receive a floating rate based</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6" w:right="239" w:bottom="1440" w:gutter="0" w:footer="0" w:header="0"/>
        </w:sectPr>
      </w:pPr>
    </w:p>
    <w:bookmarkStart w:id="9" w:name="page10"/>
    <w:bookmarkEnd w:id="9"/>
    <w:p>
      <w:pPr>
        <w:jc w:val="both"/>
        <w:spacing w:after="0" w:line="272" w:lineRule="auto"/>
        <w:rPr>
          <w:sz w:val="20"/>
          <w:szCs w:val="20"/>
          <w:color w:val="auto"/>
        </w:rPr>
      </w:pPr>
      <w:r>
        <w:rPr>
          <w:rFonts w:ascii="Arial" w:cs="Arial" w:eastAsia="Arial" w:hAnsi="Arial"/>
          <w:sz w:val="17"/>
          <w:szCs w:val="17"/>
          <w:color w:val="auto"/>
        </w:rPr>
        <w:t>on one or three-month LIBOR ("payer swaps") with terms up to 20 years. The majority of our interest rate swaps are centrally cleared through a registered commodities exchange. We value centrally cleared interest rate swaps using the daily settlement price, or fair value, determined by the clearing exchange based on a pricing model that references observable market inputs, including LIBOR, swap rates and the forward yield curve. Our centrally cleared swaps require that we post an "initial margin" amount determined by the clearing exchange, which is generally intended to be set at a level sufficient to protect the exchange from the interest rate swap's maximum estimated single-day price movement.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2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value non-centrally cleared swaps using a combination of third-party valuations obtained from pricing services and the swap counterparty. The third-party valuations are model-driven using observable inputs, including LIBOR, swap rates and the forward yield curve. We also consider both our own and our counterparties' nonperformance risk in estimating the fair value of our interest rate swaps. In considering the effect of nonperformance risk, we assess the impact of netting and credit enhancements, such as collateral postings and guarantees, and have concluded that our own and our counterparty risk is not significant to the overall valuation of these agreements.</w:t>
      </w:r>
    </w:p>
    <w:p>
      <w:pPr>
        <w:spacing w:after="0" w:line="134"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premium paid for interest rate swaptions is reported as an asset in our consolidated balance sheets. We estimate the fair value of interest rate swaptions using a combination of inputs from counterparty and third-party pricing models based on the fair value of the future interest rate swap that we have the option to enter into as well as the remaining length of time that we have to exercise the option, adjusted for non-performance risk, if any.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and the premium paid.</w:t>
      </w:r>
    </w:p>
    <w:p>
      <w:pPr>
        <w:spacing w:after="0" w:line="11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3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 We estimate the fair value of TBA securities based on similar methods used to value our Agency RMBS securities.</w:t>
      </w:r>
    </w:p>
    <w:p>
      <w:pPr>
        <w:spacing w:after="0" w:line="13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use U.S. Treasury securities and U.S. Treasury futures contracts to mitigate the potential impact of changes in interest rates on the performance of our portfolio. We borrow U.S. Treasury securities under reverse repurchase agreements to cover short sales of U.S. Treasury securities. We account for these as securities borrowing transactions and recognize an obligation to return the borrowed securities at fair value on our accompanying consolidated balance sheets based on the value of the underlying U.S. Treasury security as of the reporting date. Gains and losses associated with U.S. Treasury securities and U.S. Treasury futures contracts are recognized in gain (loss) on derivative instruments and other securities, net in our consolidated statements of comprehensive income.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Contingencies</w:t>
      </w:r>
    </w:p>
    <w:p>
      <w:pPr>
        <w:spacing w:after="0" w:line="171"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 xml:space="preserve">We evaluate the existence of any pending or threatened litigation or other potential claims against the Company in accordance with ASC Topic 450, </w:t>
      </w:r>
      <w:r>
        <w:rPr>
          <w:rFonts w:ascii="Arial" w:cs="Arial" w:eastAsia="Arial" w:hAnsi="Arial"/>
          <w:sz w:val="18"/>
          <w:szCs w:val="18"/>
          <w:i w:val="1"/>
          <w:iCs w:val="1"/>
          <w:color w:val="auto"/>
        </w:rPr>
        <w:t xml:space="preserve">Contingencies, </w:t>
      </w:r>
      <w:r>
        <w:rPr>
          <w:rFonts w:ascii="Arial" w:cs="Arial" w:eastAsia="Arial" w:hAnsi="Arial"/>
          <w:sz w:val="18"/>
          <w:szCs w:val="18"/>
          <w:color w:val="auto"/>
        </w:rPr>
        <w:t>which requires that we assess the likelihood and range of potential outcomes of any such</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0" w:name="page11"/>
    <w:bookmarkEnd w:id="10"/>
    <w:p>
      <w:pPr>
        <w:jc w:val="both"/>
        <w:spacing w:after="0" w:line="279" w:lineRule="auto"/>
        <w:rPr>
          <w:sz w:val="20"/>
          <w:szCs w:val="20"/>
          <w:color w:val="auto"/>
        </w:rPr>
      </w:pPr>
      <w:r>
        <w:rPr>
          <w:rFonts w:ascii="Arial" w:cs="Arial" w:eastAsia="Arial" w:hAnsi="Arial"/>
          <w:sz w:val="17"/>
          <w:szCs w:val="17"/>
          <w:color w:val="auto"/>
        </w:rPr>
        <w:t>matters. We are the defendant in three stockholder derivative lawsuits alleging that certain of our current and former directors and officers breached fiduciary duties and wasted corporate assets relating to past renewals of the management agreement with our former external manager and the internalization of our management on July 1, 2016. Although the outcomes of these cases cannot be predicted with certainty, we do not believe that these cases have merit or will result in a material liability, and, as of March 31, 2019, we did not accrue a loss contingency related to these matters.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consider the applicability and impact of all Accounting Standards Updates ("ASUs") issued by the Financial Accounting Standards Board. ASUs not listed below were determined to be either not applicable, are not expected to have a significant impact on our consolidated financial statements when adopted or did not have a significant impact on our consolidated financial statements upon adoption.</w:t>
      </w:r>
    </w:p>
    <w:p>
      <w:pPr>
        <w:spacing w:after="0" w:line="127"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i w:val="1"/>
          <w:iCs w:val="1"/>
          <w:color w:val="auto"/>
        </w:rPr>
        <w:t xml:space="preserve">ASU 2016-13, Financial Instruments - Credit Losses (Topic 326): </w:t>
      </w:r>
      <w:r>
        <w:rPr>
          <w:rFonts w:ascii="Arial" w:cs="Arial" w:eastAsia="Arial" w:hAnsi="Arial"/>
          <w:sz w:val="17"/>
          <w:szCs w:val="17"/>
          <w:color w:val="auto"/>
        </w:rPr>
        <w:t>ASU 2016-13 changes the impairment model for most financial assets and certain</w:t>
      </w:r>
      <w:r>
        <w:rPr>
          <w:rFonts w:ascii="Arial" w:cs="Arial" w:eastAsia="Arial" w:hAnsi="Arial"/>
          <w:sz w:val="17"/>
          <w:szCs w:val="17"/>
          <w:i w:val="1"/>
          <w:iCs w:val="1"/>
          <w:color w:val="auto"/>
        </w:rPr>
        <w:t xml:space="preserve"> </w:t>
      </w:r>
      <w:r>
        <w:rPr>
          <w:rFonts w:ascii="Arial" w:cs="Arial" w:eastAsia="Arial" w:hAnsi="Arial"/>
          <w:sz w:val="17"/>
          <w:szCs w:val="17"/>
          <w:color w:val="auto"/>
        </w:rPr>
        <w:t>other instruments. Allowances for credit losses on available-for-sale debt securities will be recognized, rather than direct reductions in the amortized cost of the investments. The new model also requires the estimation of lifetime expected credit losses and corresponding recognition of allowance for losses on trade and other receivables, held-to-maturity debt securities, loans, and other instruments held at amortized cost. The ASU requires certain recurring disclosures and is effective for annual periods, and interim periods within those annual periods, beginning on or after December 15, 2019, with early adoption permitted for annual periods, and interim periods within those annual periods, beginning on or after December 15, 2018. ASU 2016-13 is not expected to have a significant impact on our consolidated financial statements.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Investment Securities</w:t>
      </w:r>
    </w:p>
    <w:p>
      <w:pPr>
        <w:spacing w:after="0" w:line="17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As of March 31, 2019 and December 31, 2018, our investment portfolio consisted of $95.3 billion and $84.3 billion of investment securities, at fair value, respectively, and $7.0 billion and $7.3 billion of TBA securities, at fair value, respectively. Our TBA position is reported at its net carrying value of $70 million and $70 million as of March 31, 2019 and December 31, 2018, respectively, in derivative assets / (liabilities) on our accompanying consolidated balance sheets. The net carrying value of our TBA position represents the difference between the fair value of the underlying Agency security in the TBA contract and the cost basis or the forward price to be paid or received for the underlying Agency security.</w:t>
      </w:r>
    </w:p>
    <w:p>
      <w:pPr>
        <w:spacing w:after="0" w:line="119"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March 31, 2019 and December 31, 2018, our investment securities had a net unamortized premium balance of $3.0 billion and $2.9 billion, respectively.</w:t>
      </w:r>
    </w:p>
    <w:p>
      <w:pPr>
        <w:spacing w:after="0" w:line="116"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The following tables summarize our investment securities as of March 31, 2019 and December 31, 2018, excluding TBA securities, (dollars in millions). Details of our TBA securities as of each of the respective dates are included in Note 6.</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4"/>
          </w:tcPr>
          <w:p>
            <w:pPr>
              <w:jc w:val="right"/>
              <w:ind w:right="888"/>
              <w:spacing w:after="0"/>
              <w:rPr>
                <w:sz w:val="20"/>
                <w:szCs w:val="20"/>
                <w:color w:val="auto"/>
              </w:rPr>
            </w:pPr>
            <w:r>
              <w:rPr>
                <w:rFonts w:ascii="Arial" w:cs="Arial" w:eastAsia="Arial" w:hAnsi="Arial"/>
                <w:sz w:val="14"/>
                <w:szCs w:val="14"/>
                <w:b w:val="1"/>
                <w:bCs w:val="1"/>
                <w:color w:val="auto"/>
              </w:rPr>
              <w:t>March 31, 2019</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580" w:type="dxa"/>
            <w:vAlign w:val="bottom"/>
            <w:tcBorders>
              <w:bottom w:val="single" w:sz="8" w:color="auto"/>
            </w:tcBorders>
            <w:gridSpan w:val="4"/>
          </w:tcPr>
          <w:p>
            <w:pPr>
              <w:jc w:val="right"/>
              <w:ind w:right="728"/>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55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20" w:type="dxa"/>
            <w:vAlign w:val="bottom"/>
            <w:vMerge w:val="restart"/>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Amortized</w:t>
            </w:r>
          </w:p>
        </w:tc>
        <w:tc>
          <w:tcPr>
            <w:tcW w:w="240" w:type="dxa"/>
            <w:vAlign w:val="bottom"/>
          </w:tcPr>
          <w:p>
            <w:pPr>
              <w:spacing w:after="0"/>
              <w:rPr>
                <w:sz w:val="13"/>
                <w:szCs w:val="13"/>
                <w:color w:val="auto"/>
              </w:rPr>
            </w:pPr>
          </w:p>
        </w:tc>
        <w:tc>
          <w:tcPr>
            <w:tcW w:w="114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220" w:type="dxa"/>
            <w:vAlign w:val="bottom"/>
          </w:tcPr>
          <w:p>
            <w:pPr>
              <w:spacing w:after="0"/>
              <w:rPr>
                <w:sz w:val="13"/>
                <w:szCs w:val="13"/>
                <w:color w:val="auto"/>
              </w:rPr>
            </w:pPr>
          </w:p>
        </w:tc>
        <w:tc>
          <w:tcPr>
            <w:tcW w:w="122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Amortized</w:t>
            </w:r>
          </w:p>
        </w:tc>
        <w:tc>
          <w:tcPr>
            <w:tcW w:w="240" w:type="dxa"/>
            <w:vAlign w:val="bottom"/>
          </w:tcPr>
          <w:p>
            <w:pPr>
              <w:spacing w:after="0"/>
              <w:rPr>
                <w:sz w:val="13"/>
                <w:szCs w:val="13"/>
                <w:color w:val="auto"/>
              </w:rPr>
            </w:pPr>
          </w:p>
        </w:tc>
        <w:tc>
          <w:tcPr>
            <w:tcW w:w="112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5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w:t>
            </w:r>
          </w:p>
        </w:tc>
        <w:tc>
          <w:tcPr>
            <w:tcW w:w="22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5620" w:type="dxa"/>
            <w:vAlign w:val="bottom"/>
            <w:gridSpan w:val="2"/>
          </w:tcPr>
          <w:p>
            <w:pPr>
              <w:ind w:left="180"/>
              <w:spacing w:after="0"/>
              <w:rPr>
                <w:sz w:val="20"/>
                <w:szCs w:val="20"/>
                <w:color w:val="auto"/>
              </w:rPr>
            </w:pPr>
            <w:r>
              <w:rPr>
                <w:rFonts w:ascii="Arial" w:cs="Arial" w:eastAsia="Arial" w:hAnsi="Arial"/>
                <w:sz w:val="14"/>
                <w:szCs w:val="14"/>
                <w:color w:val="auto"/>
              </w:rPr>
              <w:t>Fixed rate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92,374</w:t>
            </w:r>
          </w:p>
        </w:tc>
        <w:tc>
          <w:tcPr>
            <w:tcW w:w="12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92,502</w:t>
            </w:r>
          </w:p>
        </w:tc>
        <w:tc>
          <w:tcPr>
            <w:tcW w:w="1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83,047</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81,753</w:t>
            </w:r>
          </w:p>
        </w:tc>
        <w:tc>
          <w:tcPr>
            <w:tcW w:w="0" w:type="dxa"/>
            <w:vAlign w:val="bottom"/>
          </w:tcPr>
          <w:p>
            <w:pPr>
              <w:spacing w:after="0"/>
              <w:rPr>
                <w:sz w:val="1"/>
                <w:szCs w:val="1"/>
                <w:color w:val="auto"/>
              </w:rPr>
            </w:pPr>
          </w:p>
        </w:tc>
      </w:tr>
      <w:tr>
        <w:trPr>
          <w:trHeight w:val="276"/>
        </w:trPr>
        <w:tc>
          <w:tcPr>
            <w:tcW w:w="56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Adjustable rate</w:t>
            </w:r>
          </w:p>
        </w:tc>
        <w:tc>
          <w:tcPr>
            <w:tcW w:w="2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199</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212</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213</w:t>
            </w:r>
          </w:p>
        </w:tc>
        <w:tc>
          <w:tcPr>
            <w:tcW w:w="0" w:type="dxa"/>
            <w:vAlign w:val="bottom"/>
          </w:tcPr>
          <w:p>
            <w:pPr>
              <w:spacing w:after="0"/>
              <w:rPr>
                <w:sz w:val="1"/>
                <w:szCs w:val="1"/>
                <w:color w:val="auto"/>
              </w:rPr>
            </w:pPr>
          </w:p>
        </w:tc>
      </w:tr>
      <w:tr>
        <w:trPr>
          <w:trHeight w:val="264"/>
        </w:trPr>
        <w:tc>
          <w:tcPr>
            <w:tcW w:w="5620" w:type="dxa"/>
            <w:vAlign w:val="bottom"/>
            <w:gridSpan w:val="2"/>
          </w:tcPr>
          <w:p>
            <w:pPr>
              <w:ind w:left="180"/>
              <w:spacing w:after="0"/>
              <w:rPr>
                <w:sz w:val="20"/>
                <w:szCs w:val="20"/>
                <w:color w:val="auto"/>
              </w:rPr>
            </w:pPr>
            <w:r>
              <w:rPr>
                <w:rFonts w:ascii="Arial" w:cs="Arial" w:eastAsia="Arial" w:hAnsi="Arial"/>
                <w:sz w:val="14"/>
                <w:szCs w:val="14"/>
                <w:color w:val="auto"/>
              </w:rPr>
              <w:t>CMO</w:t>
            </w:r>
          </w:p>
        </w:tc>
        <w:tc>
          <w:tcPr>
            <w:tcW w:w="22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555</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555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588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583</w:t>
            </w:r>
          </w:p>
        </w:tc>
        <w:tc>
          <w:tcPr>
            <w:tcW w:w="0" w:type="dxa"/>
            <w:vAlign w:val="bottom"/>
          </w:tcPr>
          <w:p>
            <w:pPr>
              <w:spacing w:after="0"/>
              <w:rPr>
                <w:sz w:val="1"/>
                <w:szCs w:val="1"/>
                <w:color w:val="auto"/>
              </w:rPr>
            </w:pPr>
          </w:p>
        </w:tc>
      </w:tr>
      <w:tr>
        <w:trPr>
          <w:trHeight w:val="276"/>
        </w:trPr>
        <w:tc>
          <w:tcPr>
            <w:tcW w:w="56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Interest-only and principal-only strips</w:t>
            </w:r>
          </w:p>
        </w:tc>
        <w:tc>
          <w:tcPr>
            <w:tcW w:w="2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166</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179</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172</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178</w:t>
            </w:r>
          </w:p>
        </w:tc>
        <w:tc>
          <w:tcPr>
            <w:tcW w:w="0" w:type="dxa"/>
            <w:vAlign w:val="bottom"/>
          </w:tcPr>
          <w:p>
            <w:pPr>
              <w:spacing w:after="0"/>
              <w:rPr>
                <w:sz w:val="1"/>
                <w:szCs w:val="1"/>
                <w:color w:val="auto"/>
              </w:rPr>
            </w:pPr>
          </w:p>
        </w:tc>
      </w:tr>
      <w:tr>
        <w:trPr>
          <w:trHeight w:val="264"/>
        </w:trPr>
        <w:tc>
          <w:tcPr>
            <w:tcW w:w="5620" w:type="dxa"/>
            <w:vAlign w:val="bottom"/>
            <w:gridSpan w:val="2"/>
          </w:tcPr>
          <w:p>
            <w:pPr>
              <w:ind w:left="180"/>
              <w:spacing w:after="0"/>
              <w:rPr>
                <w:sz w:val="20"/>
                <w:szCs w:val="20"/>
                <w:color w:val="auto"/>
              </w:rPr>
            </w:pPr>
            <w:r>
              <w:rPr>
                <w:rFonts w:ascii="Arial" w:cs="Arial" w:eastAsia="Arial" w:hAnsi="Arial"/>
                <w:sz w:val="14"/>
                <w:szCs w:val="14"/>
                <w:color w:val="auto"/>
              </w:rPr>
              <w:t>Multifamily</w:t>
            </w:r>
          </w:p>
        </w:tc>
        <w:tc>
          <w:tcPr>
            <w:tcW w:w="22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31</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32</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6"/>
        </w:trPr>
        <w:tc>
          <w:tcPr>
            <w:tcW w:w="562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Agency RMBS</w:t>
            </w:r>
          </w:p>
        </w:tc>
        <w:tc>
          <w:tcPr>
            <w:tcW w:w="220" w:type="dxa"/>
            <w:vAlign w:val="bottom"/>
            <w:tcBorders>
              <w:top w:val="single" w:sz="8" w:color="auto"/>
            </w:tcBorders>
            <w:shd w:val="clear" w:color="auto" w:fill="CCEEFF"/>
          </w:tcPr>
          <w:p>
            <w:pPr>
              <w:spacing w:after="0"/>
              <w:rPr>
                <w:sz w:val="22"/>
                <w:szCs w:val="22"/>
                <w:color w:val="auto"/>
              </w:rPr>
            </w:pPr>
          </w:p>
        </w:tc>
        <w:tc>
          <w:tcPr>
            <w:tcW w:w="11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93,325</w:t>
            </w:r>
          </w:p>
        </w:tc>
        <w:tc>
          <w:tcPr>
            <w:tcW w:w="12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1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93,469</w:t>
            </w:r>
          </w:p>
        </w:tc>
        <w:tc>
          <w:tcPr>
            <w:tcW w:w="12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84,019</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82,727</w:t>
            </w:r>
          </w:p>
        </w:tc>
        <w:tc>
          <w:tcPr>
            <w:tcW w:w="0" w:type="dxa"/>
            <w:vAlign w:val="bottom"/>
          </w:tcPr>
          <w:p>
            <w:pPr>
              <w:spacing w:after="0"/>
              <w:rPr>
                <w:sz w:val="1"/>
                <w:szCs w:val="1"/>
                <w:color w:val="auto"/>
              </w:rPr>
            </w:pPr>
          </w:p>
        </w:tc>
      </w:tr>
      <w:tr>
        <w:trPr>
          <w:trHeight w:val="264"/>
        </w:trPr>
        <w:tc>
          <w:tcPr>
            <w:tcW w:w="5620" w:type="dxa"/>
            <w:vAlign w:val="bottom"/>
            <w:gridSpan w:val="2"/>
          </w:tcPr>
          <w:p>
            <w:pPr>
              <w:ind w:left="40"/>
              <w:spacing w:after="0"/>
              <w:rPr>
                <w:sz w:val="20"/>
                <w:szCs w:val="20"/>
                <w:color w:val="auto"/>
              </w:rPr>
            </w:pPr>
            <w:r>
              <w:rPr>
                <w:rFonts w:ascii="Arial" w:cs="Arial" w:eastAsia="Arial" w:hAnsi="Arial"/>
                <w:sz w:val="14"/>
                <w:szCs w:val="14"/>
                <w:color w:val="auto"/>
              </w:rPr>
              <w:t>Non-Agency RMBS</w:t>
            </w:r>
          </w:p>
        </w:tc>
        <w:tc>
          <w:tcPr>
            <w:tcW w:w="22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313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319</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264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266</w:t>
            </w:r>
          </w:p>
        </w:tc>
        <w:tc>
          <w:tcPr>
            <w:tcW w:w="0" w:type="dxa"/>
            <w:vAlign w:val="bottom"/>
          </w:tcPr>
          <w:p>
            <w:pPr>
              <w:spacing w:after="0"/>
              <w:rPr>
                <w:sz w:val="1"/>
                <w:szCs w:val="1"/>
                <w:color w:val="auto"/>
              </w:rPr>
            </w:pPr>
          </w:p>
        </w:tc>
      </w:tr>
      <w:tr>
        <w:trPr>
          <w:trHeight w:val="276"/>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CMBS</w:t>
            </w:r>
          </w:p>
        </w:tc>
        <w:tc>
          <w:tcPr>
            <w:tcW w:w="2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343</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353</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280</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282</w:t>
            </w: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CRT securities</w:t>
            </w:r>
          </w:p>
        </w:tc>
        <w:tc>
          <w:tcPr>
            <w:tcW w:w="2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1,109</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1,129</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1,006</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1,012</w:t>
            </w:r>
          </w:p>
        </w:tc>
        <w:tc>
          <w:tcPr>
            <w:tcW w:w="0" w:type="dxa"/>
            <w:vAlign w:val="bottom"/>
          </w:tcPr>
          <w:p>
            <w:pPr>
              <w:spacing w:after="0"/>
              <w:rPr>
                <w:sz w:val="1"/>
                <w:szCs w:val="1"/>
                <w:color w:val="auto"/>
              </w:rPr>
            </w:pPr>
          </w:p>
        </w:tc>
      </w:tr>
      <w:tr>
        <w:trPr>
          <w:trHeight w:val="243"/>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investment securities</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95,090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95,270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85,569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84,287</w:t>
            </w: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46"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192"/>
        </w:trPr>
        <w:tc>
          <w:tcPr>
            <w:tcW w:w="4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rPr>
              <w:t>March 31, 2019</w:t>
            </w: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gridSpan w:val="4"/>
          </w:tcPr>
          <w:p>
            <w:pPr>
              <w:jc w:val="right"/>
              <w:ind w:right="516"/>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vMerge w:val="restart"/>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vMerge w:val="restart"/>
          </w:tcPr>
          <w:p>
            <w:pPr>
              <w:jc w:val="right"/>
              <w:ind w:right="16"/>
              <w:spacing w:after="0"/>
              <w:rPr>
                <w:sz w:val="20"/>
                <w:szCs w:val="20"/>
                <w:color w:val="auto"/>
              </w:rPr>
            </w:pPr>
            <w:r>
              <w:rPr>
                <w:rFonts w:ascii="Arial" w:cs="Arial" w:eastAsia="Arial" w:hAnsi="Arial"/>
                <w:sz w:val="14"/>
                <w:szCs w:val="14"/>
                <w:b w:val="1"/>
                <w:bCs w:val="1"/>
                <w:color w:val="auto"/>
                <w:w w:val="94"/>
              </w:rPr>
              <w:t>Fannie Mae</w:t>
            </w:r>
          </w:p>
        </w:tc>
        <w:tc>
          <w:tcPr>
            <w:tcW w:w="120" w:type="dxa"/>
            <w:vAlign w:val="bottom"/>
            <w:vMerge w:val="restart"/>
          </w:tcPr>
          <w:p>
            <w:pPr>
              <w:spacing w:after="0"/>
              <w:rPr>
                <w:sz w:val="13"/>
                <w:szCs w:val="13"/>
                <w:color w:val="auto"/>
              </w:rPr>
            </w:pPr>
          </w:p>
        </w:tc>
        <w:tc>
          <w:tcPr>
            <w:tcW w:w="920" w:type="dxa"/>
            <w:vAlign w:val="bottom"/>
            <w:gridSpan w:val="2"/>
            <w:vMerge w:val="restart"/>
          </w:tcPr>
          <w:p>
            <w:pPr>
              <w:jc w:val="right"/>
              <w:ind w:right="17"/>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jc w:val="right"/>
              <w:ind w:right="196"/>
              <w:spacing w:after="0" w:line="153" w:lineRule="exact"/>
              <w:rPr>
                <w:sz w:val="20"/>
                <w:szCs w:val="20"/>
                <w:color w:val="auto"/>
              </w:rPr>
            </w:pPr>
            <w:r>
              <w:rPr>
                <w:rFonts w:ascii="Arial" w:cs="Arial" w:eastAsia="Arial" w:hAnsi="Arial"/>
                <w:sz w:val="14"/>
                <w:szCs w:val="14"/>
                <w:b w:val="1"/>
                <w:bCs w:val="1"/>
                <w:color w:val="auto"/>
              </w:rPr>
              <w:t>Ginnie</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vMerge w:val="restart"/>
          </w:tcPr>
          <w:p>
            <w:pPr>
              <w:jc w:val="right"/>
              <w:ind w:right="176"/>
              <w:spacing w:after="0"/>
              <w:rPr>
                <w:sz w:val="20"/>
                <w:szCs w:val="20"/>
                <w:color w:val="auto"/>
              </w:rPr>
            </w:pPr>
            <w:r>
              <w:rPr>
                <w:rFonts w:ascii="Arial" w:cs="Arial" w:eastAsia="Arial" w:hAnsi="Arial"/>
                <w:sz w:val="14"/>
                <w:szCs w:val="14"/>
                <w:b w:val="1"/>
                <w:bCs w:val="1"/>
                <w:color w:val="auto"/>
              </w:rPr>
              <w:t>RMBS</w:t>
            </w:r>
          </w:p>
        </w:tc>
        <w:tc>
          <w:tcPr>
            <w:tcW w:w="12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56"/>
              <w:spacing w:after="0"/>
              <w:rPr>
                <w:sz w:val="20"/>
                <w:szCs w:val="20"/>
                <w:color w:val="auto"/>
              </w:rPr>
            </w:pPr>
            <w:r>
              <w:rPr>
                <w:rFonts w:ascii="Arial" w:cs="Arial" w:eastAsia="Arial" w:hAnsi="Arial"/>
                <w:sz w:val="14"/>
                <w:szCs w:val="14"/>
                <w:b w:val="1"/>
                <w:bCs w:val="1"/>
                <w:color w:val="auto"/>
              </w:rPr>
              <w:t>CRT</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Mae</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16,709</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5,493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23</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22,231</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(11)</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720" w:type="dxa"/>
            <w:vAlign w:val="bottom"/>
          </w:tcPr>
          <w:p>
            <w:pPr>
              <w:jc w:val="right"/>
              <w:ind w:right="16"/>
              <w:spacing w:after="0"/>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849</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325</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1,174</w:t>
            </w:r>
          </w:p>
        </w:tc>
        <w:tc>
          <w:tcPr>
            <w:tcW w:w="0" w:type="dxa"/>
            <w:vAlign w:val="bottom"/>
          </w:tcPr>
          <w:p>
            <w:pPr>
              <w:spacing w:after="0"/>
              <w:rPr>
                <w:sz w:val="1"/>
                <w:szCs w:val="1"/>
                <w:color w:val="auto"/>
              </w:rPr>
            </w:pPr>
          </w:p>
        </w:tc>
      </w:tr>
      <w:tr>
        <w:trPr>
          <w:trHeight w:val="249"/>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Amortized cost</w:t>
            </w:r>
          </w:p>
        </w:tc>
        <w:tc>
          <w:tcPr>
            <w:tcW w:w="100" w:type="dxa"/>
            <w:vAlign w:val="bottom"/>
          </w:tcPr>
          <w:p>
            <w:pPr>
              <w:spacing w:after="0"/>
              <w:rPr>
                <w:sz w:val="21"/>
                <w:szCs w:val="21"/>
                <w:color w:val="auto"/>
              </w:rPr>
            </w:pP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17,547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5,816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23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720" w:type="dxa"/>
            <w:vAlign w:val="bottom"/>
          </w:tcPr>
          <w:p>
            <w:pPr>
              <w:jc w:val="right"/>
              <w:ind w:right="56"/>
              <w:spacing w:after="0"/>
              <w:rPr>
                <w:sz w:val="20"/>
                <w:szCs w:val="20"/>
                <w:color w:val="auto"/>
              </w:rPr>
            </w:pPr>
            <w:r>
              <w:rPr>
                <w:rFonts w:ascii="Arial" w:cs="Arial" w:eastAsia="Arial" w:hAnsi="Arial"/>
                <w:sz w:val="13"/>
                <w:szCs w:val="13"/>
                <w:color w:val="auto"/>
              </w:rPr>
              <w:t>23,392</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(402)</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(166)</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(568)</w:t>
            </w: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Total available-for-sale securities, at fair value</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17,164</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5,655</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22,849</w:t>
            </w:r>
          </w:p>
        </w:tc>
        <w:tc>
          <w:tcPr>
            <w:tcW w:w="0" w:type="dxa"/>
            <w:vAlign w:val="bottom"/>
          </w:tcPr>
          <w:p>
            <w:pPr>
              <w:spacing w:after="0"/>
              <w:rPr>
                <w:sz w:val="1"/>
                <w:szCs w:val="1"/>
                <w:color w:val="auto"/>
              </w:rPr>
            </w:pPr>
          </w:p>
        </w:tc>
      </w:tr>
      <w:tr>
        <w:trPr>
          <w:trHeight w:val="256"/>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Securities remeasured at fair value through earnings:</w:t>
            </w:r>
          </w:p>
        </w:tc>
        <w:tc>
          <w:tcPr>
            <w:tcW w:w="100" w:type="dxa"/>
            <w:vAlign w:val="bottom"/>
            <w:tcBorders>
              <w:top w:val="single" w:sz="8" w:color="auto"/>
            </w:tcBorders>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42,546</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25,501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317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409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1,087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69,860</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(74)</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ind w:right="16"/>
              <w:spacing w:after="0"/>
              <w:rPr>
                <w:sz w:val="20"/>
                <w:szCs w:val="20"/>
                <w:color w:val="auto"/>
              </w:rPr>
            </w:pPr>
            <w:r>
              <w:rPr>
                <w:rFonts w:ascii="Arial" w:cs="Arial" w:eastAsia="Arial" w:hAnsi="Arial"/>
                <w:sz w:val="13"/>
                <w:szCs w:val="13"/>
                <w:color w:val="auto"/>
              </w:rPr>
              <w:t>(11)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(70)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16"/>
              <w:spacing w:after="0"/>
              <w:rPr>
                <w:sz w:val="20"/>
                <w:szCs w:val="20"/>
                <w:color w:val="auto"/>
              </w:rPr>
            </w:pPr>
            <w:r>
              <w:rPr>
                <w:rFonts w:ascii="Arial" w:cs="Arial" w:eastAsia="Arial" w:hAnsi="Arial"/>
                <w:sz w:val="13"/>
                <w:szCs w:val="13"/>
                <w:color w:val="auto"/>
              </w:rPr>
              <w:t>(174)</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1,138</w:t>
            </w:r>
          </w:p>
        </w:tc>
        <w:tc>
          <w:tcPr>
            <w:tcW w:w="12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834</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35</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2,012</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00"/>
              <w:spacing w:after="0"/>
              <w:rPr>
                <w:sz w:val="20"/>
                <w:szCs w:val="20"/>
                <w:color w:val="auto"/>
              </w:rPr>
            </w:pPr>
            <w:r>
              <w:rPr>
                <w:rFonts w:ascii="Arial" w:cs="Arial" w:eastAsia="Arial" w:hAnsi="Arial"/>
                <w:sz w:val="13"/>
                <w:szCs w:val="13"/>
                <w:color w:val="auto"/>
              </w:rPr>
              <w:t>Amortized cost</w:t>
            </w:r>
          </w:p>
        </w:tc>
        <w:tc>
          <w:tcPr>
            <w:tcW w:w="100" w:type="dxa"/>
            <w:vAlign w:val="bottom"/>
            <w:tcBorders>
              <w:top w:val="single" w:sz="8" w:color="auto"/>
            </w:tcBorders>
          </w:tcPr>
          <w:p>
            <w:pPr>
              <w:spacing w:after="0"/>
              <w:rPr>
                <w:sz w:val="21"/>
                <w:szCs w:val="21"/>
                <w:color w:val="auto"/>
              </w:rPr>
            </w:pPr>
          </w:p>
        </w:tc>
        <w:tc>
          <w:tcPr>
            <w:tcW w:w="820" w:type="dxa"/>
            <w:vAlign w:val="bottom"/>
            <w:tcBorders>
              <w:top w:val="single" w:sz="8" w:color="auto"/>
            </w:tcBorders>
          </w:tcPr>
          <w:p>
            <w:pPr>
              <w:jc w:val="right"/>
              <w:ind w:right="56"/>
              <w:spacing w:after="0"/>
              <w:rPr>
                <w:sz w:val="20"/>
                <w:szCs w:val="20"/>
                <w:color w:val="auto"/>
              </w:rPr>
            </w:pPr>
            <w:r>
              <w:rPr>
                <w:rFonts w:ascii="Arial" w:cs="Arial" w:eastAsia="Arial" w:hAnsi="Arial"/>
                <w:sz w:val="13"/>
                <w:szCs w:val="13"/>
                <w:color w:val="auto"/>
              </w:rPr>
              <w:t>43,610</w:t>
            </w:r>
          </w:p>
        </w:tc>
        <w:tc>
          <w:tcPr>
            <w:tcW w:w="12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660" w:type="dxa"/>
            <w:vAlign w:val="bottom"/>
            <w:tcBorders>
              <w:top w:val="single" w:sz="8" w:color="auto"/>
            </w:tcBorders>
          </w:tcPr>
          <w:p>
            <w:pPr>
              <w:jc w:val="right"/>
              <w:ind w:right="77"/>
              <w:spacing w:after="0"/>
              <w:rPr>
                <w:sz w:val="20"/>
                <w:szCs w:val="20"/>
                <w:color w:val="auto"/>
              </w:rPr>
            </w:pPr>
            <w:r>
              <w:rPr>
                <w:rFonts w:ascii="Arial" w:cs="Arial" w:eastAsia="Arial" w:hAnsi="Arial"/>
                <w:sz w:val="13"/>
                <w:szCs w:val="13"/>
                <w:color w:val="auto"/>
              </w:rPr>
              <w:t>26,329</w:t>
            </w: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74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740" w:type="dxa"/>
            <w:vAlign w:val="bottom"/>
            <w:tcBorders>
              <w:top w:val="single" w:sz="8" w:color="auto"/>
            </w:tcBorders>
          </w:tcPr>
          <w:p>
            <w:pPr>
              <w:jc w:val="right"/>
              <w:ind w:right="56"/>
              <w:spacing w:after="0"/>
              <w:rPr>
                <w:sz w:val="20"/>
                <w:szCs w:val="20"/>
                <w:color w:val="auto"/>
              </w:rPr>
            </w:pPr>
            <w:r>
              <w:rPr>
                <w:rFonts w:ascii="Arial" w:cs="Arial" w:eastAsia="Arial" w:hAnsi="Arial"/>
                <w:sz w:val="13"/>
                <w:szCs w:val="13"/>
                <w:color w:val="auto"/>
              </w:rPr>
              <w:t>306</w:t>
            </w:r>
          </w:p>
        </w:tc>
        <w:tc>
          <w:tcPr>
            <w:tcW w:w="1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76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344</w:t>
            </w:r>
          </w:p>
        </w:tc>
        <w:tc>
          <w:tcPr>
            <w:tcW w:w="10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1,109</w:t>
            </w:r>
          </w:p>
        </w:tc>
        <w:tc>
          <w:tcPr>
            <w:tcW w:w="10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ind w:right="56"/>
              <w:spacing w:after="0"/>
              <w:rPr>
                <w:sz w:val="20"/>
                <w:szCs w:val="20"/>
                <w:color w:val="auto"/>
              </w:rPr>
            </w:pPr>
            <w:r>
              <w:rPr>
                <w:rFonts w:ascii="Arial" w:cs="Arial" w:eastAsia="Arial" w:hAnsi="Arial"/>
                <w:sz w:val="13"/>
                <w:szCs w:val="13"/>
                <w:color w:val="auto"/>
              </w:rPr>
              <w:t>71,698</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620</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340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999</w:t>
            </w:r>
          </w:p>
        </w:tc>
        <w:tc>
          <w:tcPr>
            <w:tcW w:w="0" w:type="dxa"/>
            <w:vAlign w:val="bottom"/>
          </w:tcPr>
          <w:p>
            <w:pPr>
              <w:spacing w:after="0"/>
              <w:rPr>
                <w:sz w:val="1"/>
                <w:szCs w:val="1"/>
                <w:color w:val="auto"/>
              </w:rPr>
            </w:pPr>
          </w:p>
        </w:tc>
      </w:tr>
      <w:tr>
        <w:trPr>
          <w:trHeight w:val="264"/>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(172)</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(101)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16"/>
              <w:spacing w:after="0"/>
              <w:rPr>
                <w:sz w:val="20"/>
                <w:szCs w:val="20"/>
                <w:color w:val="auto"/>
              </w:rPr>
            </w:pPr>
            <w:r>
              <w:rPr>
                <w:rFonts w:ascii="Arial" w:cs="Arial" w:eastAsia="Arial" w:hAnsi="Arial"/>
                <w:sz w:val="13"/>
                <w:szCs w:val="13"/>
                <w:color w:val="auto"/>
              </w:rPr>
              <w:t>(276)</w:t>
            </w:r>
          </w:p>
        </w:tc>
        <w:tc>
          <w:tcPr>
            <w:tcW w:w="0" w:type="dxa"/>
            <w:vAlign w:val="bottom"/>
          </w:tcPr>
          <w:p>
            <w:pPr>
              <w:spacing w:after="0"/>
              <w:rPr>
                <w:sz w:val="1"/>
                <w:szCs w:val="1"/>
                <w:color w:val="auto"/>
              </w:rPr>
            </w:pPr>
          </w:p>
        </w:tc>
      </w:tr>
      <w:tr>
        <w:trPr>
          <w:trHeight w:val="250"/>
        </w:trPr>
        <w:tc>
          <w:tcPr>
            <w:tcW w:w="428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3"/>
                <w:szCs w:val="13"/>
                <w:color w:val="auto"/>
              </w:rPr>
              <w:t>Total securities remeasured at fair value through earnings</w:t>
            </w: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44,058</w:t>
            </w:r>
          </w:p>
        </w:tc>
        <w:tc>
          <w:tcPr>
            <w:tcW w:w="12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660" w:type="dxa"/>
            <w:vAlign w:val="bottom"/>
            <w:tcBorders>
              <w:top w:val="single" w:sz="8" w:color="auto"/>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26,568</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313</w:t>
            </w:r>
          </w:p>
        </w:tc>
        <w:tc>
          <w:tcPr>
            <w:tcW w:w="12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353</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1,129</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72,421</w:t>
            </w:r>
          </w:p>
        </w:tc>
        <w:tc>
          <w:tcPr>
            <w:tcW w:w="0" w:type="dxa"/>
            <w:vAlign w:val="bottom"/>
          </w:tcPr>
          <w:p>
            <w:pPr>
              <w:spacing w:after="0"/>
              <w:rPr>
                <w:sz w:val="1"/>
                <w:szCs w:val="1"/>
                <w:color w:val="auto"/>
              </w:rPr>
            </w:pPr>
          </w:p>
        </w:tc>
      </w:tr>
      <w:tr>
        <w:trPr>
          <w:trHeight w:val="282"/>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Total securities, at fair value</w:t>
            </w:r>
          </w:p>
        </w:tc>
        <w:tc>
          <w:tcPr>
            <w:tcW w:w="100" w:type="dxa"/>
            <w:vAlign w:val="bottom"/>
          </w:tcPr>
          <w:p>
            <w:pPr>
              <w:jc w:val="right"/>
              <w:spacing w:after="0"/>
              <w:rPr>
                <w:sz w:val="20"/>
                <w:szCs w:val="20"/>
                <w:color w:val="auto"/>
              </w:rPr>
            </w:pPr>
            <w:r>
              <w:rPr>
                <w:rFonts w:ascii="Arial" w:cs="Arial" w:eastAsia="Arial" w:hAnsi="Arial"/>
                <w:sz w:val="13"/>
                <w:szCs w:val="13"/>
                <w:color w:val="auto"/>
              </w:rPr>
              <w:t>$</w:t>
            </w: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61,222</w:t>
            </w:r>
          </w:p>
        </w:tc>
        <w:tc>
          <w:tcPr>
            <w:tcW w:w="120" w:type="dxa"/>
            <w:vAlign w:val="bottom"/>
          </w:tcPr>
          <w:p>
            <w:pPr>
              <w:spacing w:after="0"/>
              <w:rPr>
                <w:sz w:val="24"/>
                <w:szCs w:val="24"/>
                <w:color w:val="auto"/>
              </w:rPr>
            </w:pPr>
          </w:p>
        </w:tc>
        <w:tc>
          <w:tcPr>
            <w:tcW w:w="260" w:type="dxa"/>
            <w:vAlign w:val="bottom"/>
          </w:tcPr>
          <w:p>
            <w:pPr>
              <w:ind w:left="20"/>
              <w:spacing w:after="0"/>
              <w:rPr>
                <w:sz w:val="20"/>
                <w:szCs w:val="20"/>
                <w:color w:val="auto"/>
              </w:rPr>
            </w:pPr>
            <w:r>
              <w:rPr>
                <w:rFonts w:ascii="Arial" w:cs="Arial" w:eastAsia="Arial" w:hAnsi="Arial"/>
                <w:sz w:val="13"/>
                <w:szCs w:val="13"/>
                <w:color w:val="auto"/>
              </w:rPr>
              <w:t>$</w:t>
            </w: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32,223</w:t>
            </w:r>
          </w:p>
        </w:tc>
        <w:tc>
          <w:tcPr>
            <w:tcW w:w="100" w:type="dxa"/>
            <w:vAlign w:val="bottom"/>
          </w:tcPr>
          <w:p>
            <w:pPr>
              <w:spacing w:after="0"/>
              <w:rPr>
                <w:sz w:val="24"/>
                <w:szCs w:val="24"/>
                <w:color w:val="auto"/>
              </w:rPr>
            </w:pPr>
          </w:p>
        </w:tc>
        <w:tc>
          <w:tcPr>
            <w:tcW w:w="180" w:type="dxa"/>
            <w:vAlign w:val="bottom"/>
          </w:tcPr>
          <w:p>
            <w:pPr>
              <w:jc w:val="right"/>
              <w:ind w:right="17"/>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24</w:t>
            </w:r>
          </w:p>
        </w:tc>
        <w:tc>
          <w:tcPr>
            <w:tcW w:w="28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319</w:t>
            </w:r>
          </w:p>
        </w:tc>
        <w:tc>
          <w:tcPr>
            <w:tcW w:w="120" w:type="dxa"/>
            <w:vAlign w:val="bottom"/>
          </w:tcPr>
          <w:p>
            <w:pPr>
              <w:spacing w:after="0"/>
              <w:rPr>
                <w:sz w:val="24"/>
                <w:szCs w:val="24"/>
                <w:color w:val="auto"/>
              </w:rPr>
            </w:pPr>
          </w:p>
        </w:tc>
        <w:tc>
          <w:tcPr>
            <w:tcW w:w="160" w:type="dxa"/>
            <w:vAlign w:val="bottom"/>
          </w:tcPr>
          <w:p>
            <w:pPr>
              <w:jc w:val="right"/>
              <w:ind w:right="17"/>
              <w:spacing w:after="0"/>
              <w:rPr>
                <w:sz w:val="20"/>
                <w:szCs w:val="20"/>
                <w:color w:val="auto"/>
              </w:rPr>
            </w:pPr>
            <w:r>
              <w:rPr>
                <w:rFonts w:ascii="Arial" w:cs="Arial" w:eastAsia="Arial" w:hAnsi="Arial"/>
                <w:sz w:val="13"/>
                <w:szCs w:val="13"/>
                <w:color w:val="auto"/>
                <w:w w:val="82"/>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353</w:t>
            </w:r>
          </w:p>
        </w:tc>
        <w:tc>
          <w:tcPr>
            <w:tcW w:w="100" w:type="dxa"/>
            <w:vAlign w:val="bottom"/>
          </w:tcPr>
          <w:p>
            <w:pPr>
              <w:spacing w:after="0"/>
              <w:rPr>
                <w:sz w:val="24"/>
                <w:szCs w:val="24"/>
                <w:color w:val="auto"/>
              </w:rPr>
            </w:pPr>
          </w:p>
        </w:tc>
        <w:tc>
          <w:tcPr>
            <w:tcW w:w="20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1,129</w:t>
            </w:r>
          </w:p>
        </w:tc>
        <w:tc>
          <w:tcPr>
            <w:tcW w:w="100" w:type="dxa"/>
            <w:vAlign w:val="bottom"/>
          </w:tcPr>
          <w:p>
            <w:pPr>
              <w:spacing w:after="0"/>
              <w:rPr>
                <w:sz w:val="24"/>
                <w:szCs w:val="24"/>
                <w:color w:val="auto"/>
              </w:rPr>
            </w:pPr>
          </w:p>
        </w:tc>
        <w:tc>
          <w:tcPr>
            <w:tcW w:w="20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ind w:right="56"/>
              <w:spacing w:after="0"/>
              <w:rPr>
                <w:sz w:val="20"/>
                <w:szCs w:val="20"/>
                <w:color w:val="auto"/>
              </w:rPr>
            </w:pPr>
            <w:r>
              <w:rPr>
                <w:rFonts w:ascii="Arial" w:cs="Arial" w:eastAsia="Arial" w:hAnsi="Arial"/>
                <w:sz w:val="13"/>
                <w:szCs w:val="13"/>
                <w:color w:val="auto"/>
              </w:rPr>
              <w:t>95,270</w:t>
            </w:r>
          </w:p>
        </w:tc>
        <w:tc>
          <w:tcPr>
            <w:tcW w:w="0" w:type="dxa"/>
            <w:vAlign w:val="bottom"/>
          </w:tcPr>
          <w:p>
            <w:pPr>
              <w:spacing w:after="0"/>
              <w:rPr>
                <w:sz w:val="1"/>
                <w:szCs w:val="1"/>
                <w:color w:val="auto"/>
              </w:rPr>
            </w:pPr>
          </w:p>
        </w:tc>
      </w:tr>
      <w:tr>
        <w:trPr>
          <w:trHeight w:val="225"/>
        </w:trPr>
        <w:tc>
          <w:tcPr>
            <w:tcW w:w="428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3"/>
                <w:szCs w:val="13"/>
                <w:color w:val="auto"/>
              </w:rPr>
              <w:t>Weighted average coupon as of March 31, 2019</w:t>
            </w:r>
          </w:p>
        </w:tc>
        <w:tc>
          <w:tcPr>
            <w:tcW w:w="100" w:type="dxa"/>
            <w:vAlign w:val="bottom"/>
            <w:tcBorders>
              <w:top w:val="single" w:sz="8" w:color="auto"/>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3.83%</w:t>
            </w:r>
          </w:p>
        </w:tc>
        <w:tc>
          <w:tcPr>
            <w:tcW w:w="12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3.92%</w:t>
            </w:r>
          </w:p>
        </w:tc>
        <w:tc>
          <w:tcPr>
            <w:tcW w:w="10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3.72%</w:t>
            </w:r>
          </w:p>
        </w:tc>
        <w:tc>
          <w:tcPr>
            <w:tcW w:w="10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3.86%</w:t>
            </w: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4.65%</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5.69%</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3.88%</w:t>
            </w:r>
          </w:p>
        </w:tc>
        <w:tc>
          <w:tcPr>
            <w:tcW w:w="0" w:type="dxa"/>
            <w:vAlign w:val="bottom"/>
          </w:tcPr>
          <w:p>
            <w:pPr>
              <w:spacing w:after="0"/>
              <w:rPr>
                <w:sz w:val="1"/>
                <w:szCs w:val="1"/>
                <w:color w:val="auto"/>
              </w:rPr>
            </w:pPr>
          </w:p>
        </w:tc>
      </w:tr>
      <w:tr>
        <w:trPr>
          <w:trHeight w:val="254"/>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 xml:space="preserve">Weighted average yield as of March 31, 2019 </w:t>
            </w:r>
            <w:r>
              <w:rPr>
                <w:rFonts w:ascii="Arial" w:cs="Arial" w:eastAsia="Arial" w:hAnsi="Arial"/>
                <w:sz w:val="8"/>
                <w:szCs w:val="8"/>
                <w:color w:val="auto"/>
              </w:rPr>
              <w:t>1</w:t>
            </w:r>
          </w:p>
        </w:tc>
        <w:tc>
          <w:tcPr>
            <w:tcW w:w="1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3.24%</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3.30%</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2.06%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4.22%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4.61%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4.75%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3.29%</w:t>
            </w:r>
          </w:p>
        </w:tc>
        <w:tc>
          <w:tcPr>
            <w:tcW w:w="0" w:type="dxa"/>
            <w:vAlign w:val="bottom"/>
          </w:tcPr>
          <w:p>
            <w:pPr>
              <w:spacing w:after="0"/>
              <w:rPr>
                <w:sz w:val="1"/>
                <w:szCs w:val="1"/>
                <w:color w:val="auto"/>
              </w:rPr>
            </w:pPr>
          </w:p>
        </w:tc>
      </w:tr>
    </w:tbl>
    <w:p>
      <w:pPr>
        <w:spacing w:after="0" w:line="220"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10.5% based on forward rates as of March 31, 2019.</w:t>
      </w:r>
    </w:p>
    <w:p>
      <w:pPr>
        <w:spacing w:after="0" w:line="377"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0"/>
              </w:rPr>
              <w:t>December 31, 2018</w:t>
            </w: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gridSpan w:val="5"/>
          </w:tcPr>
          <w:p>
            <w:pPr>
              <w:jc w:val="right"/>
              <w:ind w:right="516"/>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Fannie</w:t>
            </w:r>
          </w:p>
        </w:tc>
        <w:tc>
          <w:tcPr>
            <w:tcW w:w="920" w:type="dxa"/>
            <w:vAlign w:val="bottom"/>
            <w:gridSpan w:val="2"/>
            <w:vMerge w:val="restart"/>
          </w:tcPr>
          <w:p>
            <w:pPr>
              <w:jc w:val="right"/>
              <w:ind w:right="17"/>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ind w:right="176"/>
              <w:spacing w:after="0" w:line="153"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RMBS</w:t>
            </w:r>
          </w:p>
        </w:tc>
        <w:tc>
          <w:tcPr>
            <w:tcW w:w="100" w:type="dxa"/>
            <w:vAlign w:val="bottom"/>
            <w:vMerge w:val="restart"/>
          </w:tcPr>
          <w:p>
            <w:pPr>
              <w:spacing w:after="0"/>
              <w:rPr>
                <w:sz w:val="13"/>
                <w:szCs w:val="13"/>
                <w:color w:val="auto"/>
              </w:rPr>
            </w:pPr>
          </w:p>
        </w:tc>
        <w:tc>
          <w:tcPr>
            <w:tcW w:w="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CRT</w:t>
            </w:r>
          </w:p>
        </w:tc>
        <w:tc>
          <w:tcPr>
            <w:tcW w:w="12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vMerge w:val="restart"/>
          </w:tcPr>
          <w:p>
            <w:pPr>
              <w:jc w:val="right"/>
              <w:ind w:right="25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Mae</w:t>
            </w:r>
          </w:p>
        </w:tc>
        <w:tc>
          <w:tcPr>
            <w:tcW w:w="100" w:type="dxa"/>
            <w:vAlign w:val="bottom"/>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Mae</w:t>
            </w:r>
          </w:p>
        </w:tc>
        <w:tc>
          <w:tcPr>
            <w:tcW w:w="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Available-for-sale securities:</w:t>
            </w: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17,591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5,673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300" w:type="dxa"/>
            <w:vAlign w:val="bottom"/>
            <w:gridSpan w:val="3"/>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jc w:val="right"/>
              <w:ind w:right="33"/>
              <w:spacing w:after="0"/>
              <w:rPr>
                <w:sz w:val="20"/>
                <w:szCs w:val="20"/>
                <w:color w:val="auto"/>
              </w:rPr>
            </w:pPr>
            <w:r>
              <w:rPr>
                <w:rFonts w:ascii="Arial" w:cs="Arial" w:eastAsia="Arial" w:hAnsi="Arial"/>
                <w:sz w:val="9"/>
                <w:szCs w:val="9"/>
                <w:color w:val="auto"/>
                <w:w w:val="78"/>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23,295</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912</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343</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1,255</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Pr>
          <w:p>
            <w:pPr>
              <w:spacing w:after="0"/>
              <w:rPr>
                <w:sz w:val="21"/>
                <w:szCs w:val="21"/>
                <w:color w:val="auto"/>
              </w:rPr>
            </w:pP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18,493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6,014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25</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24,538</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7</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(686)</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(264)</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(950)</w:t>
            </w: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available-for-sale securities, at fair value</w:t>
            </w: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17,811</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5,752</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23,595</w:t>
            </w:r>
          </w:p>
        </w:tc>
        <w:tc>
          <w:tcPr>
            <w:tcW w:w="0" w:type="dxa"/>
            <w:vAlign w:val="bottom"/>
          </w:tcPr>
          <w:p>
            <w:pPr>
              <w:spacing w:after="0"/>
              <w:rPr>
                <w:sz w:val="1"/>
                <w:szCs w:val="1"/>
                <w:color w:val="auto"/>
              </w:rPr>
            </w:pPr>
          </w:p>
        </w:tc>
      </w:tr>
      <w:tr>
        <w:trPr>
          <w:trHeight w:val="256"/>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Securities remeasured at fair value through earnings:</w:t>
            </w:r>
          </w:p>
        </w:tc>
        <w:tc>
          <w:tcPr>
            <w:tcW w:w="140" w:type="dxa"/>
            <w:vAlign w:val="bottom"/>
            <w:tcBorders>
              <w:top w:val="single" w:sz="8" w:color="auto"/>
            </w:tcBorders>
          </w:tcPr>
          <w:p>
            <w:pPr>
              <w:spacing w:after="0"/>
              <w:rPr>
                <w:sz w:val="22"/>
                <w:szCs w:val="22"/>
                <w:color w:val="auto"/>
              </w:rPr>
            </w:pPr>
          </w:p>
        </w:tc>
        <w:tc>
          <w:tcPr>
            <w:tcW w:w="7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39,453</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18,428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268</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281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968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59,398</w:t>
            </w:r>
          </w:p>
        </w:tc>
        <w:tc>
          <w:tcPr>
            <w:tcW w:w="0" w:type="dxa"/>
            <w:vAlign w:val="bottom"/>
          </w:tcPr>
          <w:p>
            <w:pPr>
              <w:spacing w:after="0"/>
              <w:rPr>
                <w:sz w:val="1"/>
                <w:szCs w:val="1"/>
                <w:color w:val="auto"/>
              </w:rPr>
            </w:pPr>
          </w:p>
        </w:tc>
      </w:tr>
      <w:tr>
        <w:trPr>
          <w:trHeight w:val="262"/>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(78)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(103)</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Unamortized premium</w:t>
            </w: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1,055</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638</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1,736</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Borders>
              <w:top w:val="single" w:sz="8" w:color="auto"/>
            </w:tcBorders>
          </w:tcPr>
          <w:p>
            <w:pPr>
              <w:spacing w:after="0"/>
              <w:rPr>
                <w:sz w:val="21"/>
                <w:szCs w:val="21"/>
                <w:color w:val="auto"/>
              </w:rPr>
            </w:pPr>
          </w:p>
        </w:tc>
        <w:tc>
          <w:tcPr>
            <w:tcW w:w="78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40,430</w:t>
            </w:r>
          </w:p>
        </w:tc>
        <w:tc>
          <w:tcPr>
            <w:tcW w:w="10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660" w:type="dxa"/>
            <w:vAlign w:val="bottom"/>
            <w:tcBorders>
              <w:top w:val="single" w:sz="8" w:color="auto"/>
            </w:tcBorders>
          </w:tcPr>
          <w:p>
            <w:pPr>
              <w:jc w:val="right"/>
              <w:ind w:right="77"/>
              <w:spacing w:after="0"/>
              <w:rPr>
                <w:sz w:val="20"/>
                <w:szCs w:val="20"/>
                <w:color w:val="auto"/>
              </w:rPr>
            </w:pPr>
            <w:r>
              <w:rPr>
                <w:rFonts w:ascii="Arial" w:cs="Arial" w:eastAsia="Arial" w:hAnsi="Arial"/>
                <w:sz w:val="13"/>
                <w:szCs w:val="13"/>
                <w:color w:val="auto"/>
              </w:rPr>
              <w:t>19,057</w:t>
            </w:r>
          </w:p>
        </w:tc>
        <w:tc>
          <w:tcPr>
            <w:tcW w:w="10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740" w:type="dxa"/>
            <w:vAlign w:val="bottom"/>
            <w:tcBorders>
              <w:top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76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258</w:t>
            </w:r>
          </w:p>
        </w:tc>
        <w:tc>
          <w:tcPr>
            <w:tcW w:w="100" w:type="dxa"/>
            <w:vAlign w:val="bottom"/>
          </w:tcPr>
          <w:p>
            <w:pPr>
              <w:spacing w:after="0"/>
              <w:rPr>
                <w:sz w:val="21"/>
                <w:szCs w:val="21"/>
                <w:color w:val="auto"/>
              </w:rPr>
            </w:pPr>
          </w:p>
        </w:tc>
        <w:tc>
          <w:tcPr>
            <w:tcW w:w="20" w:type="dxa"/>
            <w:vAlign w:val="bottom"/>
            <w:tcBorders>
              <w:top w:val="single" w:sz="8" w:color="auto"/>
            </w:tcBorders>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76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280</w:t>
            </w:r>
          </w:p>
        </w:tc>
        <w:tc>
          <w:tcPr>
            <w:tcW w:w="10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1,006</w:t>
            </w:r>
          </w:p>
        </w:tc>
        <w:tc>
          <w:tcPr>
            <w:tcW w:w="12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74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61,031</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223</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57</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303</w:t>
            </w:r>
          </w:p>
        </w:tc>
        <w:tc>
          <w:tcPr>
            <w:tcW w:w="0" w:type="dxa"/>
            <w:vAlign w:val="bottom"/>
          </w:tcPr>
          <w:p>
            <w:pPr>
              <w:spacing w:after="0"/>
              <w:rPr>
                <w:sz w:val="1"/>
                <w:szCs w:val="1"/>
                <w:color w:val="auto"/>
              </w:rPr>
            </w:pPr>
          </w:p>
        </w:tc>
      </w:tr>
      <w:tr>
        <w:trPr>
          <w:trHeight w:val="264"/>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Gross unrealized losses</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(386)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(243)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(642)</w:t>
            </w:r>
          </w:p>
        </w:tc>
        <w:tc>
          <w:tcPr>
            <w:tcW w:w="0" w:type="dxa"/>
            <w:vAlign w:val="bottom"/>
          </w:tcPr>
          <w:p>
            <w:pPr>
              <w:spacing w:after="0"/>
              <w:rPr>
                <w:sz w:val="1"/>
                <w:szCs w:val="1"/>
                <w:color w:val="auto"/>
              </w:rPr>
            </w:pPr>
          </w:p>
        </w:tc>
      </w:tr>
      <w:tr>
        <w:trPr>
          <w:trHeight w:val="250"/>
        </w:trPr>
        <w:tc>
          <w:tcPr>
            <w:tcW w:w="42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securities remeasured at fair value through earnings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40,267</w:t>
            </w:r>
          </w:p>
        </w:tc>
        <w:tc>
          <w:tcPr>
            <w:tcW w:w="10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660" w:type="dxa"/>
            <w:vAlign w:val="bottom"/>
            <w:tcBorders>
              <w:top w:val="single" w:sz="8" w:color="auto"/>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18,871</w:t>
            </w:r>
          </w:p>
        </w:tc>
        <w:tc>
          <w:tcPr>
            <w:tcW w:w="10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260</w:t>
            </w:r>
          </w:p>
        </w:tc>
        <w:tc>
          <w:tcPr>
            <w:tcW w:w="100" w:type="dxa"/>
            <w:vAlign w:val="bottom"/>
            <w:tcBorders>
              <w:top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282</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1,012</w:t>
            </w:r>
          </w:p>
        </w:tc>
        <w:tc>
          <w:tcPr>
            <w:tcW w:w="12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60,692</w:t>
            </w:r>
          </w:p>
        </w:tc>
        <w:tc>
          <w:tcPr>
            <w:tcW w:w="0" w:type="dxa"/>
            <w:vAlign w:val="bottom"/>
          </w:tcPr>
          <w:p>
            <w:pPr>
              <w:spacing w:after="0"/>
              <w:rPr>
                <w:sz w:val="1"/>
                <w:szCs w:val="1"/>
                <w:color w:val="auto"/>
              </w:rPr>
            </w:pPr>
          </w:p>
        </w:tc>
      </w:tr>
      <w:tr>
        <w:trPr>
          <w:trHeight w:val="28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Total securities, at fair value</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58,078</w:t>
            </w:r>
          </w:p>
        </w:tc>
        <w:tc>
          <w:tcPr>
            <w:tcW w:w="100" w:type="dxa"/>
            <w:vAlign w:val="bottom"/>
          </w:tcPr>
          <w:p>
            <w:pPr>
              <w:spacing w:after="0"/>
              <w:rPr>
                <w:sz w:val="24"/>
                <w:szCs w:val="24"/>
                <w:color w:val="auto"/>
              </w:rPr>
            </w:pPr>
          </w:p>
        </w:tc>
        <w:tc>
          <w:tcPr>
            <w:tcW w:w="260" w:type="dxa"/>
            <w:vAlign w:val="bottom"/>
          </w:tcPr>
          <w:p>
            <w:pPr>
              <w:ind w:left="20"/>
              <w:spacing w:after="0"/>
              <w:rPr>
                <w:sz w:val="20"/>
                <w:szCs w:val="20"/>
                <w:color w:val="auto"/>
              </w:rPr>
            </w:pPr>
            <w:r>
              <w:rPr>
                <w:rFonts w:ascii="Arial" w:cs="Arial" w:eastAsia="Arial" w:hAnsi="Arial"/>
                <w:sz w:val="13"/>
                <w:szCs w:val="13"/>
                <w:color w:val="auto"/>
              </w:rPr>
              <w:t>$</w:t>
            </w: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24,623</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26</w:t>
            </w:r>
          </w:p>
        </w:tc>
        <w:tc>
          <w:tcPr>
            <w:tcW w:w="300" w:type="dxa"/>
            <w:vAlign w:val="bottom"/>
            <w:gridSpan w:val="3"/>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266</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jc w:val="right"/>
              <w:ind w:right="33"/>
              <w:spacing w:after="0"/>
              <w:rPr>
                <w:sz w:val="20"/>
                <w:szCs w:val="20"/>
                <w:color w:val="auto"/>
              </w:rPr>
            </w:pPr>
            <w:r>
              <w:rPr>
                <w:rFonts w:ascii="Arial" w:cs="Arial" w:eastAsia="Arial" w:hAnsi="Arial"/>
                <w:sz w:val="9"/>
                <w:szCs w:val="9"/>
                <w:color w:val="auto"/>
                <w:w w:val="78"/>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282</w:t>
            </w:r>
          </w:p>
        </w:tc>
        <w:tc>
          <w:tcPr>
            <w:tcW w:w="100" w:type="dxa"/>
            <w:vAlign w:val="bottom"/>
          </w:tcPr>
          <w:p>
            <w:pPr>
              <w:spacing w:after="0"/>
              <w:rPr>
                <w:sz w:val="24"/>
                <w:szCs w:val="24"/>
                <w:color w:val="auto"/>
              </w:rPr>
            </w:pPr>
          </w:p>
        </w:tc>
        <w:tc>
          <w:tcPr>
            <w:tcW w:w="20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1,012</w:t>
            </w:r>
          </w:p>
        </w:tc>
        <w:tc>
          <w:tcPr>
            <w:tcW w:w="120" w:type="dxa"/>
            <w:vAlign w:val="bottom"/>
          </w:tcPr>
          <w:p>
            <w:pPr>
              <w:spacing w:after="0"/>
              <w:rPr>
                <w:sz w:val="24"/>
                <w:szCs w:val="24"/>
                <w:color w:val="auto"/>
              </w:rPr>
            </w:pPr>
          </w:p>
        </w:tc>
        <w:tc>
          <w:tcPr>
            <w:tcW w:w="180" w:type="dxa"/>
            <w:vAlign w:val="bottom"/>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84,287</w:t>
            </w:r>
          </w:p>
        </w:tc>
        <w:tc>
          <w:tcPr>
            <w:tcW w:w="0" w:type="dxa"/>
            <w:vAlign w:val="bottom"/>
          </w:tcPr>
          <w:p>
            <w:pPr>
              <w:spacing w:after="0"/>
              <w:rPr>
                <w:sz w:val="1"/>
                <w:szCs w:val="1"/>
                <w:color w:val="auto"/>
              </w:rPr>
            </w:pPr>
          </w:p>
        </w:tc>
      </w:tr>
      <w:tr>
        <w:trPr>
          <w:trHeight w:val="225"/>
        </w:trPr>
        <w:tc>
          <w:tcPr>
            <w:tcW w:w="42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Weighted average coupon as of December 31, 2018</w:t>
            </w:r>
          </w:p>
        </w:tc>
        <w:tc>
          <w:tcPr>
            <w:tcW w:w="140" w:type="dxa"/>
            <w:vAlign w:val="bottom"/>
            <w:tcBorders>
              <w:top w:val="single" w:sz="8" w:color="auto"/>
            </w:tcBorders>
            <w:shd w:val="clear" w:color="auto" w:fill="CCEEFF"/>
          </w:tcPr>
          <w:p>
            <w:pPr>
              <w:spacing w:after="0"/>
              <w:rPr>
                <w:sz w:val="19"/>
                <w:szCs w:val="19"/>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3.82%</w:t>
            </w: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3.87%</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3.37%</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3.83%</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4.58%</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5.86%</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3.86%</w:t>
            </w:r>
          </w:p>
        </w:tc>
        <w:tc>
          <w:tcPr>
            <w:tcW w:w="0" w:type="dxa"/>
            <w:vAlign w:val="bottom"/>
          </w:tcPr>
          <w:p>
            <w:pPr>
              <w:spacing w:after="0"/>
              <w:rPr>
                <w:sz w:val="1"/>
                <w:szCs w:val="1"/>
                <w:color w:val="auto"/>
              </w:rPr>
            </w:pPr>
          </w:p>
        </w:tc>
      </w:tr>
      <w:tr>
        <w:trPr>
          <w:trHeight w:val="254"/>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 xml:space="preserve">Weighted average yield as of December 31, 2018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3.28%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3.28%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2.04%</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4.22%</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4.68%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5.16%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3.31%</w:t>
            </w:r>
          </w:p>
        </w:tc>
        <w:tc>
          <w:tcPr>
            <w:tcW w:w="0" w:type="dxa"/>
            <w:vAlign w:val="bottom"/>
          </w:tcPr>
          <w:p>
            <w:pPr>
              <w:spacing w:after="0"/>
              <w:rPr>
                <w:sz w:val="1"/>
                <w:szCs w:val="1"/>
                <w:color w:val="auto"/>
              </w:rPr>
            </w:pPr>
          </w:p>
        </w:tc>
      </w:tr>
    </w:tbl>
    <w:p>
      <w:pPr>
        <w:spacing w:after="0" w:line="220"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7.9% based on forward rates as of December 31, 2018.</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887" w:right="259" w:bottom="1440" w:gutter="0" w:footer="0" w:header="0"/>
        </w:sectPr>
      </w:pPr>
    </w:p>
    <w:bookmarkStart w:id="12" w:name="page13"/>
    <w:bookmarkEnd w:id="12"/>
    <w:p>
      <w:pPr>
        <w:ind w:left="440"/>
        <w:spacing w:after="0"/>
        <w:rPr>
          <w:sz w:val="20"/>
          <w:szCs w:val="20"/>
          <w:color w:val="auto"/>
        </w:rPr>
      </w:pPr>
      <w:r>
        <w:rPr>
          <w:rFonts w:ascii="Arial" w:cs="Arial" w:eastAsia="Arial" w:hAnsi="Arial"/>
          <w:sz w:val="18"/>
          <w:szCs w:val="18"/>
          <w:color w:val="auto"/>
        </w:rPr>
        <w:t>As of March 31, 2019 and December 31, 2018, our investments in CRT and non-Agency securities had the following credit ratings: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March 31, 2019</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2018</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CMBS</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156</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AA</w:t>
            </w:r>
          </w:p>
        </w:tc>
        <w:tc>
          <w:tcPr>
            <w:tcW w:w="260" w:type="dxa"/>
            <w:vAlign w:val="bottom"/>
          </w:tcPr>
          <w:p>
            <w:pPr>
              <w:spacing w:after="0"/>
              <w:rPr>
                <w:sz w:val="22"/>
                <w:szCs w:val="22"/>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190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54</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58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600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453</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46</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1,129</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319</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353</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1,012</w:t>
            </w:r>
          </w:p>
        </w:tc>
        <w:tc>
          <w:tcPr>
            <w:tcW w:w="3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282</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Our CRT securities reference the performance of loans underlying Agency RMBS issued by Fannie Mae or Freddie Mac, which were subject to their underwriting standards. As of March 31, 2019, our CRT securities had floating and fixed rate coupons ranging from 3.0% to 8.8%, referenced to loans originated between 2011 and 2018 with weighted average coupons ranging from 3.7% to 4.9%. As of December 31, 2018, our CRT securities had floating rate coupons ranging from 3.9% to 9.5%, referenced to loans originated between 2011 and 2018 with weighted average coupons ranging from 3.8% to 4.8%.</w:t>
      </w:r>
    </w:p>
    <w:p>
      <w:pPr>
        <w:spacing w:after="0" w:line="100"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The actual maturities of our investment securities are generally shorter than their stated contractual maturities. The actual maturities of our Agency and high credit quality non-Agency RMBS are primarily affected by principal prepayments and to a lesser degree the contractual lives of the underlying mortgages and periodic contractual principal repayments. The actual maturities of our credit-oriented investments are primarily impacted by their contractual lives and default and loss recovery rates. As of March 31, 2019 and December 31, 2018, the weighted average expected constant prepayment rate ("CPR") over the remaining life of our Agency and high credit quality non-Agency RMBS investment portfolio was 10.5% and 7.9%, respectively. Our estimates can differ materially for different securities and thus our individual holdings have a wide range of projected CPRs. The following table summarizes our investments as of March 31, 2019 and December 31, 2018 according to their estimated weighted average life classification (dollars in millions):</w:t>
      </w:r>
    </w:p>
    <w:p>
      <w:pPr>
        <w:spacing w:after="0" w:line="3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ind w:left="460"/>
              <w:spacing w:after="0"/>
              <w:rPr>
                <w:sz w:val="20"/>
                <w:szCs w:val="20"/>
                <w:color w:val="auto"/>
              </w:rPr>
            </w:pPr>
            <w:r>
              <w:rPr>
                <w:rFonts w:ascii="Arial" w:cs="Arial" w:eastAsia="Arial" w:hAnsi="Arial"/>
                <w:sz w:val="14"/>
                <w:szCs w:val="14"/>
                <w:b w:val="1"/>
                <w:bCs w:val="1"/>
                <w:color w:val="auto"/>
              </w:rPr>
              <w:t>March 31, 2019</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December 31, 2018</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Estimated Weighted Average Life of</w:t>
            </w: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1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2"/>
                <w:szCs w:val="12"/>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2"/>
              </w:rPr>
              <w:t>Fair Value</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Coupon</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1 year and ≤ 3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2,452</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2,461</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3.94%</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2.83%</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1,690</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1,716</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3.99%</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2.64%</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&gt; 3 years and ≤ 5 years</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18,438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18,225</w:t>
            </w:r>
          </w:p>
        </w:tc>
        <w:tc>
          <w:tcPr>
            <w:tcW w:w="12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90"/>
              </w:rPr>
              <w:t>3.85%</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3.35%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5,518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5,586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3.35%</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2.73%</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&gt; 5 years and ≤10 years</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74,329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74,354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3.89%</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3.29%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72,503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73,588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3.92%</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3.37%</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&gt; 10 years</w:t>
            </w: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51</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3.78%</w:t>
            </w: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4.12%</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4,576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4,679</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3.57%</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3.30%</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95,270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95,090</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3.88%</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3.29%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84,287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85,569</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3.86%</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3.31%</w:t>
            </w:r>
          </w:p>
        </w:tc>
        <w:tc>
          <w:tcPr>
            <w:tcW w:w="0" w:type="dxa"/>
            <w:vAlign w:val="bottom"/>
          </w:tcPr>
          <w:p>
            <w:pPr>
              <w:spacing w:after="0"/>
              <w:rPr>
                <w:sz w:val="1"/>
                <w:szCs w:val="1"/>
                <w:color w:val="auto"/>
              </w:rPr>
            </w:pP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presents the gross unrealized loss and fair values of securities classified as available-for-sale by length of time that such securities have been in a continuous unrealized loss position as of March 31, 2019 and December 31, 2018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Unrealized Loss Position For</w:t>
            </w: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218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gridSpan w:val="4"/>
          </w:tcPr>
          <w:p>
            <w:pPr>
              <w:jc w:val="right"/>
              <w:ind w:right="508"/>
              <w:spacing w:after="0"/>
              <w:rPr>
                <w:sz w:val="20"/>
                <w:szCs w:val="20"/>
                <w:color w:val="auto"/>
              </w:rPr>
            </w:pPr>
            <w:r>
              <w:rPr>
                <w:rFonts w:ascii="Arial" w:cs="Arial" w:eastAsia="Arial" w:hAnsi="Arial"/>
                <w:sz w:val="14"/>
                <w:szCs w:val="14"/>
                <w:b w:val="1"/>
                <w:bCs w:val="1"/>
                <w:color w:val="auto"/>
              </w:rPr>
              <w:t>12 Months or More</w:t>
            </w:r>
          </w:p>
        </w:tc>
        <w:tc>
          <w:tcPr>
            <w:tcW w:w="12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w w:val="89"/>
              </w:rPr>
              <w:t>Total</w:t>
            </w:r>
          </w:p>
        </w:tc>
        <w:tc>
          <w:tcPr>
            <w:tcW w:w="9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9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Securities Classified as Available-for-Sale</w:t>
            </w:r>
          </w:p>
        </w:tc>
        <w:tc>
          <w:tcPr>
            <w:tcW w:w="120" w:type="dxa"/>
            <w:vAlign w:val="bottom"/>
            <w:vMerge w:val="restart"/>
          </w:tcPr>
          <w:p>
            <w:pPr>
              <w:spacing w:after="0"/>
              <w:rPr>
                <w:sz w:val="13"/>
                <w:szCs w:val="13"/>
                <w:color w:val="auto"/>
              </w:rPr>
            </w:pPr>
          </w:p>
        </w:tc>
        <w:tc>
          <w:tcPr>
            <w:tcW w:w="260" w:type="dxa"/>
            <w:vAlign w:val="bottom"/>
          </w:tcPr>
          <w:p>
            <w:pPr>
              <w:spacing w:after="0"/>
              <w:rPr>
                <w:sz w:val="13"/>
                <w:szCs w:val="13"/>
                <w:color w:val="auto"/>
              </w:rPr>
            </w:pPr>
          </w:p>
        </w:tc>
        <w:tc>
          <w:tcPr>
            <w:tcW w:w="1020" w:type="dxa"/>
            <w:vAlign w:val="bottom"/>
            <w:gridSpan w:val="2"/>
          </w:tcPr>
          <w:p>
            <w:pPr>
              <w:ind w:left="180"/>
              <w:spacing w:after="0" w:line="153" w:lineRule="exact"/>
              <w:rPr>
                <w:sz w:val="20"/>
                <w:szCs w:val="20"/>
                <w:color w:val="auto"/>
              </w:rPr>
            </w:pPr>
            <w:r>
              <w:rPr>
                <w:rFonts w:ascii="Arial" w:cs="Arial" w:eastAsia="Arial" w:hAnsi="Arial"/>
                <w:sz w:val="14"/>
                <w:szCs w:val="14"/>
                <w:b w:val="1"/>
                <w:bCs w:val="1"/>
                <w:color w:val="auto"/>
              </w:rPr>
              <w:t>Fair</w:t>
            </w:r>
          </w:p>
        </w:tc>
        <w:tc>
          <w:tcPr>
            <w:tcW w:w="180" w:type="dxa"/>
            <w:vAlign w:val="bottom"/>
          </w:tcPr>
          <w:p>
            <w:pPr>
              <w:spacing w:after="0"/>
              <w:rPr>
                <w:sz w:val="13"/>
                <w:szCs w:val="13"/>
                <w:color w:val="auto"/>
              </w:rPr>
            </w:pPr>
          </w:p>
        </w:tc>
        <w:tc>
          <w:tcPr>
            <w:tcW w:w="110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18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240" w:type="dxa"/>
            <w:vAlign w:val="bottom"/>
          </w:tcPr>
          <w:p>
            <w:pPr>
              <w:spacing w:after="0"/>
              <w:rPr>
                <w:sz w:val="13"/>
                <w:szCs w:val="13"/>
                <w:color w:val="auto"/>
              </w:rPr>
            </w:pPr>
          </w:p>
        </w:tc>
        <w:tc>
          <w:tcPr>
            <w:tcW w:w="780" w:type="dxa"/>
            <w:vAlign w:val="bottom"/>
          </w:tcPr>
          <w:p>
            <w:pPr>
              <w:jc w:val="right"/>
              <w:ind w:right="268"/>
              <w:spacing w:after="0" w:line="153" w:lineRule="exact"/>
              <w:rPr>
                <w:sz w:val="20"/>
                <w:szCs w:val="20"/>
                <w:color w:val="auto"/>
              </w:rPr>
            </w:pPr>
            <w:r>
              <w:rPr>
                <w:rFonts w:ascii="Arial" w:cs="Arial" w:eastAsia="Arial" w:hAnsi="Arial"/>
                <w:sz w:val="14"/>
                <w:szCs w:val="14"/>
                <w:b w:val="1"/>
                <w:bCs w:val="1"/>
                <w:color w:val="auto"/>
              </w:rPr>
              <w:t>Fair</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jc w:val="right"/>
              <w:ind w:right="148"/>
              <w:spacing w:after="0" w:line="153" w:lineRule="exact"/>
              <w:rPr>
                <w:sz w:val="20"/>
                <w:szCs w:val="20"/>
                <w:color w:val="auto"/>
              </w:rPr>
            </w:pPr>
            <w:r>
              <w:rPr>
                <w:rFonts w:ascii="Arial" w:cs="Arial" w:eastAsia="Arial" w:hAnsi="Arial"/>
                <w:sz w:val="14"/>
                <w:szCs w:val="14"/>
                <w:b w:val="1"/>
                <w:bCs w:val="1"/>
                <w:color w:val="auto"/>
                <w:w w:val="98"/>
              </w:rPr>
              <w:t>Unrealized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2019</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20,119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(567)</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20,227</w:t>
            </w:r>
          </w:p>
        </w:tc>
        <w:tc>
          <w:tcPr>
            <w:tcW w:w="38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(568)</w:t>
            </w:r>
          </w:p>
        </w:tc>
        <w:tc>
          <w:tcPr>
            <w:tcW w:w="0" w:type="dxa"/>
            <w:vAlign w:val="bottom"/>
          </w:tcPr>
          <w:p>
            <w:pPr>
              <w:spacing w:after="0"/>
              <w:rPr>
                <w:sz w:val="1"/>
                <w:szCs w:val="1"/>
                <w:color w:val="auto"/>
              </w:rPr>
            </w:pPr>
          </w:p>
        </w:tc>
      </w:tr>
      <w:tr>
        <w:trPr>
          <w:trHeight w:val="258"/>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December 31, 2018</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4,783</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(72)</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18,231</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(878)</w:t>
            </w:r>
          </w:p>
        </w:tc>
        <w:tc>
          <w:tcPr>
            <w:tcW w:w="120" w:type="dxa"/>
            <w:vAlign w:val="bottom"/>
          </w:tcPr>
          <w:p>
            <w:pPr>
              <w:spacing w:after="0"/>
              <w:rPr>
                <w:sz w:val="22"/>
                <w:szCs w:val="22"/>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23,014</w:t>
            </w:r>
          </w:p>
        </w:tc>
        <w:tc>
          <w:tcPr>
            <w:tcW w:w="380" w:type="dxa"/>
            <w:vAlign w:val="bottom"/>
            <w:gridSpan w:val="3"/>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(950)</w:t>
            </w:r>
          </w:p>
        </w:tc>
        <w:tc>
          <w:tcPr>
            <w:tcW w:w="0" w:type="dxa"/>
            <w:vAlign w:val="bottom"/>
          </w:tcPr>
          <w:p>
            <w:pPr>
              <w:spacing w:after="0"/>
              <w:rPr>
                <w:sz w:val="1"/>
                <w:szCs w:val="1"/>
                <w:color w:val="auto"/>
              </w:rPr>
            </w:pPr>
          </w:p>
        </w:tc>
      </w:tr>
    </w:tbl>
    <w:p>
      <w:pPr>
        <w:spacing w:after="0" w:line="160"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We did not recognize OTTI charges on our investment securities during the periods presented on our consolidated statements of operations. As of the end of each respective reporting period, a decision had not been made to sell securities in an unrealized loss position and we did not believe it was more likely than not that we would be required to sell such securities before recovery of their amortized cost basis. The unrealized losses on our securities were not due to credit losses given the GSE or U.S. Government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746" w:right="239" w:bottom="1440" w:gutter="0" w:footer="0" w:header="0"/>
        </w:sectPr>
      </w:pPr>
    </w:p>
    <w:bookmarkStart w:id="13" w:name="page14"/>
    <w:bookmarkEnd w:id="13"/>
    <w:p>
      <w:pPr>
        <w:spacing w:after="0" w:line="277" w:lineRule="auto"/>
        <w:rPr>
          <w:sz w:val="20"/>
          <w:szCs w:val="20"/>
          <w:color w:val="auto"/>
        </w:rPr>
      </w:pPr>
      <w:r>
        <w:rPr>
          <w:rFonts w:ascii="Arial" w:cs="Arial" w:eastAsia="Arial" w:hAnsi="Arial"/>
          <w:sz w:val="18"/>
          <w:szCs w:val="18"/>
          <w:color w:val="auto"/>
        </w:rPr>
        <w:t>agency guarantees, but rather were due to changes in interest rates and prepayment expectations. However, as we continue to actively manage our portfolio, we may recognize additional realized losses on our investment securities upon selecting specific securities to sell.</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Gains and Losses on Sale of Investment Securities</w:t>
      </w:r>
    </w:p>
    <w:p>
      <w:pPr>
        <w:spacing w:after="0" w:line="171" w:lineRule="exact"/>
        <w:rPr>
          <w:sz w:val="20"/>
          <w:szCs w:val="20"/>
          <w:color w:val="auto"/>
        </w:rPr>
      </w:pPr>
    </w:p>
    <w:p>
      <w:pPr>
        <w:ind w:right="20" w:firstLine="486"/>
        <w:spacing w:after="0" w:line="277" w:lineRule="auto"/>
        <w:rPr>
          <w:sz w:val="20"/>
          <w:szCs w:val="20"/>
          <w:color w:val="auto"/>
        </w:rPr>
      </w:pPr>
      <w:r>
        <w:rPr>
          <w:rFonts w:ascii="Arial" w:cs="Arial" w:eastAsia="Arial" w:hAnsi="Arial"/>
          <w:sz w:val="18"/>
          <w:szCs w:val="18"/>
          <w:color w:val="auto"/>
        </w:rPr>
        <w:t>The following table is a summary of our net gain (loss) from the sale of investment securities for the three months ended March 31, 2019 and 2018 by investment classification of accounting (in millions):</w:t>
      </w:r>
    </w:p>
    <w:p>
      <w:pPr>
        <w:spacing w:after="0" w:line="176" w:lineRule="exact"/>
        <w:rPr>
          <w:sz w:val="20"/>
          <w:szCs w:val="20"/>
          <w:color w:val="auto"/>
        </w:rPr>
      </w:pPr>
    </w:p>
    <w:tbl>
      <w:tblPr>
        <w:tblLayout w:type="fixed"/>
        <w:tblInd w:w="480" w:type="dxa"/>
        <w:tblCellMar>
          <w:top w:w="0" w:type="dxa"/>
          <w:left w:w="0" w:type="dxa"/>
          <w:bottom w:w="0" w:type="dxa"/>
          <w:right w:w="0" w:type="dxa"/>
        </w:tblCellMar>
      </w:tblPr>
      <w:tr>
        <w:trPr>
          <w:trHeight w:val="192"/>
        </w:trPr>
        <w:tc>
          <w:tcPr>
            <w:tcW w:w="3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8"/>
              </w:rPr>
              <w:t>Three Months Ended March 31,</w:t>
            </w: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r>
      <w:tr>
        <w:trPr>
          <w:trHeight w:val="264"/>
        </w:trPr>
        <w:tc>
          <w:tcPr>
            <w:tcW w:w="3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9"/>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r>
      <w:tr>
        <w:trPr>
          <w:trHeight w:val="143"/>
        </w:trPr>
        <w:tc>
          <w:tcPr>
            <w:tcW w:w="3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tcPr>
          <w:p>
            <w:pPr>
              <w:jc w:val="center"/>
              <w:ind w:right="100"/>
              <w:spacing w:after="0" w:line="144" w:lineRule="exact"/>
              <w:rPr>
                <w:sz w:val="20"/>
                <w:szCs w:val="20"/>
                <w:color w:val="auto"/>
              </w:rPr>
            </w:pPr>
            <w:r>
              <w:rPr>
                <w:rFonts w:ascii="Arial" w:cs="Arial" w:eastAsia="Arial" w:hAnsi="Arial"/>
                <w:sz w:val="13"/>
                <w:szCs w:val="13"/>
                <w:b w:val="1"/>
                <w:bCs w:val="1"/>
                <w:color w:val="auto"/>
                <w:w w:val="89"/>
              </w:rPr>
              <w:t>Available-for-</w:t>
            </w: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35"/>
        </w:trPr>
        <w:tc>
          <w:tcPr>
            <w:tcW w:w="3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2"/>
              </w:rPr>
              <w:t>Sale</w:t>
            </w:r>
          </w:p>
        </w:tc>
        <w:tc>
          <w:tcPr>
            <w:tcW w:w="116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Fair Value Option</w:t>
            </w: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3"/>
          </w:tcPr>
          <w:p>
            <w:pPr>
              <w:ind w:left="20"/>
              <w:spacing w:after="0" w:line="135" w:lineRule="exact"/>
              <w:rPr>
                <w:sz w:val="20"/>
                <w:szCs w:val="20"/>
                <w:color w:val="auto"/>
              </w:rPr>
            </w:pPr>
            <w:r>
              <w:rPr>
                <w:rFonts w:ascii="Arial" w:cs="Arial" w:eastAsia="Arial" w:hAnsi="Arial"/>
                <w:sz w:val="13"/>
                <w:szCs w:val="13"/>
                <w:b w:val="1"/>
                <w:bCs w:val="1"/>
                <w:color w:val="auto"/>
              </w:rPr>
              <w:t>Available-for-Sale</w:t>
            </w:r>
          </w:p>
        </w:tc>
        <w:tc>
          <w:tcPr>
            <w:tcW w:w="114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Fair Value Option</w:t>
            </w:r>
          </w:p>
        </w:tc>
        <w:tc>
          <w:tcPr>
            <w:tcW w:w="240" w:type="dxa"/>
            <w:vAlign w:val="bottom"/>
          </w:tcPr>
          <w:p>
            <w:pPr>
              <w:spacing w:after="0"/>
              <w:rPr>
                <w:sz w:val="11"/>
                <w:szCs w:val="11"/>
                <w:color w:val="auto"/>
              </w:rPr>
            </w:pPr>
          </w:p>
        </w:tc>
        <w:tc>
          <w:tcPr>
            <w:tcW w:w="800" w:type="dxa"/>
            <w:vAlign w:val="bottom"/>
          </w:tcPr>
          <w:p>
            <w:pPr>
              <w:spacing w:after="0"/>
              <w:rPr>
                <w:sz w:val="11"/>
                <w:szCs w:val="11"/>
                <w:color w:val="auto"/>
              </w:rPr>
            </w:pPr>
          </w:p>
        </w:tc>
      </w:tr>
      <w:tr>
        <w:trPr>
          <w:trHeight w:val="174"/>
        </w:trPr>
        <w:tc>
          <w:tcPr>
            <w:tcW w:w="37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88"/>
              </w:rPr>
              <w:t xml:space="preserve">Securities </w:t>
            </w:r>
            <w:r>
              <w:rPr>
                <w:rFonts w:ascii="Arial" w:cs="Arial" w:eastAsia="Arial" w:hAnsi="Arial"/>
                <w:sz w:val="8"/>
                <w:szCs w:val="8"/>
                <w:b w:val="1"/>
                <w:bCs w:val="1"/>
                <w:color w:val="auto"/>
                <w:w w:val="88"/>
              </w:rPr>
              <w:t>2</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b w:val="1"/>
                <w:bCs w:val="1"/>
                <w:color w:val="auto"/>
                <w:w w:val="93"/>
              </w:rPr>
              <w:t>Securities</w:t>
            </w:r>
          </w:p>
        </w:tc>
        <w:tc>
          <w:tcPr>
            <w:tcW w:w="1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149"/>
              <w:spacing w:after="0"/>
              <w:rPr>
                <w:sz w:val="20"/>
                <w:szCs w:val="20"/>
                <w:color w:val="auto"/>
              </w:rPr>
            </w:pPr>
            <w:r>
              <w:rPr>
                <w:rFonts w:ascii="Arial" w:cs="Arial" w:eastAsia="Arial" w:hAnsi="Arial"/>
                <w:sz w:val="13"/>
                <w:szCs w:val="13"/>
                <w:b w:val="1"/>
                <w:bCs w:val="1"/>
                <w:color w:val="auto"/>
                <w:w w:val="91"/>
              </w:rPr>
              <w:t xml:space="preserve">Securities </w:t>
            </w:r>
            <w:r>
              <w:rPr>
                <w:rFonts w:ascii="Arial" w:cs="Arial" w:eastAsia="Arial" w:hAnsi="Arial"/>
                <w:sz w:val="8"/>
                <w:szCs w:val="8"/>
                <w:b w:val="1"/>
                <w:bCs w:val="1"/>
                <w:color w:val="auto"/>
                <w:w w:val="91"/>
              </w:rPr>
              <w:t>2</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b w:val="1"/>
                <w:bCs w:val="1"/>
                <w:color w:val="auto"/>
                <w:w w:val="93"/>
              </w:rPr>
              <w:t>Securities</w:t>
            </w:r>
          </w:p>
        </w:tc>
        <w:tc>
          <w:tcPr>
            <w:tcW w:w="10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b w:val="1"/>
                <w:bCs w:val="1"/>
                <w:color w:val="auto"/>
              </w:rPr>
              <w:t>Total</w:t>
            </w:r>
          </w:p>
        </w:tc>
      </w:tr>
      <w:tr>
        <w:trPr>
          <w:trHeight w:val="251"/>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Investment securities sold, at cost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(339)</w:t>
            </w:r>
          </w:p>
        </w:tc>
        <w:tc>
          <w:tcPr>
            <w:tcW w:w="100" w:type="dxa"/>
            <w:vAlign w:val="bottom"/>
          </w:tcPr>
          <w:p>
            <w:pPr>
              <w:spacing w:after="0"/>
              <w:rPr>
                <w:sz w:val="21"/>
                <w:szCs w:val="21"/>
                <w:color w:val="auto"/>
              </w:rPr>
            </w:pP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(4,562)</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(4,901)</w:t>
            </w:r>
          </w:p>
        </w:tc>
        <w:tc>
          <w:tcPr>
            <w:tcW w:w="120" w:type="dxa"/>
            <w:vAlign w:val="bottom"/>
          </w:tcPr>
          <w:p>
            <w:pPr>
              <w:spacing w:after="0"/>
              <w:rPr>
                <w:sz w:val="21"/>
                <w:szCs w:val="21"/>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(387)</w:t>
            </w:r>
          </w:p>
        </w:tc>
        <w:tc>
          <w:tcPr>
            <w:tcW w:w="10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(1,003)</w:t>
            </w:r>
          </w:p>
        </w:tc>
        <w:tc>
          <w:tcPr>
            <w:tcW w:w="10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(1,390)</w:t>
            </w:r>
          </w:p>
        </w:tc>
      </w:tr>
      <w:tr>
        <w:trPr>
          <w:trHeight w:val="270"/>
        </w:trPr>
        <w:tc>
          <w:tcPr>
            <w:tcW w:w="39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8"/>
                <w:szCs w:val="8"/>
                <w:color w:val="auto"/>
              </w:rPr>
              <w:t>1</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335</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4,626</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4,961</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388</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1,000</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1,388</w:t>
            </w:r>
          </w:p>
        </w:tc>
      </w:tr>
      <w:tr>
        <w:trPr>
          <w:trHeight w:val="283"/>
        </w:trPr>
        <w:tc>
          <w:tcPr>
            <w:tcW w:w="39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64</w:t>
            </w:r>
          </w:p>
        </w:tc>
        <w:tc>
          <w:tcPr>
            <w:tcW w:w="1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60</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r>
      <w:tr>
        <w:trPr>
          <w:trHeight w:val="264"/>
        </w:trPr>
        <w:tc>
          <w:tcPr>
            <w:tcW w:w="37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r>
      <w:tr>
        <w:trPr>
          <w:trHeight w:val="264"/>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66</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9"/>
              <w:spacing w:after="0"/>
              <w:rPr>
                <w:sz w:val="20"/>
                <w:szCs w:val="20"/>
                <w:color w:val="auto"/>
              </w:rPr>
            </w:pPr>
            <w:r>
              <w:rPr>
                <w:rFonts w:ascii="Arial" w:cs="Arial" w:eastAsia="Arial" w:hAnsi="Arial"/>
                <w:sz w:val="14"/>
                <w:szCs w:val="14"/>
                <w:color w:val="auto"/>
              </w:rPr>
              <w:t>66</w:t>
            </w:r>
          </w:p>
        </w:tc>
        <w:tc>
          <w:tcPr>
            <w:tcW w:w="120" w:type="dxa"/>
            <w:vAlign w:val="bottom"/>
          </w:tcPr>
          <w:p>
            <w:pPr>
              <w:spacing w:after="0"/>
              <w:rPr>
                <w:sz w:val="22"/>
                <w:szCs w:val="22"/>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10</w:t>
            </w:r>
          </w:p>
        </w:tc>
      </w:tr>
      <w:tr>
        <w:trPr>
          <w:trHeight w:val="270"/>
        </w:trPr>
        <w:tc>
          <w:tcPr>
            <w:tcW w:w="39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r>
      <w:tr>
        <w:trPr>
          <w:trHeight w:val="244"/>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21"/>
                <w:szCs w:val="21"/>
                <w:color w:val="auto"/>
              </w:rPr>
            </w:pP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64</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9"/>
              <w:spacing w:after="0"/>
              <w:rPr>
                <w:sz w:val="20"/>
                <w:szCs w:val="20"/>
                <w:color w:val="auto"/>
              </w:rPr>
            </w:pPr>
            <w:r>
              <w:rPr>
                <w:rFonts w:ascii="Arial" w:cs="Arial" w:eastAsia="Arial" w:hAnsi="Arial"/>
                <w:sz w:val="14"/>
                <w:szCs w:val="14"/>
                <w:color w:val="auto"/>
              </w:rPr>
              <w:t>60</w:t>
            </w:r>
          </w:p>
        </w:tc>
        <w:tc>
          <w:tcPr>
            <w:tcW w:w="120" w:type="dxa"/>
            <w:vAlign w:val="bottom"/>
          </w:tcPr>
          <w:p>
            <w:pPr>
              <w:spacing w:after="0"/>
              <w:rPr>
                <w:sz w:val="21"/>
                <w:szCs w:val="21"/>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2783840</wp:posOffset>
            </wp:positionH>
            <wp:positionV relativeFrom="paragraph">
              <wp:posOffset>0</wp:posOffset>
            </wp:positionV>
            <wp:extent cx="416814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168140" cy="26035"/>
                    </a:xfrm>
                    <a:prstGeom prst="rect">
                      <a:avLst/>
                    </a:prstGeom>
                    <a:noFill/>
                  </pic:spPr>
                </pic:pic>
              </a:graphicData>
            </a:graphic>
          </wp:anchor>
        </w:drawing>
      </w:r>
    </w:p>
    <w:p>
      <w:pPr>
        <w:spacing w:after="0" w:line="7" w:lineRule="exact"/>
        <w:rPr>
          <w:sz w:val="20"/>
          <w:szCs w:val="20"/>
          <w:color w:val="auto"/>
        </w:rPr>
      </w:pPr>
    </w:p>
    <w:p>
      <w:pPr>
        <w:ind w:left="6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See Note 10 for a summary of changes in accumulated OCI.</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Consolidated Variable Interest Entities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March 31, 2019 and December 31, 2018, our consolidated financial statements reflect the consolidation of certain variable interest entities ("VIEs") for which we have determined we are the primary beneficiary. The consolidated VIEs consist of CMO trusts backed by fixed or adjustable-rate Agency RMBS.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the CMO trusts is the fair value of the CMO securities and interest and principal-only securities held by us, less principal amounts guaranteed by Fannie Mae and Freddie Mac.</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 and Other Debt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pledge our securities as collateral under our borrowings structured as repurchase agreements with financial institutions. Interest rates on our borrowings are generally based on LIBOR plus or minus a margin and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March 31, 2019, we had met all margin call requirements. For additional information regarding our pledged assets, please refer to Note 7.</w:t>
      </w:r>
    </w:p>
    <w:p>
      <w:pPr>
        <w:spacing w:after="0" w:line="13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As of March 31, 2019 and December 31, 2018, we had $86.7 billion and $75.7 billion, respectively, of repurchase agreements outstanding used to fund our investment portfolio and temporary holdings of U.S. Treasury securities. The terms and conditions of our repurchase agreements are typically negotiated on a transaction-by-transaction basis. Our repurchase agreements with original maturities greater than one year have floating interest rates based on an index plus or minus a fixed spread. The following table summarizes our borrowings under repurchase agreements by their remaining maturities as of March 31, 2019 and December 31, 2018 (dollars in millions):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746" w:right="239" w:bottom="1440" w:gutter="0" w:footer="0" w:header="0"/>
        </w:sectPr>
      </w:pPr>
    </w:p>
    <w:bookmarkStart w:id="14" w:name="page15"/>
    <w:bookmarkEnd w:id="14"/>
    <w:tbl>
      <w:tblPr>
        <w:tblLayout w:type="fixed"/>
        <w:tblInd w:w="60" w:type="dxa"/>
        <w:tblCellMar>
          <w:top w:w="0" w:type="dxa"/>
          <w:left w:w="0" w:type="dxa"/>
          <w:bottom w:w="0" w:type="dxa"/>
          <w:right w:w="0" w:type="dxa"/>
        </w:tblCellMar>
      </w:tblPr>
      <w:tr>
        <w:trPr>
          <w:trHeight w:val="192"/>
        </w:trPr>
        <w:tc>
          <w:tcPr>
            <w:tcW w:w="25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6"/>
              </w:rPr>
              <w:t>March 31, 2019</w:t>
            </w:r>
          </w:p>
        </w:tc>
        <w:tc>
          <w:tcPr>
            <w:tcW w:w="1240" w:type="dxa"/>
            <w:vAlign w:val="bottom"/>
            <w:tcBorders>
              <w:bottom w:val="single" w:sz="8" w:color="auto"/>
            </w:tcBorders>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December 31, 2018</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5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68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1"/>
              </w:rPr>
              <w:t>Weighted</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9"/>
        </w:trPr>
        <w:tc>
          <w:tcPr>
            <w:tcW w:w="2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3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6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6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Interest</w:t>
            </w:r>
          </w:p>
        </w:tc>
        <w:tc>
          <w:tcPr>
            <w:tcW w:w="16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Interest</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92"/>
        </w:trPr>
        <w:tc>
          <w:tcPr>
            <w:tcW w:w="2500" w:type="dxa"/>
            <w:vAlign w:val="bottom"/>
            <w:tcBorders>
              <w:bottom w:val="single" w:sz="8" w:color="auto"/>
            </w:tcBorders>
            <w:vMerge w:val="continue"/>
          </w:tcPr>
          <w:p>
            <w:pPr>
              <w:spacing w:after="0"/>
              <w:rPr>
                <w:sz w:val="16"/>
                <w:szCs w:val="16"/>
                <w:color w:val="auto"/>
              </w:rPr>
            </w:pPr>
          </w:p>
        </w:tc>
        <w:tc>
          <w:tcPr>
            <w:tcW w:w="4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 1 month</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44,624</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2.94%</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8</w:t>
            </w:r>
          </w:p>
        </w:tc>
        <w:tc>
          <w:tcPr>
            <w:tcW w:w="44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48,533</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2.88%</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1 to ≤ 3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26,690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65</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20,991</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&gt; 3 to ≤ 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2,181</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2.67%</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125</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2,218</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2.65%</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167</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6 to ≤ 9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2,450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2.68%</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204</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3.19%</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208</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&gt; 9 to ≤ 12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7,554</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2.75%</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288</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950</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2.80%</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279</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12 to ≤ 24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1,825</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2.97%</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516</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2,200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438</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&gt; 24 to ≤ 36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1,000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2.67%</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1,044</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625</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3.11%</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776</w:t>
            </w:r>
          </w:p>
        </w:tc>
        <w:tc>
          <w:tcPr>
            <w:tcW w:w="0" w:type="dxa"/>
            <w:vAlign w:val="bottom"/>
          </w:tcPr>
          <w:p>
            <w:pPr>
              <w:spacing w:after="0"/>
              <w:rPr>
                <w:sz w:val="1"/>
                <w:szCs w:val="1"/>
                <w:color w:val="auto"/>
              </w:rPr>
            </w:pPr>
          </w:p>
        </w:tc>
      </w:tr>
      <w:tr>
        <w:trPr>
          <w:trHeight w:val="33"/>
        </w:trPr>
        <w:tc>
          <w:tcPr>
            <w:tcW w:w="2500" w:type="dxa"/>
            <w:vAlign w:val="bottom"/>
            <w:tcBorders>
              <w:bottom w:val="single" w:sz="8" w:color="CCEEFF"/>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86,324</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81</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75,717</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2.79%</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231"/>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U.S. Treasury repo:</w:t>
            </w: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1 day to ≤ 1 month</w:t>
            </w: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361</w:t>
            </w: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44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4"/>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86,685</w:t>
            </w:r>
          </w:p>
        </w:tc>
        <w:tc>
          <w:tcPr>
            <w:tcW w:w="12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2.82%</w:t>
            </w:r>
          </w:p>
        </w:tc>
        <w:tc>
          <w:tcPr>
            <w:tcW w:w="100" w:type="dxa"/>
            <w:vAlign w:val="bottom"/>
          </w:tcPr>
          <w:p>
            <w:pPr>
              <w:spacing w:after="0"/>
              <w:rPr>
                <w:sz w:val="21"/>
                <w:szCs w:val="21"/>
                <w:color w:val="auto"/>
              </w:rPr>
            </w:pPr>
          </w:p>
        </w:tc>
        <w:tc>
          <w:tcPr>
            <w:tcW w:w="12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81</w:t>
            </w:r>
          </w:p>
        </w:tc>
        <w:tc>
          <w:tcPr>
            <w:tcW w:w="44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75,717</w:t>
            </w:r>
          </w:p>
        </w:tc>
        <w:tc>
          <w:tcPr>
            <w:tcW w:w="10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2.79%</w:t>
            </w:r>
          </w:p>
        </w:tc>
        <w:tc>
          <w:tcPr>
            <w:tcW w:w="120" w:type="dxa"/>
            <w:vAlign w:val="bottom"/>
          </w:tcPr>
          <w:p>
            <w:pPr>
              <w:spacing w:after="0"/>
              <w:rPr>
                <w:sz w:val="21"/>
                <w:szCs w:val="21"/>
                <w:color w:val="auto"/>
              </w:rPr>
            </w:pPr>
          </w:p>
        </w:tc>
        <w:tc>
          <w:tcPr>
            <w:tcW w:w="12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20"/>
        </w:trPr>
        <w:tc>
          <w:tcPr>
            <w:tcW w:w="25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As of March 31, 2019 and December 31, 2018, $18.7 billion and $19.5 billion, respectively, of our repurchase agreements had a remaining maturity of one business day and none of our repurchase agreements were due on demand. As of March 31, 2019, we had $10.7 billion of forward commitments to enter into repurchase agreements, with a weighted average forward start date of 85 days and a weighted average interest rate of 2.55%. As of December 31, 2018 we had $10.7 billion of forward commitments to enter into repurchase agreements, with a weighted average forward start date of 9 days and a weighted average interest rate of 2.90%. As of March 31, 2019 and December 31, 2018, 41% and 35%, respectively, of our repurchase agreement funding was sourced through our wholly-owned captive broker-dealer subsidiary, Bethesda Securities, LLC ("BES"). Amounts sourced through BES include funding from the General Collateral Finance Repo service ("GCF Repo") offered by the Fixed Income Clearing Corporation ("FICC"), which totaled 40% and 33% of our repurchase agreement funding outstanding as of March 31, 2019 and December 31, 2018,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As of March 31, 2019 and December 31, 2018, we had $20.4 billion and $21.8 billion, respectively, of reverse repurchase agreements outstanding used primarily to borrow securities to cover short sales of U.S. Treasury securities, for which we had associated obligations to return borrowed securities at fair value of $19.3 billion and $21.4 billion, respectively. As of March 31, 2019 and December 31, 2018, $5.6 billion and $4.5 billion, respectively, of our reverse repurchase agreements were with the FICC sourced through BES.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Debt</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March 31, 2019 and December 31, 2018, we had debt of consolidated VIEs, at fair value, of $266 million and $275 million, respectively, which had a weighted average interest rate of LIBOR plus 41 and 40 basis points, respectively, and an estimated weighted average life of 5.9 years and 6.1 years,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and Other Hedging Instruments</w:t>
      </w:r>
    </w:p>
    <w:p>
      <w:pPr>
        <w:spacing w:after="0" w:line="17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We hedge a portion of our interest rate risk primarily utilizing interest rate swaps, interest rate swaptions, U.S. Treasury securities and U.S. Treasury futures contracts. We utilize TBA securities primarily as a means of investing in the Agency securities market. For additional information regarding our derivative instruments and our overall risk management strategy, please refer to the discussion of derivative and other hedging instruments in Note 3.</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968"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table below summarizes fair value information about our derivative and other hedging instrument assets/(liabilities) as of March 31, 2019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 (in millions):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3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tcPr>
          <w:p>
            <w:pPr>
              <w:spacing w:after="0"/>
              <w:rPr>
                <w:sz w:val="16"/>
                <w:szCs w:val="16"/>
                <w:color w:val="auto"/>
              </w:rPr>
            </w:pPr>
          </w:p>
        </w:tc>
        <w:tc>
          <w:tcPr>
            <w:tcW w:w="4220" w:type="dxa"/>
            <w:vAlign w:val="bottom"/>
            <w:tcBorders>
              <w:bottom w:val="single" w:sz="8" w:color="auto"/>
            </w:tcBorders>
          </w:tcPr>
          <w:p>
            <w:pPr>
              <w:ind w:left="140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60"/>
              <w:spacing w:after="0"/>
              <w:rPr>
                <w:sz w:val="20"/>
                <w:szCs w:val="20"/>
                <w:color w:val="auto"/>
              </w:rPr>
            </w:pPr>
            <w:r>
              <w:rPr>
                <w:rFonts w:ascii="Arial" w:cs="Arial" w:eastAsia="Arial" w:hAnsi="Arial"/>
                <w:sz w:val="14"/>
                <w:szCs w:val="14"/>
                <w:b w:val="1"/>
                <w:bCs w:val="1"/>
                <w:color w:val="auto"/>
                <w:w w:val="94"/>
              </w:rPr>
              <w:t>March 31, 2019</w:t>
            </w:r>
          </w:p>
        </w:tc>
        <w:tc>
          <w:tcPr>
            <w:tcW w:w="120" w:type="dxa"/>
            <w:vAlign w:val="bottom"/>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December 31, 2018</w:t>
            </w:r>
          </w:p>
        </w:tc>
      </w:tr>
      <w:tr>
        <w:trPr>
          <w:trHeight w:val="223"/>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151</w:t>
            </w:r>
          </w:p>
        </w:tc>
        <w:tc>
          <w:tcPr>
            <w:tcW w:w="120" w:type="dxa"/>
            <w:vAlign w:val="bottom"/>
          </w:tcPr>
          <w:p>
            <w:pPr>
              <w:spacing w:after="0"/>
              <w:rPr>
                <w:sz w:val="19"/>
                <w:szCs w:val="19"/>
                <w:color w:val="auto"/>
              </w:rPr>
            </w:pPr>
          </w:p>
        </w:tc>
        <w:tc>
          <w:tcPr>
            <w:tcW w:w="3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126</w:t>
            </w: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Swaptions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37</w:t>
            </w: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40" w:type="dxa"/>
            <w:vAlign w:val="bottom"/>
          </w:tcPr>
          <w:p>
            <w:pPr>
              <w:spacing w:after="0"/>
              <w:rPr>
                <w:sz w:val="20"/>
                <w:szCs w:val="20"/>
                <w:color w:val="auto"/>
              </w:rPr>
            </w:pP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91</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110</w:t>
            </w:r>
          </w:p>
        </w:tc>
      </w:tr>
      <w:tr>
        <w:trPr>
          <w:trHeight w:val="33"/>
        </w:trPr>
        <w:tc>
          <w:tcPr>
            <w:tcW w:w="4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4"/>
        </w:trPr>
        <w:tc>
          <w:tcPr>
            <w:tcW w:w="448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 derivative assets, at fair value</w:t>
            </w:r>
          </w:p>
        </w:tc>
        <w:tc>
          <w:tcPr>
            <w:tcW w:w="4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253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273</w:t>
            </w: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84"/>
        </w:trPr>
        <w:tc>
          <w:tcPr>
            <w:tcW w:w="4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5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(21)</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(40)</w:t>
            </w: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1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w:t>
            </w:r>
          </w:p>
        </w:tc>
      </w:tr>
      <w:tr>
        <w:trPr>
          <w:trHeight w:val="284"/>
        </w:trPr>
        <w:tc>
          <w:tcPr>
            <w:tcW w:w="4480" w:type="dxa"/>
            <w:vAlign w:val="bottom"/>
            <w:tcBorders>
              <w:bottom w:val="single" w:sz="8" w:color="CCEEFF"/>
            </w:tcBorders>
            <w:gridSpan w:val="2"/>
          </w:tcPr>
          <w:p>
            <w:pPr>
              <w:ind w:left="200"/>
              <w:spacing w:after="0"/>
              <w:rPr>
                <w:sz w:val="20"/>
                <w:szCs w:val="20"/>
                <w:color w:val="auto"/>
              </w:rPr>
            </w:pPr>
            <w:r>
              <w:rPr>
                <w:rFonts w:ascii="Arial" w:cs="Arial" w:eastAsia="Arial" w:hAnsi="Arial"/>
                <w:sz w:val="16"/>
                <w:szCs w:val="16"/>
                <w:color w:val="auto"/>
              </w:rPr>
              <w:t>Total derivative liabilities, at fair value</w:t>
            </w:r>
          </w:p>
        </w:tc>
        <w:tc>
          <w:tcPr>
            <w:tcW w:w="422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(53)</w:t>
            </w: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(84)</w:t>
            </w:r>
          </w:p>
        </w:tc>
      </w:tr>
      <w:tr>
        <w:trPr>
          <w:trHeight w:val="284"/>
        </w:trPr>
        <w:tc>
          <w:tcPr>
            <w:tcW w:w="4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at fair value</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121</w:t>
            </w:r>
          </w:p>
        </w:tc>
        <w:tc>
          <w:tcPr>
            <w:tcW w:w="120" w:type="dxa"/>
            <w:vAlign w:val="bottom"/>
          </w:tcPr>
          <w:p>
            <w:pPr>
              <w:spacing w:after="0"/>
              <w:rPr>
                <w:sz w:val="20"/>
                <w:szCs w:val="20"/>
                <w:color w:val="auto"/>
              </w:rPr>
            </w:pPr>
          </w:p>
        </w:tc>
        <w:tc>
          <w:tcPr>
            <w:tcW w:w="3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46</w:t>
            </w: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0"/>
        </w:trPr>
        <w:tc>
          <w:tcPr>
            <w:tcW w:w="4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3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Obligation to return securities borrowed under reverse</w:t>
            </w: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39"/>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at fair value</w:t>
            </w: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(19,275)</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(21,431)</w:t>
            </w:r>
          </w:p>
        </w:tc>
      </w:tr>
      <w:tr>
        <w:trPr>
          <w:trHeight w:val="244"/>
        </w:trPr>
        <w:tc>
          <w:tcPr>
            <w:tcW w:w="4480" w:type="dxa"/>
            <w:vAlign w:val="bottom"/>
            <w:gridSpan w:val="2"/>
          </w:tcPr>
          <w:p>
            <w:pPr>
              <w:ind w:left="200"/>
              <w:spacing w:after="0"/>
              <w:rPr>
                <w:sz w:val="20"/>
                <w:szCs w:val="20"/>
                <w:color w:val="auto"/>
              </w:rPr>
            </w:pPr>
            <w:r>
              <w:rPr>
                <w:rFonts w:ascii="Arial" w:cs="Arial" w:eastAsia="Arial" w:hAnsi="Arial"/>
                <w:sz w:val="16"/>
                <w:szCs w:val="16"/>
                <w:color w:val="auto"/>
              </w:rPr>
              <w:t>Total U.S. Treasury securities, net at fair value</w:t>
            </w:r>
          </w:p>
        </w:tc>
        <w:tc>
          <w:tcPr>
            <w:tcW w:w="4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(19,154)</w:t>
            </w:r>
          </w:p>
        </w:tc>
        <w:tc>
          <w:tcPr>
            <w:tcW w:w="120" w:type="dxa"/>
            <w:vAlign w:val="bottom"/>
          </w:tcPr>
          <w:p>
            <w:pPr>
              <w:spacing w:after="0"/>
              <w:rPr>
                <w:sz w:val="21"/>
                <w:szCs w:val="21"/>
                <w:color w:val="auto"/>
              </w:rPr>
            </w:pP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(21,385)</w:t>
            </w: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tables summarize certain characteristics of our derivative and other hedging instruments outstanding as of March 31, 2019 and</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December 31, 2018 (dollars in millions):</w:t>
      </w:r>
    </w:p>
    <w:p>
      <w:pPr>
        <w:spacing w:after="0" w:line="297"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0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4"/>
          </w:tcPr>
          <w:p>
            <w:pPr>
              <w:ind w:left="620"/>
              <w:spacing w:after="0"/>
              <w:rPr>
                <w:sz w:val="20"/>
                <w:szCs w:val="20"/>
                <w:color w:val="auto"/>
              </w:rPr>
            </w:pPr>
            <w:r>
              <w:rPr>
                <w:rFonts w:ascii="Arial" w:cs="Arial" w:eastAsia="Arial" w:hAnsi="Arial"/>
                <w:sz w:val="14"/>
                <w:szCs w:val="14"/>
                <w:b w:val="1"/>
                <w:bCs w:val="1"/>
                <w:color w:val="auto"/>
              </w:rPr>
              <w:t>March 31, 2019</w:t>
            </w:r>
          </w:p>
        </w:tc>
        <w:tc>
          <w:tcPr>
            <w:tcW w:w="102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520"/>
              <w:spacing w:after="0"/>
              <w:rPr>
                <w:sz w:val="20"/>
                <w:szCs w:val="20"/>
                <w:color w:val="auto"/>
              </w:rPr>
            </w:pPr>
            <w:r>
              <w:rPr>
                <w:rFonts w:ascii="Arial" w:cs="Arial" w:eastAsia="Arial" w:hAnsi="Arial"/>
                <w:sz w:val="14"/>
                <w:szCs w:val="14"/>
                <w:b w:val="1"/>
                <w:bCs w:val="1"/>
                <w:color w:val="auto"/>
              </w:rPr>
              <w:t>December 31, 2018</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26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9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Interest Rate Swaps</w:t>
            </w:r>
          </w:p>
        </w:tc>
        <w:tc>
          <w:tcPr>
            <w:tcW w:w="22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1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Fixed Pay</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Receive</w:t>
            </w: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rPr>
              <w:t>Maturity</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Fixed Pay</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Receive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206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rPr>
              <w:t xml:space="preserve">Amount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Rate </w:t>
            </w:r>
            <w:r>
              <w:rPr>
                <w:rFonts w:ascii="Arial" w:cs="Arial" w:eastAsia="Arial" w:hAnsi="Arial"/>
                <w:sz w:val="8"/>
                <w:szCs w:val="8"/>
                <w:b w:val="1"/>
                <w:bCs w:val="1"/>
                <w:color w:val="auto"/>
                <w:w w:val="92"/>
              </w:rPr>
              <w:t>2</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w w:val="97"/>
              </w:rPr>
              <w:t xml:space="preserve">Amount </w:t>
            </w:r>
            <w:r>
              <w:rPr>
                <w:rFonts w:ascii="Arial" w:cs="Arial" w:eastAsia="Arial" w:hAnsi="Arial"/>
                <w:sz w:val="8"/>
                <w:szCs w:val="8"/>
                <w:b w:val="1"/>
                <w:bCs w:val="1"/>
                <w:color w:val="auto"/>
                <w:w w:val="97"/>
              </w:rPr>
              <w:t>1</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2</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20,900</w:t>
            </w:r>
          </w:p>
        </w:tc>
        <w:tc>
          <w:tcPr>
            <w:tcW w:w="1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1.71%</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2.69%</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1.2</w:t>
            </w:r>
          </w:p>
        </w:tc>
        <w:tc>
          <w:tcPr>
            <w:tcW w:w="2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19,900</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1.63%</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2.62%</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1.3</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9,425</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8"/>
              </w:rPr>
              <w:t>2.11%</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2.69%</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3.7</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8,425</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2.06%</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2.61%</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6,225</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2.38%</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2.67%</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5.8</w:t>
            </w:r>
          </w:p>
        </w:tc>
        <w:tc>
          <w:tcPr>
            <w:tcW w:w="2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7,875</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9,700</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2.30%</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2.68%</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8.6</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10,550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2.36%</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2.64%</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8.8</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1,925</w:t>
            </w:r>
          </w:p>
        </w:tc>
        <w:tc>
          <w:tcPr>
            <w:tcW w:w="1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2.30%</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2.69%</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13.2</w:t>
            </w:r>
          </w:p>
        </w:tc>
        <w:tc>
          <w:tcPr>
            <w:tcW w:w="2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4,875</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2.77%</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2.63%</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11.6</w:t>
            </w:r>
          </w:p>
        </w:tc>
        <w:tc>
          <w:tcPr>
            <w:tcW w:w="0" w:type="dxa"/>
            <w:vAlign w:val="bottom"/>
          </w:tcPr>
          <w:p>
            <w:pPr>
              <w:spacing w:after="0"/>
              <w:rPr>
                <w:sz w:val="1"/>
                <w:szCs w:val="1"/>
                <w:color w:val="auto"/>
              </w:rPr>
            </w:pPr>
          </w:p>
        </w:tc>
      </w:tr>
      <w:tr>
        <w:trPr>
          <w:trHeight w:val="244"/>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48,175</w:t>
            </w:r>
          </w:p>
        </w:tc>
        <w:tc>
          <w:tcPr>
            <w:tcW w:w="120" w:type="dxa"/>
            <w:vAlign w:val="bottom"/>
          </w:tcPr>
          <w:p>
            <w:pPr>
              <w:spacing w:after="0"/>
              <w:rPr>
                <w:sz w:val="21"/>
                <w:szCs w:val="21"/>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2.01%</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2.69%</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4.3</w:t>
            </w:r>
          </w:p>
        </w:tc>
        <w:tc>
          <w:tcPr>
            <w:tcW w:w="24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51,625</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2.11%</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2.63%</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5.0</w:t>
            </w:r>
          </w:p>
        </w:tc>
        <w:tc>
          <w:tcPr>
            <w:tcW w:w="0" w:type="dxa"/>
            <w:vAlign w:val="bottom"/>
          </w:tcPr>
          <w:p>
            <w:pPr>
              <w:spacing w:after="0"/>
              <w:rPr>
                <w:sz w:val="1"/>
                <w:szCs w:val="1"/>
                <w:color w:val="auto"/>
              </w:rPr>
            </w:pPr>
          </w:p>
        </w:tc>
      </w:tr>
      <w:tr>
        <w:trPr>
          <w:trHeight w:val="20"/>
        </w:trPr>
        <w:tc>
          <w:tcPr>
            <w:tcW w:w="2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As of March 31, 2019 and December 31, 2018, notional amount includes forward starting swaps of $4.0 billion and $5.7 billion, respectively, with an average forward start date of 0.2 and 0.5 years, respectively.</w:t>
      </w:r>
    </w:p>
    <w:p>
      <w:pPr>
        <w:ind w:left="660" w:hanging="328"/>
        <w:spacing w:after="0" w:line="255"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Average fixed pay rate includes forward starting swaps. Excluding forward starting swaps, the average fixed pay rate was 1.96% and 1.98% as of March 31, 2019 and December 31, 2018, respectively.</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746" w:right="2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92"/>
        </w:trPr>
        <w:tc>
          <w:tcPr>
            <w:tcW w:w="34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Swaptions</w:t>
            </w: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Option</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Underlying Payer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Months to</w:t>
            </w: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Average Fixed</w:t>
            </w:r>
          </w:p>
        </w:tc>
        <w:tc>
          <w:tcPr>
            <w:tcW w:w="1140" w:type="dxa"/>
            <w:vAlign w:val="bottom"/>
            <w:gridSpan w:val="2"/>
            <w:vMerge w:val="continue"/>
          </w:tcPr>
          <w:p>
            <w:pPr>
              <w:spacing w:after="0"/>
              <w:rPr>
                <w:sz w:val="12"/>
                <w:szCs w:val="12"/>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Current Option</w:t>
            </w:r>
          </w:p>
        </w:tc>
        <w:tc>
          <w:tcPr>
            <w:tcW w:w="180" w:type="dxa"/>
            <w:vAlign w:val="bottom"/>
          </w:tcPr>
          <w:p>
            <w:pPr>
              <w:spacing w:after="0"/>
              <w:rPr>
                <w:sz w:val="12"/>
                <w:szCs w:val="12"/>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140" w:type="dxa"/>
            <w:vAlign w:val="bottom"/>
            <w:gridSpan w:val="2"/>
            <w:vMerge w:val="continue"/>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Receive</w:t>
            </w: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Current Option Expiration Date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vMerge w:val="restart"/>
          </w:tcPr>
          <w:p>
            <w:pPr>
              <w:jc w:val="right"/>
              <w:ind w:right="140"/>
              <w:spacing w:after="0"/>
              <w:rPr>
                <w:sz w:val="20"/>
                <w:szCs w:val="20"/>
                <w:color w:val="auto"/>
              </w:rPr>
            </w:pPr>
            <w:r>
              <w:rPr>
                <w:rFonts w:ascii="Arial" w:cs="Arial" w:eastAsia="Arial" w:hAnsi="Arial"/>
                <w:sz w:val="14"/>
                <w:szCs w:val="14"/>
                <w:b w:val="1"/>
                <w:bCs w:val="1"/>
                <w:color w:val="auto"/>
                <w:w w:val="91"/>
              </w:rPr>
              <w:t>Cost Basis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vMerge w:val="restart"/>
          </w:tcPr>
          <w:p>
            <w:pPr>
              <w:jc w:val="right"/>
              <w:ind w:right="101"/>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2"/>
                <w:szCs w:val="12"/>
                <w:color w:val="auto"/>
              </w:rPr>
            </w:pPr>
          </w:p>
        </w:tc>
        <w:tc>
          <w:tcPr>
            <w:tcW w:w="11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Expiration</w:t>
            </w:r>
          </w:p>
        </w:tc>
        <w:tc>
          <w:tcPr>
            <w:tcW w:w="1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Pay</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Rate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Date </w:t>
            </w:r>
            <w:r>
              <w:rPr>
                <w:rFonts w:ascii="Arial" w:cs="Arial" w:eastAsia="Arial" w:hAnsi="Arial"/>
                <w:sz w:val="8"/>
                <w:szCs w:val="8"/>
                <w:b w:val="1"/>
                <w:bCs w:val="1"/>
                <w:color w:val="auto"/>
                <w:w w:val="92"/>
              </w:rPr>
              <w:t>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81"/>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(LIBOR)</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March 31, 2019</w:t>
            </w: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71</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9"/>
              </w:rPr>
              <w:t>4</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2,050</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2.98%</w:t>
            </w:r>
          </w:p>
        </w:tc>
        <w:tc>
          <w:tcPr>
            <w:tcW w:w="100" w:type="dxa"/>
            <w:vAlign w:val="bottom"/>
          </w:tcPr>
          <w:p>
            <w:pPr>
              <w:spacing w:after="0"/>
              <w:rPr>
                <w:sz w:val="20"/>
                <w:szCs w:val="20"/>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7.0</w:t>
            </w:r>
          </w:p>
        </w:tc>
        <w:tc>
          <w:tcPr>
            <w:tcW w:w="0" w:type="dxa"/>
            <w:vAlign w:val="bottom"/>
          </w:tcPr>
          <w:p>
            <w:pPr>
              <w:spacing w:after="0"/>
              <w:rPr>
                <w:sz w:val="1"/>
                <w:szCs w:val="1"/>
                <w:color w:val="auto"/>
              </w:rPr>
            </w:pPr>
          </w:p>
        </w:tc>
      </w:tr>
      <w:tr>
        <w:trPr>
          <w:trHeight w:val="33"/>
        </w:trPr>
        <w:tc>
          <w:tcPr>
            <w:tcW w:w="3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&gt; 1 year ≤ 2 years</w:t>
            </w: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18</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w:t>
            </w:r>
          </w:p>
        </w:tc>
        <w:tc>
          <w:tcPr>
            <w:tcW w:w="1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500</w:t>
            </w:r>
          </w:p>
        </w:tc>
        <w:tc>
          <w:tcPr>
            <w:tcW w:w="1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2.78%</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84"/>
        </w:trPr>
        <w:tc>
          <w:tcPr>
            <w:tcW w:w="356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Total</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89</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11</w:t>
            </w:r>
          </w:p>
        </w:tc>
        <w:tc>
          <w:tcPr>
            <w:tcW w:w="100" w:type="dxa"/>
            <w:vAlign w:val="bottom"/>
            <w:tcBorders>
              <w:bottom w:val="single" w:sz="8" w:color="CCEEFF"/>
            </w:tcBorders>
          </w:tcPr>
          <w:p>
            <w:pPr>
              <w:spacing w:after="0"/>
              <w:rPr>
                <w:sz w:val="24"/>
                <w:szCs w:val="2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7</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2,550</w:t>
            </w:r>
          </w:p>
        </w:tc>
        <w:tc>
          <w:tcPr>
            <w:tcW w:w="100" w:type="dxa"/>
            <w:vAlign w:val="bottom"/>
            <w:tcBorders>
              <w:bottom w:val="single" w:sz="8" w:color="CCEEFF"/>
            </w:tcBorders>
          </w:tcPr>
          <w:p>
            <w:pPr>
              <w:spacing w:after="0"/>
              <w:rPr>
                <w:sz w:val="24"/>
                <w:szCs w:val="2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2.94%</w:t>
            </w:r>
          </w:p>
        </w:tc>
        <w:tc>
          <w:tcPr>
            <w:tcW w:w="100" w:type="dxa"/>
            <w:vAlign w:val="bottom"/>
            <w:tcBorders>
              <w:bottom w:val="single" w:sz="8" w:color="CCEEFF"/>
            </w:tcBorders>
          </w:tcPr>
          <w:p>
            <w:pPr>
              <w:spacing w:after="0"/>
              <w:rPr>
                <w:sz w:val="24"/>
                <w:szCs w:val="24"/>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8"/>
              </w:rPr>
              <w:t>3M</w:t>
            </w:r>
          </w:p>
        </w:tc>
        <w:tc>
          <w:tcPr>
            <w:tcW w:w="120" w:type="dxa"/>
            <w:vAlign w:val="bottom"/>
            <w:tcBorders>
              <w:bottom w:val="single" w:sz="8" w:color="CCEEFF"/>
            </w:tcBorders>
          </w:tcPr>
          <w:p>
            <w:pPr>
              <w:spacing w:after="0"/>
              <w:rPr>
                <w:sz w:val="24"/>
                <w:szCs w:val="24"/>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7.6</w:t>
            </w:r>
          </w:p>
        </w:tc>
        <w:tc>
          <w:tcPr>
            <w:tcW w:w="0" w:type="dxa"/>
            <w:vAlign w:val="bottom"/>
          </w:tcPr>
          <w:p>
            <w:pPr>
              <w:spacing w:after="0"/>
              <w:rPr>
                <w:sz w:val="1"/>
                <w:szCs w:val="1"/>
                <w:color w:val="auto"/>
              </w:rPr>
            </w:pPr>
          </w:p>
        </w:tc>
      </w:tr>
      <w:tr>
        <w:trPr>
          <w:trHeight w:val="284"/>
        </w:trPr>
        <w:tc>
          <w:tcPr>
            <w:tcW w:w="34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b w:val="1"/>
                <w:bCs w:val="1"/>
                <w:color w:val="auto"/>
              </w:rPr>
              <w:t>December 31, 2018</w:t>
            </w:r>
          </w:p>
        </w:tc>
        <w:tc>
          <w:tcPr>
            <w:tcW w:w="1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3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 1 year</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3,000</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2.96%</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7.0</w:t>
            </w: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color w:val="auto"/>
              </w:rPr>
              <w:t>&gt; 1 year ≤ 2 years</w:t>
            </w:r>
          </w:p>
        </w:tc>
        <w:tc>
          <w:tcPr>
            <w:tcW w:w="160" w:type="dxa"/>
            <w:vAlign w:val="bottom"/>
          </w:tcPr>
          <w:p>
            <w:pPr>
              <w:spacing w:after="0"/>
              <w:rPr>
                <w:sz w:val="20"/>
                <w:szCs w:val="20"/>
                <w:color w:val="auto"/>
              </w:rPr>
            </w:pP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14</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9"/>
              </w:rPr>
              <w:t>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500</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2.78%</w:t>
            </w:r>
          </w:p>
        </w:tc>
        <w:tc>
          <w:tcPr>
            <w:tcW w:w="100" w:type="dxa"/>
            <w:vAlign w:val="bottom"/>
          </w:tcPr>
          <w:p>
            <w:pPr>
              <w:spacing w:after="0"/>
              <w:rPr>
                <w:sz w:val="20"/>
                <w:szCs w:val="20"/>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33"/>
        </w:trPr>
        <w:tc>
          <w:tcPr>
            <w:tcW w:w="34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Total</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98</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37</w:t>
            </w:r>
          </w:p>
        </w:tc>
        <w:tc>
          <w:tcPr>
            <w:tcW w:w="100" w:type="dxa"/>
            <w:vAlign w:val="bottom"/>
            <w:shd w:val="clear" w:color="auto" w:fill="CCEEFF"/>
          </w:tcPr>
          <w:p>
            <w:pPr>
              <w:spacing w:after="0"/>
              <w:rPr>
                <w:sz w:val="21"/>
                <w:szCs w:val="21"/>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3,500</w:t>
            </w:r>
          </w:p>
        </w:tc>
        <w:tc>
          <w:tcPr>
            <w:tcW w:w="100" w:type="dxa"/>
            <w:vAlign w:val="bottom"/>
            <w:shd w:val="clear" w:color="auto" w:fill="CCEEFF"/>
          </w:tcPr>
          <w:p>
            <w:pPr>
              <w:spacing w:after="0"/>
              <w:rPr>
                <w:sz w:val="21"/>
                <w:szCs w:val="21"/>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2.93%</w:t>
            </w:r>
          </w:p>
        </w:tc>
        <w:tc>
          <w:tcPr>
            <w:tcW w:w="10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7.4</w:t>
            </w: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As of March 31, 2019 and December 31, 2018, ≤ 1 year notional amount includes $700 million of Bermudan swaptions where the options may be exercised on predetermined dates up to their final exercise date, which is six months prior to the underlying swaps' maturity date.</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U.S. Treasury Securities</w:t>
            </w: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March 31, 2019</w:t>
            </w: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ind w:left="60"/>
              <w:spacing w:after="0"/>
              <w:rPr>
                <w:sz w:val="20"/>
                <w:szCs w:val="20"/>
                <w:color w:val="auto"/>
              </w:rPr>
            </w:pPr>
            <w:r>
              <w:rPr>
                <w:rFonts w:ascii="Arial" w:cs="Arial" w:eastAsia="Arial" w:hAnsi="Arial"/>
                <w:sz w:val="14"/>
                <w:szCs w:val="14"/>
                <w:b w:val="1"/>
                <w:bCs w:val="1"/>
                <w:color w:val="auto"/>
              </w:rPr>
              <w:t>December 31, 2018</w:t>
            </w: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2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Maturity</w:t>
            </w:r>
          </w:p>
        </w:tc>
        <w:tc>
          <w:tcPr>
            <w:tcW w:w="14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2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Face Amount</w:t>
            </w:r>
          </w:p>
        </w:tc>
        <w:tc>
          <w:tcPr>
            <w:tcW w:w="120" w:type="dxa"/>
            <w:vAlign w:val="bottom"/>
          </w:tcPr>
          <w:p>
            <w:pPr>
              <w:spacing w:after="0"/>
              <w:rPr>
                <w:sz w:val="13"/>
                <w:szCs w:val="13"/>
                <w:color w:val="auto"/>
              </w:rPr>
            </w:pPr>
          </w:p>
        </w:tc>
        <w:tc>
          <w:tcPr>
            <w:tcW w:w="1160" w:type="dxa"/>
            <w:vAlign w:val="bottom"/>
            <w:vMerge w:val="restart"/>
          </w:tcPr>
          <w:p>
            <w:pPr>
              <w:jc w:val="right"/>
              <w:ind w:right="202"/>
              <w:spacing w:after="0"/>
              <w:rPr>
                <w:sz w:val="20"/>
                <w:szCs w:val="20"/>
                <w:color w:val="auto"/>
              </w:rPr>
            </w:pPr>
            <w:r>
              <w:rPr>
                <w:rFonts w:ascii="Arial" w:cs="Arial" w:eastAsia="Arial" w:hAnsi="Arial"/>
                <w:sz w:val="14"/>
                <w:szCs w:val="14"/>
                <w:b w:val="1"/>
                <w:bCs w:val="1"/>
                <w:color w:val="auto"/>
              </w:rPr>
              <w:t xml:space="preserve">Cost Basis </w:t>
            </w:r>
            <w:r>
              <w:rPr>
                <w:rFonts w:ascii="Arial" w:cs="Arial" w:eastAsia="Arial" w:hAnsi="Arial"/>
                <w:sz w:val="8"/>
                <w:szCs w:val="8"/>
                <w:b w:val="1"/>
                <w:bCs w:val="1"/>
                <w:color w:val="auto"/>
              </w:rPr>
              <w:t>1</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1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Face Amount</w:t>
            </w:r>
          </w:p>
        </w:tc>
        <w:tc>
          <w:tcPr>
            <w:tcW w:w="200" w:type="dxa"/>
            <w:vAlign w:val="bottom"/>
          </w:tcPr>
          <w:p>
            <w:pPr>
              <w:spacing w:after="0"/>
              <w:rPr>
                <w:sz w:val="13"/>
                <w:szCs w:val="13"/>
                <w:color w:val="auto"/>
              </w:rPr>
            </w:pPr>
          </w:p>
        </w:tc>
        <w:tc>
          <w:tcPr>
            <w:tcW w:w="104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w w:val="94"/>
              </w:rPr>
              <w:t xml:space="preserve">Cost Basis </w:t>
            </w:r>
            <w:r>
              <w:rPr>
                <w:rFonts w:ascii="Arial" w:cs="Arial" w:eastAsia="Arial" w:hAnsi="Arial"/>
                <w:sz w:val="8"/>
                <w:szCs w:val="8"/>
                <w:b w:val="1"/>
                <w:bCs w:val="1"/>
                <w:color w:val="auto"/>
                <w:w w:val="94"/>
              </w:rPr>
              <w:t>1</w:t>
            </w:r>
          </w:p>
        </w:tc>
        <w:tc>
          <w:tcPr>
            <w:tcW w:w="12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32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(Short)</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(Short)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3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5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120</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120</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121</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(706)</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(713)</w:t>
            </w:r>
          </w:p>
        </w:tc>
        <w:tc>
          <w:tcPr>
            <w:tcW w:w="0" w:type="dxa"/>
            <w:vAlign w:val="bottom"/>
          </w:tcPr>
          <w:p>
            <w:pPr>
              <w:spacing w:after="0"/>
              <w:rPr>
                <w:sz w:val="1"/>
                <w:szCs w:val="1"/>
                <w:color w:val="auto"/>
              </w:rPr>
            </w:pPr>
          </w:p>
        </w:tc>
      </w:tr>
      <w:tr>
        <w:trPr>
          <w:trHeight w:val="237"/>
        </w:trPr>
        <w:tc>
          <w:tcPr>
            <w:tcW w:w="3340" w:type="dxa"/>
            <w:vAlign w:val="bottom"/>
            <w:gridSpan w:val="2"/>
          </w:tcPr>
          <w:p>
            <w:pPr>
              <w:ind w:left="40"/>
              <w:spacing w:after="0"/>
              <w:rPr>
                <w:sz w:val="20"/>
                <w:szCs w:val="20"/>
                <w:color w:val="auto"/>
              </w:rPr>
            </w:pPr>
            <w:r>
              <w:rPr>
                <w:rFonts w:ascii="Arial" w:cs="Arial" w:eastAsia="Arial" w:hAnsi="Arial"/>
                <w:sz w:val="16"/>
                <w:szCs w:val="16"/>
                <w:color w:val="auto"/>
              </w:rPr>
              <w:t>7 years</w:t>
            </w:r>
          </w:p>
        </w:tc>
        <w:tc>
          <w:tcPr>
            <w:tcW w:w="160" w:type="dxa"/>
            <w:vAlign w:val="bottom"/>
          </w:tcPr>
          <w:p>
            <w:pPr>
              <w:spacing w:after="0"/>
              <w:rPr>
                <w:sz w:val="20"/>
                <w:szCs w:val="20"/>
                <w:color w:val="auto"/>
              </w:rPr>
            </w:pPr>
          </w:p>
        </w:tc>
        <w:tc>
          <w:tcPr>
            <w:tcW w:w="1120" w:type="dxa"/>
            <w:vAlign w:val="bottom"/>
          </w:tcPr>
          <w:p>
            <w:pPr>
              <w:jc w:val="right"/>
              <w:ind w:right="2"/>
              <w:spacing w:after="0"/>
              <w:rPr>
                <w:sz w:val="20"/>
                <w:szCs w:val="20"/>
                <w:color w:val="auto"/>
              </w:rPr>
            </w:pPr>
            <w:r>
              <w:rPr>
                <w:rFonts w:ascii="Arial" w:cs="Arial" w:eastAsia="Arial" w:hAnsi="Arial"/>
                <w:sz w:val="16"/>
                <w:szCs w:val="16"/>
                <w:color w:val="auto"/>
              </w:rPr>
              <w:t>(12,990)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(12,976)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(13,285)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(14,357)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(14,325)</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(14,410)</w:t>
            </w:r>
          </w:p>
        </w:tc>
        <w:tc>
          <w:tcPr>
            <w:tcW w:w="0" w:type="dxa"/>
            <w:vAlign w:val="bottom"/>
          </w:tcPr>
          <w:p>
            <w:pPr>
              <w:spacing w:after="0"/>
              <w:rPr>
                <w:sz w:val="1"/>
                <w:szCs w:val="1"/>
                <w:color w:val="auto"/>
              </w:rPr>
            </w:pPr>
          </w:p>
        </w:tc>
      </w:tr>
      <w:tr>
        <w:trPr>
          <w:trHeight w:val="33"/>
        </w:trPr>
        <w:tc>
          <w:tcPr>
            <w:tcW w:w="3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10 years</w:t>
            </w:r>
          </w:p>
        </w:tc>
        <w:tc>
          <w:tcPr>
            <w:tcW w:w="1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(5,745)</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(5,810)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(5,990)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(6,240)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(6,224)</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(6,262)</w:t>
            </w:r>
          </w:p>
        </w:tc>
        <w:tc>
          <w:tcPr>
            <w:tcW w:w="0" w:type="dxa"/>
            <w:vAlign w:val="bottom"/>
          </w:tcPr>
          <w:p>
            <w:pPr>
              <w:spacing w:after="0"/>
              <w:rPr>
                <w:sz w:val="1"/>
                <w:szCs w:val="1"/>
                <w:color w:val="auto"/>
              </w:rPr>
            </w:pPr>
          </w:p>
        </w:tc>
      </w:tr>
      <w:tr>
        <w:trPr>
          <w:trHeight w:val="244"/>
        </w:trPr>
        <w:tc>
          <w:tcPr>
            <w:tcW w:w="3340" w:type="dxa"/>
            <w:vAlign w:val="bottom"/>
            <w:gridSpan w:val="2"/>
          </w:tcPr>
          <w:p>
            <w:pPr>
              <w:ind w:left="40"/>
              <w:spacing w:after="0"/>
              <w:rPr>
                <w:sz w:val="20"/>
                <w:szCs w:val="20"/>
                <w:color w:val="auto"/>
              </w:rPr>
            </w:pPr>
            <w:r>
              <w:rPr>
                <w:rFonts w:ascii="Arial" w:cs="Arial" w:eastAsia="Arial" w:hAnsi="Arial"/>
                <w:sz w:val="16"/>
                <w:szCs w:val="16"/>
                <w:color w:val="auto"/>
              </w:rPr>
              <w:t>Total U.S. Treasury securities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(18,615)</w:t>
            </w:r>
          </w:p>
        </w:tc>
        <w:tc>
          <w:tcPr>
            <w:tcW w:w="12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(18,666)</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(19,154)</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(21,300)</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(21,255)</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(21,385)</w:t>
            </w: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As of March 31, 2019 and December 31, 2018, U.S. Treasury securities had a weighted average yield of 2.66%.</w:t>
      </w:r>
    </w:p>
    <w:p>
      <w:pPr>
        <w:spacing w:after="0" w:line="37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880" w:type="dxa"/>
            <w:vAlign w:val="bottom"/>
            <w:gridSpan w:val="2"/>
          </w:tcPr>
          <w:p>
            <w:pPr>
              <w:ind w:left="80"/>
              <w:spacing w:after="0"/>
              <w:rPr>
                <w:sz w:val="20"/>
                <w:szCs w:val="20"/>
                <w:color w:val="auto"/>
              </w:rPr>
            </w:pPr>
            <w:r>
              <w:rPr>
                <w:rFonts w:ascii="Arial" w:cs="Arial" w:eastAsia="Arial" w:hAnsi="Arial"/>
                <w:sz w:val="14"/>
                <w:szCs w:val="14"/>
                <w:b w:val="1"/>
                <w:bCs w:val="1"/>
                <w:color w:val="auto"/>
              </w:rPr>
              <w:t>U.S. Treasury Futures</w:t>
            </w: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3"/>
          </w:tcPr>
          <w:p>
            <w:pPr>
              <w:ind w:left="200"/>
              <w:spacing w:after="0"/>
              <w:rPr>
                <w:sz w:val="20"/>
                <w:szCs w:val="20"/>
                <w:color w:val="auto"/>
              </w:rPr>
            </w:pPr>
            <w:r>
              <w:rPr>
                <w:rFonts w:ascii="Arial" w:cs="Arial" w:eastAsia="Arial" w:hAnsi="Arial"/>
                <w:sz w:val="14"/>
                <w:szCs w:val="14"/>
                <w:b w:val="1"/>
                <w:bCs w:val="1"/>
                <w:color w:val="auto"/>
                <w:w w:val="94"/>
              </w:rPr>
              <w:t>March 31, 2019</w:t>
            </w: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0" w:type="dxa"/>
            <w:vAlign w:val="bottom"/>
            <w:gridSpan w:val="5"/>
          </w:tcPr>
          <w:p>
            <w:pPr>
              <w:ind w:left="80"/>
              <w:spacing w:after="0"/>
              <w:rPr>
                <w:sz w:val="20"/>
                <w:szCs w:val="20"/>
                <w:color w:val="auto"/>
              </w:rPr>
            </w:pPr>
            <w:r>
              <w:rPr>
                <w:rFonts w:ascii="Arial" w:cs="Arial" w:eastAsia="Arial" w:hAnsi="Arial"/>
                <w:sz w:val="14"/>
                <w:szCs w:val="14"/>
                <w:b w:val="1"/>
                <w:bCs w:val="1"/>
                <w:color w:val="auto"/>
              </w:rPr>
              <w:t>December 31, 2018</w:t>
            </w: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r>
      <w:tr>
        <w:trPr>
          <w:trHeight w:val="143"/>
        </w:trPr>
        <w:tc>
          <w:tcPr>
            <w:tcW w:w="27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2"/>
          </w:tcPr>
          <w:p>
            <w:pPr>
              <w:jc w:val="center"/>
              <w:ind w:right="30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00" w:type="dxa"/>
            <w:vAlign w:val="bottom"/>
            <w:tcBorders>
              <w:top w:val="single" w:sz="8" w:color="auto"/>
            </w:tcBorders>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4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320" w:type="dxa"/>
            <w:vAlign w:val="bottom"/>
          </w:tcPr>
          <w:p>
            <w:pPr>
              <w:spacing w:after="0"/>
              <w:rPr>
                <w:sz w:val="11"/>
                <w:szCs w:val="11"/>
                <w:color w:val="auto"/>
              </w:rPr>
            </w:pPr>
          </w:p>
        </w:tc>
        <w:tc>
          <w:tcPr>
            <w:tcW w:w="740" w:type="dxa"/>
            <w:vAlign w:val="bottom"/>
            <w:gridSpan w:val="2"/>
          </w:tcPr>
          <w:p>
            <w:pPr>
              <w:jc w:val="center"/>
              <w:ind w:right="440"/>
              <w:spacing w:after="0" w:line="135" w:lineRule="exact"/>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1"/>
                <w:szCs w:val="11"/>
                <w:color w:val="auto"/>
              </w:rPr>
            </w:pPr>
          </w:p>
        </w:tc>
        <w:tc>
          <w:tcPr>
            <w:tcW w:w="9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0"/>
              </w:rPr>
              <w:t>Amount - Long</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80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rPr>
              <w:t>Fair</w:t>
            </w:r>
          </w:p>
        </w:tc>
        <w:tc>
          <w:tcPr>
            <w:tcW w:w="900" w:type="dxa"/>
            <w:vAlign w:val="bottom"/>
            <w:gridSpan w:val="2"/>
          </w:tcPr>
          <w:p>
            <w:pPr>
              <w:jc w:val="center"/>
              <w:spacing w:after="0" w:line="135" w:lineRule="exact"/>
              <w:rPr>
                <w:sz w:val="20"/>
                <w:szCs w:val="20"/>
                <w:color w:val="auto"/>
              </w:rPr>
            </w:pPr>
            <w:r>
              <w:rPr>
                <w:rFonts w:ascii="Arial" w:cs="Arial" w:eastAsia="Arial" w:hAnsi="Arial"/>
                <w:sz w:val="13"/>
                <w:szCs w:val="13"/>
                <w:b w:val="1"/>
                <w:bCs w:val="1"/>
                <w:color w:val="auto"/>
                <w:w w:val="92"/>
              </w:rPr>
              <w:t>Net Carrying</w:t>
            </w: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Maturity</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75"/>
              <w:spacing w:after="0"/>
              <w:rPr>
                <w:sz w:val="20"/>
                <w:szCs w:val="20"/>
                <w:color w:val="auto"/>
              </w:rPr>
            </w:pPr>
            <w:r>
              <w:rPr>
                <w:rFonts w:ascii="Arial" w:cs="Arial" w:eastAsia="Arial" w:hAnsi="Arial"/>
                <w:sz w:val="13"/>
                <w:szCs w:val="13"/>
                <w:b w:val="1"/>
                <w:bCs w:val="1"/>
                <w:color w:val="auto"/>
                <w:w w:val="89"/>
              </w:rPr>
              <w:t>(Short)</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ind w:left="120"/>
              <w:spacing w:after="0"/>
              <w:rPr>
                <w:sz w:val="20"/>
                <w:szCs w:val="20"/>
                <w:color w:val="auto"/>
              </w:rPr>
            </w:pPr>
            <w:r>
              <w:rPr>
                <w:rFonts w:ascii="Arial" w:cs="Arial" w:eastAsia="Arial" w:hAnsi="Arial"/>
                <w:sz w:val="13"/>
                <w:szCs w:val="13"/>
                <w:b w:val="1"/>
                <w:bCs w:val="1"/>
                <w:color w:val="auto"/>
              </w:rPr>
              <w:t>Basis</w:t>
            </w:r>
          </w:p>
        </w:tc>
        <w:tc>
          <w:tcPr>
            <w:tcW w:w="12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jc w:val="center"/>
              <w:ind w:right="254"/>
              <w:spacing w:after="0"/>
              <w:rPr>
                <w:sz w:val="20"/>
                <w:szCs w:val="20"/>
                <w:color w:val="auto"/>
              </w:rPr>
            </w:pPr>
            <w:r>
              <w:rPr>
                <w:rFonts w:ascii="Arial" w:cs="Arial" w:eastAsia="Arial" w:hAnsi="Arial"/>
                <w:sz w:val="13"/>
                <w:szCs w:val="13"/>
                <w:b w:val="1"/>
                <w:bCs w:val="1"/>
                <w:color w:val="auto"/>
                <w:w w:val="86"/>
              </w:rPr>
              <w:t>Value</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8"/>
              </w:rPr>
              <w:t xml:space="preserve">Value </w:t>
            </w:r>
            <w:r>
              <w:rPr>
                <w:rFonts w:ascii="Arial" w:cs="Arial" w:eastAsia="Arial" w:hAnsi="Arial"/>
                <w:sz w:val="8"/>
                <w:szCs w:val="8"/>
                <w:b w:val="1"/>
                <w:bCs w:val="1"/>
                <w:color w:val="auto"/>
                <w:w w:val="88"/>
              </w:rPr>
              <w:t>1</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55"/>
              <w:spacing w:after="0"/>
              <w:rPr>
                <w:sz w:val="20"/>
                <w:szCs w:val="20"/>
                <w:color w:val="auto"/>
              </w:rPr>
            </w:pPr>
            <w:r>
              <w:rPr>
                <w:rFonts w:ascii="Arial" w:cs="Arial" w:eastAsia="Arial" w:hAnsi="Arial"/>
                <w:sz w:val="13"/>
                <w:szCs w:val="13"/>
                <w:b w:val="1"/>
                <w:bCs w:val="1"/>
                <w:color w:val="auto"/>
                <w:w w:val="93"/>
              </w:rPr>
              <w:t>(Short)</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ind w:left="120"/>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right="134"/>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center"/>
              <w:ind w:right="113"/>
              <w:spacing w:after="0"/>
              <w:rPr>
                <w:sz w:val="20"/>
                <w:szCs w:val="20"/>
                <w:color w:val="auto"/>
              </w:rPr>
            </w:pPr>
            <w:r>
              <w:rPr>
                <w:rFonts w:ascii="Arial" w:cs="Arial" w:eastAsia="Arial" w:hAnsi="Arial"/>
                <w:sz w:val="13"/>
                <w:szCs w:val="13"/>
                <w:b w:val="1"/>
                <w:bCs w:val="1"/>
                <w:color w:val="auto"/>
                <w:w w:val="88"/>
              </w:rPr>
              <w:t xml:space="preserve">Value </w:t>
            </w:r>
            <w:r>
              <w:rPr>
                <w:rFonts w:ascii="Arial" w:cs="Arial" w:eastAsia="Arial" w:hAnsi="Arial"/>
                <w:sz w:val="8"/>
                <w:szCs w:val="8"/>
                <w:b w:val="1"/>
                <w:bCs w:val="1"/>
                <w:color w:val="auto"/>
                <w:w w:val="88"/>
              </w:rPr>
              <w:t>1</w:t>
            </w:r>
          </w:p>
        </w:tc>
      </w:tr>
      <w:tr>
        <w:trPr>
          <w:trHeight w:val="243"/>
        </w:trPr>
        <w:tc>
          <w:tcPr>
            <w:tcW w:w="2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10 years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4"/>
                <w:szCs w:val="14"/>
                <w:color w:val="auto"/>
              </w:rPr>
              <w:t>(1,650)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(2,019)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4"/>
                <w:szCs w:val="14"/>
                <w:color w:val="auto"/>
              </w:rPr>
              <w:t>(2,050)</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4"/>
                <w:szCs w:val="14"/>
                <w:color w:val="auto"/>
              </w:rPr>
              <w:t>(31)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(1,650)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(1,969)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w:t>
            </w: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 2019</w:t>
            </w:r>
          </w:p>
        </w:tc>
        <w:tc>
          <w:tcPr>
            <w:tcW w:w="6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December 31, 2018</w:t>
            </w: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r>
      <w:tr>
        <w:trPr>
          <w:trHeight w:val="143"/>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30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4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3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3"/>
                <w:szCs w:val="13"/>
                <w:b w:val="1"/>
                <w:bCs w:val="1"/>
                <w:color w:val="auto"/>
              </w:rPr>
              <w:t>Fair</w:t>
            </w:r>
          </w:p>
        </w:tc>
        <w:tc>
          <w:tcPr>
            <w:tcW w:w="100" w:type="dxa"/>
            <w:vAlign w:val="bottom"/>
          </w:tcPr>
          <w:p>
            <w:pPr>
              <w:spacing w:after="0"/>
              <w:rPr>
                <w:sz w:val="11"/>
                <w:szCs w:val="11"/>
                <w:color w:val="auto"/>
              </w:rPr>
            </w:pPr>
          </w:p>
        </w:tc>
        <w:tc>
          <w:tcPr>
            <w:tcW w:w="940" w:type="dxa"/>
            <w:vAlign w:val="bottom"/>
            <w:gridSpan w:val="2"/>
          </w:tcPr>
          <w:p>
            <w:pPr>
              <w:spacing w:after="0" w:line="135" w:lineRule="exact"/>
              <w:rPr>
                <w:sz w:val="20"/>
                <w:szCs w:val="20"/>
                <w:color w:val="auto"/>
              </w:rPr>
            </w:pPr>
            <w:r>
              <w:rPr>
                <w:rFonts w:ascii="Arial" w:cs="Arial" w:eastAsia="Arial" w:hAnsi="Arial"/>
                <w:sz w:val="13"/>
                <w:szCs w:val="13"/>
                <w:b w:val="1"/>
                <w:bCs w:val="1"/>
                <w:color w:val="auto"/>
              </w:rPr>
              <w:t>Net Carrying</w:t>
            </w: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0"/>
              </w:rPr>
              <w:t>Amount - Long</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Fair</w:t>
            </w:r>
          </w:p>
        </w:tc>
        <w:tc>
          <w:tcPr>
            <w:tcW w:w="900" w:type="dxa"/>
            <w:vAlign w:val="bottom"/>
            <w:gridSpan w:val="2"/>
          </w:tcPr>
          <w:p>
            <w:pPr>
              <w:jc w:val="right"/>
              <w:ind w:right="9"/>
              <w:spacing w:after="0" w:line="135" w:lineRule="exact"/>
              <w:rPr>
                <w:sz w:val="20"/>
                <w:szCs w:val="20"/>
                <w:color w:val="auto"/>
              </w:rPr>
            </w:pPr>
            <w:r>
              <w:rPr>
                <w:rFonts w:ascii="Arial" w:cs="Arial" w:eastAsia="Arial" w:hAnsi="Arial"/>
                <w:sz w:val="13"/>
                <w:szCs w:val="13"/>
                <w:b w:val="1"/>
                <w:bCs w:val="1"/>
                <w:color w:val="auto"/>
              </w:rPr>
              <w:t>Net Carrying</w:t>
            </w: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Coupon</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89"/>
              </w:rPr>
              <w:t>(Short)</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Basis</w:t>
            </w:r>
          </w:p>
        </w:tc>
        <w:tc>
          <w:tcPr>
            <w:tcW w:w="12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jc w:val="right"/>
              <w:ind w:right="250"/>
              <w:spacing w:after="0"/>
              <w:rPr>
                <w:sz w:val="20"/>
                <w:szCs w:val="20"/>
                <w:color w:val="auto"/>
              </w:rPr>
            </w:pPr>
            <w:r>
              <w:rPr>
                <w:rFonts w:ascii="Arial" w:cs="Arial" w:eastAsia="Arial" w:hAnsi="Arial"/>
                <w:sz w:val="13"/>
                <w:szCs w:val="13"/>
                <w:b w:val="1"/>
                <w:bCs w:val="1"/>
                <w:color w:val="auto"/>
                <w:w w:val="80"/>
              </w:rPr>
              <w:t>Value</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1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50"/>
              <w:spacing w:after="0"/>
              <w:rPr>
                <w:sz w:val="20"/>
                <w:szCs w:val="20"/>
                <w:color w:val="auto"/>
              </w:rPr>
            </w:pPr>
            <w:r>
              <w:rPr>
                <w:rFonts w:ascii="Arial" w:cs="Arial" w:eastAsia="Arial" w:hAnsi="Arial"/>
                <w:sz w:val="13"/>
                <w:szCs w:val="13"/>
                <w:b w:val="1"/>
                <w:bCs w:val="1"/>
                <w:color w:val="auto"/>
                <w:w w:val="93"/>
              </w:rPr>
              <w:t>(Short)</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29"/>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30"/>
              <w:spacing w:after="0"/>
              <w:rPr>
                <w:sz w:val="20"/>
                <w:szCs w:val="20"/>
                <w:color w:val="auto"/>
              </w:rPr>
            </w:pPr>
            <w:r>
              <w:rPr>
                <w:rFonts w:ascii="Arial" w:cs="Arial" w:eastAsia="Arial" w:hAnsi="Arial"/>
                <w:sz w:val="13"/>
                <w:szCs w:val="13"/>
                <w:b w:val="1"/>
                <w:bCs w:val="1"/>
                <w:color w:val="auto"/>
              </w:rPr>
              <w:t>Value</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1</w:t>
            </w:r>
          </w:p>
        </w:tc>
      </w:tr>
      <w:tr>
        <w:trPr>
          <w:trHeight w:val="270"/>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15-Year TBA securities:</w:t>
            </w:r>
          </w:p>
        </w:tc>
        <w:tc>
          <w:tcPr>
            <w:tcW w:w="1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3.0%</w:t>
            </w:r>
          </w:p>
        </w:tc>
        <w:tc>
          <w:tcPr>
            <w:tcW w:w="14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50"/>
              <w:spacing w:after="0"/>
              <w:rPr>
                <w:sz w:val="20"/>
                <w:szCs w:val="20"/>
                <w:color w:val="auto"/>
              </w:rPr>
            </w:pPr>
            <w:r>
              <w:rPr>
                <w:rFonts w:ascii="Arial" w:cs="Arial" w:eastAsia="Arial" w:hAnsi="Arial"/>
                <w:sz w:val="14"/>
                <w:szCs w:val="14"/>
                <w:color w:val="auto"/>
              </w:rPr>
              <w:t>327</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9"/>
              <w:spacing w:after="0"/>
              <w:rPr>
                <w:sz w:val="20"/>
                <w:szCs w:val="20"/>
                <w:color w:val="auto"/>
              </w:rPr>
            </w:pPr>
            <w:r>
              <w:rPr>
                <w:rFonts w:ascii="Arial" w:cs="Arial" w:eastAsia="Arial" w:hAnsi="Arial"/>
                <w:sz w:val="14"/>
                <w:szCs w:val="14"/>
                <w:color w:val="auto"/>
              </w:rPr>
              <w:t>328</w:t>
            </w:r>
          </w:p>
        </w:tc>
        <w:tc>
          <w:tcPr>
            <w:tcW w:w="12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50"/>
              <w:spacing w:after="0"/>
              <w:rPr>
                <w:sz w:val="20"/>
                <w:szCs w:val="20"/>
                <w:color w:val="auto"/>
              </w:rPr>
            </w:pPr>
            <w:r>
              <w:rPr>
                <w:rFonts w:ascii="Arial" w:cs="Arial" w:eastAsia="Arial" w:hAnsi="Arial"/>
                <w:sz w:val="14"/>
                <w:szCs w:val="14"/>
                <w:color w:val="auto"/>
              </w:rPr>
              <w:t>329</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30"/>
              <w:spacing w:after="0"/>
              <w:rPr>
                <w:sz w:val="20"/>
                <w:szCs w:val="20"/>
                <w:color w:val="auto"/>
              </w:rPr>
            </w:pPr>
            <w:r>
              <w:rPr>
                <w:rFonts w:ascii="Arial" w:cs="Arial" w:eastAsia="Arial" w:hAnsi="Arial"/>
                <w:sz w:val="14"/>
                <w:szCs w:val="14"/>
                <w:color w:val="auto"/>
              </w:rPr>
              <w:t>567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30"/>
              <w:spacing w:after="0"/>
              <w:rPr>
                <w:sz w:val="20"/>
                <w:szCs w:val="20"/>
                <w:color w:val="auto"/>
              </w:rPr>
            </w:pPr>
            <w:r>
              <w:rPr>
                <w:rFonts w:ascii="Arial" w:cs="Arial" w:eastAsia="Arial" w:hAnsi="Arial"/>
                <w:sz w:val="14"/>
                <w:szCs w:val="14"/>
                <w:color w:val="auto"/>
              </w:rPr>
              <w:t>566</w:t>
            </w:r>
          </w:p>
        </w:tc>
        <w:tc>
          <w:tcPr>
            <w:tcW w:w="100" w:type="dxa"/>
            <w:vAlign w:val="bottom"/>
          </w:tcPr>
          <w:p>
            <w:pPr>
              <w:spacing w:after="0"/>
              <w:rPr>
                <w:sz w:val="22"/>
                <w:szCs w:val="22"/>
                <w:color w:val="auto"/>
              </w:rPr>
            </w:pPr>
          </w:p>
        </w:tc>
        <w:tc>
          <w:tcPr>
            <w:tcW w:w="18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9"/>
              <w:spacing w:after="0"/>
              <w:rPr>
                <w:sz w:val="20"/>
                <w:szCs w:val="20"/>
                <w:color w:val="auto"/>
              </w:rPr>
            </w:pPr>
            <w:r>
              <w:rPr>
                <w:rFonts w:ascii="Arial" w:cs="Arial" w:eastAsia="Arial" w:hAnsi="Arial"/>
                <w:sz w:val="14"/>
                <w:szCs w:val="14"/>
                <w:color w:val="auto"/>
              </w:rPr>
              <w:t>9</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3.5%</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1,969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1,996</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2,013</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1,706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1,708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1,726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18</w:t>
            </w:r>
          </w:p>
        </w:tc>
      </w:tr>
      <w:tr>
        <w:trPr>
          <w:trHeight w:val="264"/>
        </w:trPr>
        <w:tc>
          <w:tcPr>
            <w:tcW w:w="274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4.0%</w:t>
            </w:r>
          </w:p>
        </w:tc>
        <w:tc>
          <w:tcPr>
            <w:tcW w:w="14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1,083</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1,108</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1,115</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1,350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1,370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1,381</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11</w:t>
            </w: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15-Year TBA securities</w:t>
            </w:r>
          </w:p>
        </w:tc>
        <w:tc>
          <w:tcPr>
            <w:tcW w:w="120" w:type="dxa"/>
            <w:vAlign w:val="bottom"/>
            <w:tcBorders>
              <w:bottom w:val="single" w:sz="8" w:color="auto"/>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3,379</w:t>
            </w:r>
          </w:p>
        </w:tc>
        <w:tc>
          <w:tcPr>
            <w:tcW w:w="12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3,432</w:t>
            </w:r>
          </w:p>
        </w:tc>
        <w:tc>
          <w:tcPr>
            <w:tcW w:w="120" w:type="dxa"/>
            <w:vAlign w:val="bottom"/>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6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3,457</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3,623</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3,635</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3,673</w:t>
            </w:r>
          </w:p>
        </w:tc>
        <w:tc>
          <w:tcPr>
            <w:tcW w:w="10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38</w:t>
            </w:r>
          </w:p>
        </w:tc>
      </w:tr>
      <w:tr>
        <w:trPr>
          <w:trHeight w:val="258"/>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30-Year TBA securities:</w:t>
            </w: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903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886</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899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1,028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981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1,003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22</w:t>
            </w: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3.5%</w:t>
            </w: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jc w:val="right"/>
              <w:ind w:right="50"/>
              <w:spacing w:after="0"/>
              <w:rPr>
                <w:sz w:val="20"/>
                <w:szCs w:val="20"/>
                <w:color w:val="auto"/>
              </w:rPr>
            </w:pPr>
            <w:r>
              <w:rPr>
                <w:rFonts w:ascii="Arial" w:cs="Arial" w:eastAsia="Arial" w:hAnsi="Arial"/>
                <w:sz w:val="14"/>
                <w:szCs w:val="14"/>
                <w:color w:val="auto"/>
              </w:rPr>
              <w:t>3,084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49"/>
              <w:spacing w:after="0"/>
              <w:rPr>
                <w:sz w:val="20"/>
                <w:szCs w:val="20"/>
                <w:color w:val="auto"/>
              </w:rPr>
            </w:pPr>
            <w:r>
              <w:rPr>
                <w:rFonts w:ascii="Arial" w:cs="Arial" w:eastAsia="Arial" w:hAnsi="Arial"/>
                <w:sz w:val="14"/>
                <w:szCs w:val="14"/>
                <w:color w:val="auto"/>
              </w:rPr>
              <w:t>3,095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jc w:val="right"/>
              <w:ind w:right="50"/>
              <w:spacing w:after="0"/>
              <w:rPr>
                <w:sz w:val="20"/>
                <w:szCs w:val="20"/>
                <w:color w:val="auto"/>
              </w:rPr>
            </w:pPr>
            <w:r>
              <w:rPr>
                <w:rFonts w:ascii="Arial" w:cs="Arial" w:eastAsia="Arial" w:hAnsi="Arial"/>
                <w:sz w:val="14"/>
                <w:szCs w:val="14"/>
                <w:color w:val="auto"/>
              </w:rPr>
              <w:t>3,125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30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(2,979)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(2,943)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(2,977)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(34)</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(3,148)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(3,222)</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(3,238)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3,030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3,073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3,089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16</w:t>
            </w:r>
          </w:p>
        </w:tc>
      </w:tr>
      <w:tr>
        <w:trPr>
          <w:trHeight w:val="264"/>
        </w:trPr>
        <w:tc>
          <w:tcPr>
            <w:tcW w:w="2880" w:type="dxa"/>
            <w:vAlign w:val="bottom"/>
            <w:tcBorders>
              <w:bottom w:val="single" w:sz="8" w:color="CCEEFF"/>
            </w:tcBorders>
            <w:gridSpan w:val="2"/>
          </w:tcPr>
          <w:p>
            <w:pPr>
              <w:ind w:left="200"/>
              <w:spacing w:after="0"/>
              <w:rPr>
                <w:sz w:val="20"/>
                <w:szCs w:val="20"/>
                <w:color w:val="auto"/>
              </w:rPr>
            </w:pPr>
            <w:r>
              <w:rPr>
                <w:rFonts w:ascii="Arial" w:cs="Arial" w:eastAsia="Arial" w:hAnsi="Arial"/>
                <w:sz w:val="14"/>
                <w:szCs w:val="14"/>
                <w:color w:val="auto"/>
              </w:rPr>
              <w:t>≥ 4.5%</w:t>
            </w:r>
          </w:p>
        </w:tc>
        <w:tc>
          <w:tcPr>
            <w:tcW w:w="1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2,604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2,694</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2,712</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18</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2,450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2,506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2,534</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28</w:t>
            </w:r>
          </w:p>
        </w:tc>
      </w:tr>
      <w:tr>
        <w:trPr>
          <w:trHeight w:val="250"/>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30-Year TBA securities, net</w:t>
            </w:r>
          </w:p>
        </w:tc>
        <w:tc>
          <w:tcPr>
            <w:tcW w:w="12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3,443</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3,453</w:t>
            </w:r>
          </w:p>
        </w:tc>
        <w:tc>
          <w:tcPr>
            <w:tcW w:w="120" w:type="dxa"/>
            <w:vAlign w:val="bottom"/>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6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3,498</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8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3,529</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3,617</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3,649</w:t>
            </w: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32</w:t>
            </w:r>
          </w:p>
        </w:tc>
      </w:tr>
      <w:tr>
        <w:trPr>
          <w:trHeight w:val="243"/>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Total TBA securities, net</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6,822</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6,885</w:t>
            </w:r>
          </w:p>
        </w:tc>
        <w:tc>
          <w:tcPr>
            <w:tcW w:w="120" w:type="dxa"/>
            <w:vAlign w:val="bottom"/>
          </w:tcPr>
          <w:p>
            <w:pPr>
              <w:spacing w:after="0"/>
              <w:rPr>
                <w:sz w:val="21"/>
                <w:szCs w:val="21"/>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6,955</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7,152</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7,252</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7,322</w:t>
            </w:r>
          </w:p>
        </w:tc>
        <w:tc>
          <w:tcPr>
            <w:tcW w:w="100" w:type="dxa"/>
            <w:vAlign w:val="bottom"/>
          </w:tcPr>
          <w:p>
            <w:pPr>
              <w:spacing w:after="0"/>
              <w:rPr>
                <w:sz w:val="21"/>
                <w:szCs w:val="21"/>
                <w:color w:val="auto"/>
              </w:rPr>
            </w:pPr>
          </w:p>
        </w:tc>
        <w:tc>
          <w:tcPr>
            <w:tcW w:w="1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70</w:t>
            </w: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968" w:right="239" w:bottom="1440" w:gutter="0" w:footer="0" w:header="0"/>
        </w:sectPr>
      </w:pPr>
    </w:p>
    <w:bookmarkStart w:id="17" w:name="page18"/>
    <w:bookmarkEnd w:id="17"/>
    <w:p>
      <w:pPr>
        <w:ind w:left="660" w:hanging="328"/>
        <w:spacing w:after="0" w:line="273" w:lineRule="auto"/>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ind w:left="60" w:firstLine="648"/>
        <w:spacing w:after="0" w:line="277" w:lineRule="auto"/>
        <w:rPr>
          <w:sz w:val="20"/>
          <w:szCs w:val="20"/>
          <w:color w:val="auto"/>
        </w:rPr>
      </w:pPr>
      <w:r>
        <w:rPr>
          <w:rFonts w:ascii="Arial" w:cs="Arial" w:eastAsia="Arial" w:hAnsi="Arial"/>
          <w:sz w:val="18"/>
          <w:szCs w:val="18"/>
          <w:color w:val="auto"/>
        </w:rPr>
        <w:t>The following table summarizes changes in our derivative and other hedge portfolio and their effect on our consolidated statements of comprehensive income for the three months ended March 31, 2019 and 2018 (in millions):</w:t>
      </w:r>
    </w:p>
    <w:p>
      <w:pPr>
        <w:spacing w:after="0" w:line="96"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jc w:val="center"/>
              <w:ind w:right="62"/>
              <w:spacing w:after="0"/>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4"/>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42"/>
              <w:spacing w:after="0" w:line="145" w:lineRule="exact"/>
              <w:rPr>
                <w:sz w:val="20"/>
                <w:szCs w:val="20"/>
                <w:color w:val="auto"/>
              </w:rPr>
            </w:pPr>
            <w:r>
              <w:rPr>
                <w:rFonts w:ascii="Arial" w:cs="Arial" w:eastAsia="Arial" w:hAnsi="Arial"/>
                <w:sz w:val="14"/>
                <w:szCs w:val="14"/>
                <w:b w:val="1"/>
                <w:bCs w:val="1"/>
                <w:color w:val="auto"/>
                <w:w w:val="93"/>
              </w:rPr>
              <w:t>on Derivative</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3"/>
              </w:rPr>
              <w:t>Beginning</w:t>
            </w: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240" w:type="dxa"/>
            <w:vAlign w:val="bottom"/>
          </w:tcPr>
          <w:p>
            <w:pPr>
              <w:spacing w:after="0"/>
              <w:rPr>
                <w:sz w:val="12"/>
                <w:szCs w:val="12"/>
                <w:color w:val="auto"/>
              </w:rPr>
            </w:pPr>
          </w:p>
        </w:tc>
        <w:tc>
          <w:tcPr>
            <w:tcW w:w="120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2"/>
              </w:rPr>
              <w:t>Ending</w:t>
            </w:r>
          </w:p>
        </w:tc>
        <w:tc>
          <w:tcPr>
            <w:tcW w:w="140" w:type="dxa"/>
            <w:vAlign w:val="bottom"/>
          </w:tcPr>
          <w:p>
            <w:pPr>
              <w:spacing w:after="0"/>
              <w:rPr>
                <w:sz w:val="12"/>
                <w:szCs w:val="12"/>
                <w:color w:val="auto"/>
              </w:rPr>
            </w:pPr>
          </w:p>
        </w:tc>
        <w:tc>
          <w:tcPr>
            <w:tcW w:w="122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49"/>
        </w:trPr>
        <w:tc>
          <w:tcPr>
            <w:tcW w:w="43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260" w:type="dxa"/>
            <w:vAlign w:val="bottom"/>
            <w:vMerge w:val="restart"/>
          </w:tcPr>
          <w:p>
            <w:pPr>
              <w:jc w:val="right"/>
              <w:ind w:right="260"/>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24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13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3"/>
              </w:rPr>
              <w:t>Other Securities, Net</w:t>
            </w:r>
          </w:p>
        </w:tc>
        <w:tc>
          <w:tcPr>
            <w:tcW w:w="0" w:type="dxa"/>
            <w:vAlign w:val="bottom"/>
          </w:tcPr>
          <w:p>
            <w:pPr>
              <w:spacing w:after="0"/>
              <w:rPr>
                <w:sz w:val="1"/>
                <w:szCs w:val="1"/>
                <w:color w:val="auto"/>
              </w:rPr>
            </w:pPr>
          </w:p>
        </w:tc>
      </w:tr>
      <w:tr>
        <w:trPr>
          <w:trHeight w:val="162"/>
        </w:trPr>
        <w:tc>
          <w:tcPr>
            <w:tcW w:w="43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5"/>
              </w:rPr>
              <w:t>Notional Amount</w:t>
            </w:r>
          </w:p>
        </w:tc>
        <w:tc>
          <w:tcPr>
            <w:tcW w:w="120" w:type="dxa"/>
            <w:vAlign w:val="bottom"/>
            <w:tcBorders>
              <w:bottom w:val="single" w:sz="8" w:color="CCEEFF"/>
            </w:tcBorders>
          </w:tcPr>
          <w:p>
            <w:pPr>
              <w:spacing w:after="0"/>
              <w:rPr>
                <w:sz w:val="14"/>
                <w:szCs w:val="14"/>
                <w:color w:val="auto"/>
              </w:rPr>
            </w:pPr>
          </w:p>
        </w:tc>
        <w:tc>
          <w:tcPr>
            <w:tcW w:w="126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CEEFF"/>
            </w:tcBorders>
            <w:vMerge w:val="continue"/>
          </w:tcPr>
          <w:p>
            <w:pPr>
              <w:spacing w:after="0"/>
              <w:rPr>
                <w:sz w:val="14"/>
                <w:szCs w:val="14"/>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4"/>
                <w:szCs w:val="14"/>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Notional Amount</w:t>
            </w:r>
          </w:p>
        </w:tc>
        <w:tc>
          <w:tcPr>
            <w:tcW w:w="220" w:type="dxa"/>
            <w:vAlign w:val="bottom"/>
            <w:tcBorders>
              <w:bottom w:val="single" w:sz="8" w:color="CCEEFF"/>
            </w:tcBorders>
            <w:gridSpan w:val="2"/>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center"/>
              <w:ind w:right="62"/>
              <w:spacing w:after="0"/>
              <w:rPr>
                <w:sz w:val="20"/>
                <w:szCs w:val="20"/>
                <w:color w:val="auto"/>
              </w:rPr>
            </w:pPr>
            <w:r>
              <w:rPr>
                <w:rFonts w:ascii="Arial" w:cs="Arial" w:eastAsia="Arial" w:hAnsi="Arial"/>
                <w:sz w:val="9"/>
                <w:szCs w:val="9"/>
                <w:b w:val="1"/>
                <w:bCs w:val="1"/>
                <w:color w:val="auto"/>
                <w:w w:val="78"/>
              </w:rPr>
              <w:t>1</w:t>
            </w:r>
          </w:p>
        </w:tc>
        <w:tc>
          <w:tcPr>
            <w:tcW w:w="0" w:type="dxa"/>
            <w:vAlign w:val="bottom"/>
          </w:tcPr>
          <w:p>
            <w:pPr>
              <w:spacing w:after="0"/>
              <w:rPr>
                <w:sz w:val="1"/>
                <w:szCs w:val="1"/>
                <w:color w:val="auto"/>
              </w:rPr>
            </w:pPr>
          </w:p>
        </w:tc>
      </w:tr>
      <w:tr>
        <w:trPr>
          <w:trHeight w:val="244"/>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March 31, 2019:</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7,152</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18,442</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(18,772)</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6,822</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83</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51,625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5,350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(8,800)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48,175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(596)</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3,500</w:t>
            </w:r>
          </w:p>
        </w:tc>
        <w:tc>
          <w:tcPr>
            <w:tcW w:w="12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(950)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2,550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(21,345)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(4,770)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7,380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(18,735)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(425)</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45</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405</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(330)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120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(996)</w:t>
            </w:r>
          </w:p>
        </w:tc>
        <w:tc>
          <w:tcPr>
            <w:tcW w:w="0" w:type="dxa"/>
            <w:vAlign w:val="bottom"/>
          </w:tcPr>
          <w:p>
            <w:pPr>
              <w:spacing w:after="0"/>
              <w:rPr>
                <w:sz w:val="1"/>
                <w:szCs w:val="1"/>
                <w:color w:val="auto"/>
              </w:rPr>
            </w:pPr>
          </w:p>
        </w:tc>
      </w:tr>
      <w:tr>
        <w:trPr>
          <w:trHeight w:val="73"/>
        </w:trPr>
        <w:tc>
          <w:tcPr>
            <w:tcW w:w="4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44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March 31, 2018:</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10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6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98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15,474</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43,669</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(45,507)</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13,636</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(292)</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43,700</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3,150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45,250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663</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6,650</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1,100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(1,000)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6,750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91</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(10,699)</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563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(10,798)</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212</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959</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(734)</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225</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(2,909)</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3,439</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(2,380)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62</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736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 w:lineRule="exact"/>
        <w:rPr>
          <w:sz w:val="20"/>
          <w:szCs w:val="20"/>
          <w:color w:val="auto"/>
        </w:rPr>
      </w:pPr>
    </w:p>
    <w:p>
      <w:pPr>
        <w:ind w:left="60"/>
        <w:spacing w:after="0"/>
        <w:rPr>
          <w:sz w:val="20"/>
          <w:szCs w:val="20"/>
          <w:color w:val="auto"/>
        </w:rPr>
      </w:pPr>
      <w:r>
        <w:rPr>
          <w:rFonts w:ascii="Arial" w:cs="Arial" w:eastAsia="Arial" w:hAnsi="Arial"/>
          <w:sz w:val="11"/>
          <w:szCs w:val="11"/>
          <w:color w:val="auto"/>
        </w:rPr>
        <w:t>________________________________</w:t>
      </w:r>
    </w:p>
    <w:p>
      <w:pPr>
        <w:spacing w:after="0" w:line="40" w:lineRule="exact"/>
        <w:rPr>
          <w:sz w:val="20"/>
          <w:szCs w:val="20"/>
          <w:color w:val="auto"/>
        </w:rPr>
      </w:pPr>
    </w:p>
    <w:p>
      <w:pPr>
        <w:ind w:left="660" w:right="20" w:hanging="328"/>
        <w:spacing w:after="0" w:line="273"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Amounts exclude other miscellaneous gains and losses recognized in gain (loss) on derivative instruments and other securities, net in our consolidated statements of comprehensive income.</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Pledged Assets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prime brokerage agreements, pursuant to which we receive custody and settlement services,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28"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provided for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mark-to-market margin requirements, clearinghouse guarantee funds and other resources that are available in the event of a clearing</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580" w:right="239" w:bottom="1440" w:gutter="0" w:footer="0" w:header="0"/>
        </w:sectPr>
      </w:pPr>
    </w:p>
    <w:bookmarkStart w:id="18" w:name="page19"/>
    <w:bookmarkEnd w:id="18"/>
    <w:p>
      <w:pPr>
        <w:jc w:val="both"/>
        <w:spacing w:after="0" w:line="257" w:lineRule="auto"/>
        <w:rPr>
          <w:sz w:val="20"/>
          <w:szCs w:val="20"/>
          <w:color w:val="auto"/>
        </w:rPr>
      </w:pPr>
      <w:r>
        <w:rPr>
          <w:rFonts w:ascii="Arial" w:cs="Arial" w:eastAsia="Arial" w:hAnsi="Arial"/>
          <w:sz w:val="18"/>
          <w:szCs w:val="18"/>
          <w:color w:val="auto"/>
        </w:rPr>
        <w:t>member default. As of March 31, 2019, our maximum amount at risk with any counterparty other than the Fixed Income Clearing Corporation related to our repurchase agreements was less than 4% of our tangible stockholders' equity. As of March 31, 2019, approximately 7% of our tangible stockholder's equity was at risk with the Fixed Income Clearing Corporation. Equity at risk is defined as the net carrying value of securities pledged under repurchase agreements, including accrued interest plus any cash or assets on deposit to secure the repurchase obligation, less the amount of the repurchase liability, including accrued interest.</w:t>
      </w:r>
    </w:p>
    <w:p>
      <w:pPr>
        <w:spacing w:after="0" w:line="13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Our International Swaps and Derivatives Association ("ISDA") Master Agreements contain a cross default provision under which a default under the terms of certain of our other indebtedness in excess of certain thresholds causes an event of default under the ISDA Master Agreement. Threshold amounts vary by lender. Following an event of default, we could be required to settle our obligations under the agreements. Additionally, under certain of our ISDA Master Agreements, we could be required to settle our obligations under the agreements if we fail to maintain certain minimum stockholders' equity thresholds or our REIT status or if we fail to comply with limits on our leverage up to certain specified levels. As of March 31, 2019, the fair value of additional collateral that could be required to be posted as a result of the credit-risk-related contingent features being triggered was not material to our financial statements.</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tables summarize our assets pledged as collateral under our funding, derivative and prime broker agreements by type, including securities pledged related to securities sold but not yet settled, as of March 31, 2019 and December 31, 2018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jc w:val="center"/>
              <w:ind w:left="368"/>
              <w:spacing w:after="0"/>
              <w:rPr>
                <w:sz w:val="20"/>
                <w:szCs w:val="20"/>
                <w:color w:val="auto"/>
              </w:rPr>
            </w:pPr>
            <w:r>
              <w:rPr>
                <w:rFonts w:ascii="Arial" w:cs="Arial" w:eastAsia="Arial" w:hAnsi="Arial"/>
                <w:sz w:val="14"/>
                <w:szCs w:val="14"/>
                <w:b w:val="1"/>
                <w:bCs w:val="1"/>
                <w:color w:val="auto"/>
                <w:w w:val="96"/>
              </w:rPr>
              <w:t>March 31, 2019</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8"/>
                <w:szCs w:val="8"/>
                <w:b w:val="1"/>
                <w:bCs w:val="1"/>
                <w:color w:val="auto"/>
              </w:rPr>
              <w:t>1</w:t>
            </w:r>
          </w:p>
        </w:tc>
        <w:tc>
          <w:tcPr>
            <w:tcW w:w="120" w:type="dxa"/>
            <w:vAlign w:val="bottom"/>
            <w:vMerge w:val="restart"/>
          </w:tcPr>
          <w:p>
            <w:pPr>
              <w:spacing w:after="0"/>
              <w:rPr>
                <w:sz w:val="16"/>
                <w:szCs w:val="16"/>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Repurchase Agreements</w:t>
            </w:r>
          </w:p>
        </w:tc>
        <w:tc>
          <w:tcPr>
            <w:tcW w:w="15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Debt of Consolidated</w:t>
            </w:r>
          </w:p>
        </w:tc>
        <w:tc>
          <w:tcPr>
            <w:tcW w:w="180" w:type="dxa"/>
            <w:vAlign w:val="bottom"/>
          </w:tcPr>
          <w:p>
            <w:pPr>
              <w:spacing w:after="0"/>
              <w:rPr>
                <w:sz w:val="16"/>
                <w:szCs w:val="16"/>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91"/>
              <w:spacing w:after="0"/>
              <w:rPr>
                <w:sz w:val="20"/>
                <w:szCs w:val="20"/>
                <w:color w:val="auto"/>
              </w:rPr>
            </w:pPr>
            <w:r>
              <w:rPr>
                <w:rFonts w:ascii="Arial" w:cs="Arial" w:eastAsia="Arial" w:hAnsi="Arial"/>
                <w:sz w:val="9"/>
                <w:szCs w:val="9"/>
                <w:b w:val="1"/>
                <w:bCs w:val="1"/>
                <w:color w:val="auto"/>
                <w:w w:val="78"/>
              </w:rPr>
              <w:t>2</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22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89,779</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425</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174</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118</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90,496</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CRT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142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142</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 fair value</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617</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617</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278</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280</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Restricted cash and cash equivalents</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75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442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517</w:t>
            </w:r>
          </w:p>
        </w:tc>
        <w:tc>
          <w:tcPr>
            <w:tcW w:w="0" w:type="dxa"/>
            <w:vAlign w:val="bottom"/>
          </w:tcPr>
          <w:p>
            <w:pPr>
              <w:spacing w:after="0"/>
              <w:rPr>
                <w:sz w:val="1"/>
                <w:szCs w:val="1"/>
                <w:color w:val="auto"/>
              </w:rPr>
            </w:pPr>
          </w:p>
        </w:tc>
      </w:tr>
      <w:tr>
        <w:trPr>
          <w:trHeight w:val="243"/>
        </w:trPr>
        <w:tc>
          <w:tcPr>
            <w:tcW w:w="436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tcBorders>
              <w:top w:val="single" w:sz="8" w:color="auto"/>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90,936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426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92,097</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6"/>
        </w:trPr>
        <w:tc>
          <w:tcPr>
            <w:tcW w:w="4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5"/>
          </w:tcPr>
          <w:p>
            <w:pPr>
              <w:jc w:val="center"/>
              <w:ind w:left="368"/>
              <w:spacing w:after="0"/>
              <w:rPr>
                <w:sz w:val="20"/>
                <w:szCs w:val="20"/>
                <w:color w:val="auto"/>
              </w:rPr>
            </w:pPr>
            <w:r>
              <w:rPr>
                <w:rFonts w:ascii="Arial" w:cs="Arial" w:eastAsia="Arial" w:hAnsi="Arial"/>
                <w:sz w:val="14"/>
                <w:szCs w:val="14"/>
                <w:b w:val="1"/>
                <w:bCs w:val="1"/>
                <w:color w:val="auto"/>
                <w:w w:val="91"/>
              </w:rPr>
              <w:t>December 31, 2018</w:t>
            </w: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8"/>
                <w:szCs w:val="8"/>
                <w:b w:val="1"/>
                <w:bCs w:val="1"/>
                <w:color w:val="auto"/>
              </w:rPr>
              <w:t>1</w:t>
            </w:r>
          </w:p>
        </w:tc>
        <w:tc>
          <w:tcPr>
            <w:tcW w:w="120" w:type="dxa"/>
            <w:vAlign w:val="bottom"/>
            <w:vMerge w:val="restart"/>
          </w:tcPr>
          <w:p>
            <w:pPr>
              <w:spacing w:after="0"/>
              <w:rPr>
                <w:sz w:val="16"/>
                <w:szCs w:val="16"/>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Repurchase Agreements</w:t>
            </w:r>
          </w:p>
        </w:tc>
        <w:tc>
          <w:tcPr>
            <w:tcW w:w="15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Debt of Consolidated</w:t>
            </w:r>
          </w:p>
        </w:tc>
        <w:tc>
          <w:tcPr>
            <w:tcW w:w="180" w:type="dxa"/>
            <w:vAlign w:val="bottom"/>
          </w:tcPr>
          <w:p>
            <w:pPr>
              <w:spacing w:after="0"/>
              <w:rPr>
                <w:sz w:val="16"/>
                <w:szCs w:val="16"/>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91"/>
              <w:spacing w:after="0"/>
              <w:rPr>
                <w:sz w:val="20"/>
                <w:szCs w:val="20"/>
                <w:color w:val="auto"/>
              </w:rPr>
            </w:pPr>
            <w:r>
              <w:rPr>
                <w:rFonts w:ascii="Arial" w:cs="Arial" w:eastAsia="Arial" w:hAnsi="Arial"/>
                <w:sz w:val="9"/>
                <w:szCs w:val="9"/>
                <w:b w:val="1"/>
                <w:bCs w:val="1"/>
                <w:color w:val="auto"/>
                <w:w w:val="78"/>
              </w:rPr>
              <w:t>2</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22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78,997</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436</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174</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133</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79,740</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CRT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141</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 fair value</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437</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437</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246</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248</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Restricted cash and cash equivalents</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77</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522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599</w:t>
            </w:r>
          </w:p>
        </w:tc>
        <w:tc>
          <w:tcPr>
            <w:tcW w:w="0" w:type="dxa"/>
            <w:vAlign w:val="bottom"/>
          </w:tcPr>
          <w:p>
            <w:pPr>
              <w:spacing w:after="0"/>
              <w:rPr>
                <w:sz w:val="1"/>
                <w:szCs w:val="1"/>
                <w:color w:val="auto"/>
              </w:rPr>
            </w:pPr>
          </w:p>
        </w:tc>
      </w:tr>
      <w:tr>
        <w:trPr>
          <w:trHeight w:val="243"/>
        </w:trPr>
        <w:tc>
          <w:tcPr>
            <w:tcW w:w="436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tcBorders>
              <w:top w:val="single" w:sz="8" w:color="auto"/>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79,943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437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697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81,210</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repledged assets received as collateral from counterparties.</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$161 million and $163 million of retained interests in our consolidated VIEs pledged as collateral under repurchase agreements as of March 31, 2019 and December 31, 2018, respectively.</w:t>
      </w:r>
    </w:p>
    <w:p>
      <w:pPr>
        <w:ind w:left="660" w:hanging="328"/>
        <w:spacing w:after="0"/>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margin for TBAs cleared through prime brokers and other clearing deposits.</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Securities transferred to our consolidated VIEs can only be used to settle the obligations of each respective VIE. However, we may pledge our retained interests in our consolidated VIEs as collateral under our repurchase agreements and derivative contracts. Please refer to Note 4 for additional information regarding our consolidated VIEs.</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following table summarizes our securities pledged as collateral under our repurchase agreements by the remaining maturity of our borrowings, including securities pledged related to sold but not yet settled securities, as of March 31, 2019 and December 31, 2018 (in millions). For the corresponding borrowings associated with the following amounts and the interest rates thereon, refer to Note 5</w:t>
      </w:r>
      <w:r>
        <w:rPr>
          <w:rFonts w:ascii="Arial" w:cs="Arial" w:eastAsia="Arial" w:hAnsi="Arial"/>
          <w:sz w:val="18"/>
          <w:szCs w:val="18"/>
          <w:i w:val="1"/>
          <w:iCs w:val="1"/>
          <w:color w:val="auto"/>
        </w:rPr>
        <w:t>.</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746" w:right="23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rPr>
              <w:t>March 31, 2019</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2018</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3"/>
                <w:szCs w:val="13"/>
                <w:color w:val="auto"/>
              </w:rPr>
            </w:pPr>
          </w:p>
        </w:tc>
        <w:tc>
          <w:tcPr>
            <w:tcW w:w="9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2"/>
              </w:rPr>
              <w:t>Accrued</w:t>
            </w: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3"/>
                <w:szCs w:val="13"/>
                <w:color w:val="auto"/>
              </w:rPr>
            </w:pPr>
          </w:p>
        </w:tc>
        <w:tc>
          <w:tcPr>
            <w:tcW w:w="880" w:type="dxa"/>
            <w:vAlign w:val="bottom"/>
          </w:tcPr>
          <w:p>
            <w:pPr>
              <w:jc w:val="center"/>
              <w:ind w:right="48"/>
              <w:spacing w:after="0" w:line="153"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49"/>
        </w:trPr>
        <w:tc>
          <w:tcPr>
            <w:tcW w:w="4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60" w:type="dxa"/>
            <w:vAlign w:val="bottom"/>
          </w:tcPr>
          <w:p>
            <w:pPr>
              <w:spacing w:after="0"/>
              <w:rPr>
                <w:sz w:val="12"/>
                <w:szCs w:val="12"/>
                <w:color w:val="auto"/>
              </w:rPr>
            </w:pPr>
          </w:p>
        </w:tc>
        <w:tc>
          <w:tcPr>
            <w:tcW w:w="1120" w:type="dxa"/>
            <w:vAlign w:val="bottom"/>
            <w:vMerge w:val="restart"/>
          </w:tcPr>
          <w:p>
            <w:pPr>
              <w:jc w:val="right"/>
              <w:ind w:right="168"/>
              <w:spacing w:after="0"/>
              <w:rPr>
                <w:sz w:val="20"/>
                <w:szCs w:val="20"/>
                <w:color w:val="auto"/>
              </w:rPr>
            </w:pPr>
            <w:r>
              <w:rPr>
                <w:rFonts w:ascii="Arial" w:cs="Arial" w:eastAsia="Arial" w:hAnsi="Arial"/>
                <w:sz w:val="14"/>
                <w:szCs w:val="14"/>
                <w:b w:val="1"/>
                <w:bCs w:val="1"/>
                <w:color w:val="auto"/>
              </w:rPr>
              <w:t>Fair Value of</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Interest on</w:t>
            </w:r>
          </w:p>
        </w:tc>
        <w:tc>
          <w:tcPr>
            <w:tcW w:w="160" w:type="dxa"/>
            <w:vAlign w:val="bottom"/>
          </w:tcPr>
          <w:p>
            <w:pPr>
              <w:spacing w:after="0"/>
              <w:rPr>
                <w:sz w:val="12"/>
                <w:szCs w:val="12"/>
                <w:color w:val="auto"/>
              </w:rPr>
            </w:pPr>
          </w:p>
        </w:tc>
        <w:tc>
          <w:tcPr>
            <w:tcW w:w="106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w w:val="99"/>
              </w:rPr>
              <w:t>Fair Value of</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49"/>
        </w:trPr>
        <w:tc>
          <w:tcPr>
            <w:tcW w:w="40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Pledged</w:t>
            </w:r>
          </w:p>
        </w:tc>
        <w:tc>
          <w:tcPr>
            <w:tcW w:w="16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8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1,2</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w w:val="94"/>
              </w:rPr>
              <w:t>Pledged 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 30 days</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45,947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45,673</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143</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49,944</w:t>
            </w: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50,654</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156</w:t>
            </w:r>
          </w:p>
        </w:tc>
        <w:tc>
          <w:tcPr>
            <w:tcW w:w="0" w:type="dxa"/>
            <w:vAlign w:val="bottom"/>
          </w:tcPr>
          <w:p>
            <w:pPr>
              <w:spacing w:after="0"/>
              <w:rPr>
                <w:sz w:val="1"/>
                <w:szCs w:val="1"/>
                <w:color w:val="auto"/>
              </w:rPr>
            </w:pPr>
          </w:p>
        </w:tc>
      </w:tr>
      <w:tr>
        <w:trPr>
          <w:trHeight w:val="264"/>
        </w:trPr>
        <w:tc>
          <w:tcPr>
            <w:tcW w:w="4020" w:type="dxa"/>
            <w:vAlign w:val="bottom"/>
            <w:gridSpan w:val="2"/>
          </w:tcPr>
          <w:p>
            <w:pPr>
              <w:ind w:left="100"/>
              <w:spacing w:after="0"/>
              <w:rPr>
                <w:sz w:val="20"/>
                <w:szCs w:val="20"/>
                <w:color w:val="auto"/>
              </w:rPr>
            </w:pPr>
            <w:r>
              <w:rPr>
                <w:rFonts w:ascii="Arial" w:cs="Arial" w:eastAsia="Arial" w:hAnsi="Arial"/>
                <w:sz w:val="14"/>
                <w:szCs w:val="14"/>
                <w:color w:val="auto"/>
              </w:rPr>
              <w:t>&gt; 30 and ≤ 60 days</w:t>
            </w:r>
          </w:p>
        </w:tc>
        <w:tc>
          <w:tcPr>
            <w:tcW w:w="16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10,792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10,758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34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14,586</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14,810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&gt; 60 and ≤ 90 days</w:t>
            </w:r>
          </w:p>
        </w:tc>
        <w:tc>
          <w:tcPr>
            <w:tcW w:w="1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17,282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17,267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7,770</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7,843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264"/>
        </w:trPr>
        <w:tc>
          <w:tcPr>
            <w:tcW w:w="402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&gt; 90 days</w:t>
            </w:r>
          </w:p>
        </w:tc>
        <w:tc>
          <w:tcPr>
            <w:tcW w:w="1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15,945</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16,108</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48</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6,882</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7,079</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43"/>
        </w:trPr>
        <w:tc>
          <w:tcPr>
            <w:tcW w:w="40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89,966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89,806</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278</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79,182</w:t>
            </w: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80,386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247</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39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660" w:right="200" w:hanging="328"/>
        <w:spacing w:after="0" w:line="250" w:lineRule="auto"/>
        <w:tabs>
          <w:tab w:leader="none" w:pos="6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$161 million and $163 million of retained interests in our consolidated VIEs pledged as collateral under repurchase agreements as of March 31, 2019 and December 31, 2018, respectively.</w:t>
      </w:r>
    </w:p>
    <w:p>
      <w:pPr>
        <w:ind w:left="660" w:hanging="328"/>
        <w:spacing w:after="0"/>
        <w:tabs>
          <w:tab w:leader="none" w:pos="660" w:val="left"/>
        </w:tabs>
        <w:numPr>
          <w:ilvl w:val="0"/>
          <w:numId w:val="15"/>
        </w:numPr>
        <w:rPr>
          <w:rFonts w:ascii="Arial" w:cs="Arial" w:eastAsia="Arial" w:hAnsi="Arial"/>
          <w:sz w:val="13"/>
          <w:szCs w:val="13"/>
          <w:color w:val="auto"/>
        </w:rPr>
      </w:pPr>
      <w:r>
        <w:rPr>
          <w:rFonts w:ascii="Arial" w:cs="Arial" w:eastAsia="Arial" w:hAnsi="Arial"/>
          <w:sz w:val="13"/>
          <w:szCs w:val="13"/>
          <w:color w:val="auto"/>
        </w:rPr>
        <w:t>Excludes $496 million and $437 million of repledged U.S. Treasury securities received as collateral from counterparties as of March 31, 2019 and December 31, 2018, repsectively.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As of March 31, 2019 and December 31, 2018, we had assets pledged to us from counterparties as collateral under our reverse repurchase and derivative agreements summarized in the tables below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4"/>
          </w:tcPr>
          <w:p>
            <w:pPr>
              <w:jc w:val="right"/>
              <w:ind w:right="568"/>
              <w:spacing w:after="0"/>
              <w:rPr>
                <w:sz w:val="20"/>
                <w:szCs w:val="20"/>
                <w:color w:val="auto"/>
              </w:rPr>
            </w:pPr>
            <w:r>
              <w:rPr>
                <w:rFonts w:ascii="Arial" w:cs="Arial" w:eastAsia="Arial" w:hAnsi="Arial"/>
                <w:sz w:val="14"/>
                <w:szCs w:val="14"/>
                <w:b w:val="1"/>
                <w:bCs w:val="1"/>
                <w:color w:val="auto"/>
              </w:rPr>
              <w:t>March 31, 2019</w:t>
            </w:r>
          </w:p>
        </w:tc>
        <w:tc>
          <w:tcPr>
            <w:tcW w:w="3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jc w:val="right"/>
              <w:ind w:right="428"/>
              <w:spacing w:after="0"/>
              <w:rPr>
                <w:sz w:val="20"/>
                <w:szCs w:val="20"/>
                <w:color w:val="auto"/>
              </w:rPr>
            </w:pPr>
            <w:r>
              <w:rPr>
                <w:rFonts w:ascii="Arial" w:cs="Arial" w:eastAsia="Arial" w:hAnsi="Arial"/>
                <w:sz w:val="14"/>
                <w:szCs w:val="14"/>
                <w:b w:val="1"/>
                <w:bCs w:val="1"/>
                <w:color w:val="auto"/>
              </w:rPr>
              <w:t>December 31, 2018</w:t>
            </w:r>
          </w:p>
        </w:tc>
        <w:tc>
          <w:tcPr>
            <w:tcW w:w="3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1"/>
              </w:rPr>
              <w:t>Reverse</w:t>
            </w:r>
          </w:p>
        </w:tc>
        <w:tc>
          <w:tcPr>
            <w:tcW w:w="140" w:type="dxa"/>
            <w:vAlign w:val="bottom"/>
          </w:tcPr>
          <w:p>
            <w:pPr>
              <w:spacing w:after="0"/>
              <w:rPr>
                <w:sz w:val="13"/>
                <w:szCs w:val="13"/>
                <w:color w:val="auto"/>
              </w:rPr>
            </w:pPr>
          </w:p>
        </w:tc>
        <w:tc>
          <w:tcPr>
            <w:tcW w:w="10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Derivative</w:t>
            </w:r>
          </w:p>
        </w:tc>
        <w:tc>
          <w:tcPr>
            <w:tcW w:w="120" w:type="dxa"/>
            <w:vAlign w:val="bottom"/>
          </w:tcPr>
          <w:p>
            <w:pPr>
              <w:spacing w:after="0"/>
              <w:rPr>
                <w:sz w:val="13"/>
                <w:szCs w:val="13"/>
                <w:color w:val="auto"/>
              </w:rPr>
            </w:pPr>
          </w:p>
        </w:tc>
        <w:tc>
          <w:tcPr>
            <w:tcW w:w="92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w w:val="92"/>
              </w:rPr>
              <w:t>Repurchase</w:t>
            </w:r>
          </w:p>
        </w:tc>
        <w:tc>
          <w:tcPr>
            <w:tcW w:w="3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3"/>
                <w:szCs w:val="13"/>
                <w:color w:val="auto"/>
              </w:rPr>
            </w:pPr>
          </w:p>
        </w:tc>
        <w:tc>
          <w:tcPr>
            <w:tcW w:w="10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5"/>
              </w:rPr>
              <w:t>Derivative</w:t>
            </w:r>
          </w:p>
        </w:tc>
        <w:tc>
          <w:tcPr>
            <w:tcW w:w="120" w:type="dxa"/>
            <w:vAlign w:val="bottom"/>
          </w:tcPr>
          <w:p>
            <w:pPr>
              <w:spacing w:after="0"/>
              <w:rPr>
                <w:sz w:val="13"/>
                <w:szCs w:val="13"/>
                <w:color w:val="auto"/>
              </w:rPr>
            </w:pPr>
          </w:p>
        </w:tc>
        <w:tc>
          <w:tcPr>
            <w:tcW w:w="92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w w:val="92"/>
              </w:rPr>
              <w:t>Repurchase</w:t>
            </w:r>
          </w:p>
        </w:tc>
        <w:tc>
          <w:tcPr>
            <w:tcW w:w="3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Assets Pledged to AGNC </w:t>
            </w:r>
            <w:r>
              <w:rPr>
                <w:rFonts w:ascii="Arial" w:cs="Arial" w:eastAsia="Arial" w:hAnsi="Arial"/>
                <w:sz w:val="8"/>
                <w:szCs w:val="8"/>
                <w:b w:val="1"/>
                <w:bCs w:val="1"/>
                <w:color w:val="auto"/>
              </w:rPr>
              <w:t>1</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Repurchase</w:t>
            </w:r>
          </w:p>
        </w:tc>
        <w:tc>
          <w:tcPr>
            <w:tcW w:w="14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8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780" w:type="dxa"/>
            <w:vAlign w:val="bottom"/>
            <w:vMerge w:val="restart"/>
          </w:tcPr>
          <w:p>
            <w:pPr>
              <w:jc w:val="right"/>
              <w:ind w:right="26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1"/>
              </w:rPr>
              <w:t>Agreements</w:t>
            </w:r>
          </w:p>
        </w:tc>
        <w:tc>
          <w:tcPr>
            <w:tcW w:w="3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Agreements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1"/>
              </w:rPr>
              <w:t>Agreements</w:t>
            </w:r>
          </w:p>
        </w:tc>
        <w:tc>
          <w:tcPr>
            <w:tcW w:w="3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U.S. Treasury securities - fair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20,400</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20,440</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21,876</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w:t>
            </w:r>
          </w:p>
        </w:tc>
        <w:tc>
          <w:tcPr>
            <w:tcW w:w="3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21,948</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4"/>
                <w:szCs w:val="14"/>
                <w:color w:val="auto"/>
              </w:rPr>
              <w:t>Cash</w:t>
            </w:r>
          </w:p>
        </w:tc>
        <w:tc>
          <w:tcPr>
            <w:tcW w:w="14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49</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49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129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129</w:t>
            </w:r>
          </w:p>
        </w:tc>
        <w:tc>
          <w:tcPr>
            <w:tcW w:w="0" w:type="dxa"/>
            <w:vAlign w:val="bottom"/>
          </w:tcPr>
          <w:p>
            <w:pPr>
              <w:spacing w:after="0"/>
              <w:rPr>
                <w:sz w:val="1"/>
                <w:szCs w:val="1"/>
                <w:color w:val="auto"/>
              </w:rPr>
            </w:pPr>
          </w:p>
        </w:tc>
      </w:tr>
      <w:tr>
        <w:trPr>
          <w:trHeight w:val="264"/>
        </w:trPr>
        <w:tc>
          <w:tcPr>
            <w:tcW w:w="242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20,400</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59</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w:t>
            </w:r>
          </w:p>
        </w:tc>
        <w:tc>
          <w:tcPr>
            <w:tcW w:w="3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20,489</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21,876</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164</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w:t>
            </w:r>
          </w:p>
        </w:tc>
        <w:tc>
          <w:tcPr>
            <w:tcW w:w="3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22,077</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4"/>
        </w:trPr>
        <w:tc>
          <w:tcPr>
            <w:tcW w:w="230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3"/>
          <w:szCs w:val="13"/>
          <w:color w:val="auto"/>
        </w:rPr>
      </w:pPr>
      <w:r>
        <w:rPr>
          <w:rFonts w:ascii="Arial" w:cs="Arial" w:eastAsia="Arial" w:hAnsi="Arial"/>
          <w:sz w:val="13"/>
          <w:szCs w:val="13"/>
          <w:color w:val="auto"/>
        </w:rPr>
        <w:t>Includes $496 million and $437 million of repledged U.S. Treasury securities received as collateral from counterparties as of March 31, 2019 and December 31, 2018, respectively.</w:t>
      </w:r>
    </w:p>
    <w:p>
      <w:pPr>
        <w:spacing w:after="0" w:line="179"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U.S Treasury securities received as collateral under our reverse repurchase agreements for which we use to cover short sales of U.S. Treasury securities are accounted for as securities borrowing transactions. We recognize a corresponding obligation to return the borrowed securities at fair value on the accompanying consolidated balance sheets based on the value of the underlying borrowed securities as of the reporting date.</w:t>
      </w:r>
    </w:p>
    <w:p>
      <w:pPr>
        <w:spacing w:after="0" w:line="11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Cash collateral received is recognized in cash and cash equivalents with a corresponding amount recognized in accounts payable and other accrued liabilities on the accompanying consolidated balance sheets.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March 31, 2019 and December 31, 2018 (in millions):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887" w:right="23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11"/>
          </w:tcPr>
          <w:p>
            <w:pPr>
              <w:jc w:val="right"/>
              <w:ind w:right="28"/>
              <w:spacing w:after="0"/>
              <w:rPr>
                <w:sz w:val="20"/>
                <w:szCs w:val="20"/>
                <w:color w:val="auto"/>
              </w:rPr>
            </w:pPr>
            <w:r>
              <w:rPr>
                <w:rFonts w:ascii="Arial" w:cs="Arial" w:eastAsia="Arial" w:hAnsi="Arial"/>
                <w:sz w:val="14"/>
                <w:szCs w:val="14"/>
                <w:b w:val="1"/>
                <w:bCs w:val="1"/>
                <w:color w:val="auto"/>
                <w:w w:val="92"/>
              </w:rPr>
              <w:t>Offsetting of Financial and Derivative Assets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40" w:type="dxa"/>
            <w:vAlign w:val="bottom"/>
            <w:gridSpan w:val="3"/>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Assets Presented</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3"/>
          </w:tcPr>
          <w:p>
            <w:pPr>
              <w:jc w:val="center"/>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2"/>
          </w:tcPr>
          <w:p>
            <w:pPr>
              <w:jc w:val="center"/>
              <w:ind w:right="220"/>
              <w:spacing w:after="0" w:line="125" w:lineRule="exact"/>
              <w:rPr>
                <w:sz w:val="20"/>
                <w:szCs w:val="20"/>
                <w:color w:val="auto"/>
              </w:rPr>
            </w:pPr>
            <w:r>
              <w:rPr>
                <w:rFonts w:ascii="Arial" w:cs="Arial" w:eastAsia="Arial" w:hAnsi="Arial"/>
                <w:sz w:val="14"/>
                <w:szCs w:val="14"/>
                <w:b w:val="1"/>
                <w:bCs w:val="1"/>
                <w:color w:val="auto"/>
                <w:w w:val="96"/>
              </w:rPr>
              <w:t>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2"/>
              </w:rPr>
              <w:t>Assets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Balance Sheets</w:t>
            </w:r>
          </w:p>
        </w:tc>
        <w:tc>
          <w:tcPr>
            <w:tcW w:w="14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Instruments</w:t>
            </w:r>
          </w:p>
        </w:tc>
        <w:tc>
          <w:tcPr>
            <w:tcW w:w="180" w:type="dxa"/>
            <w:vAlign w:val="bottom"/>
          </w:tcPr>
          <w:p>
            <w:pPr>
              <w:spacing w:after="0"/>
              <w:rPr>
                <w:sz w:val="16"/>
                <w:szCs w:val="16"/>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 xml:space="preserve">Received </w:t>
            </w:r>
            <w:r>
              <w:rPr>
                <w:rFonts w:ascii="Arial" w:cs="Arial" w:eastAsia="Arial" w:hAnsi="Arial"/>
                <w:sz w:val="8"/>
                <w:szCs w:val="8"/>
                <w:b w:val="1"/>
                <w:bCs w:val="1"/>
                <w:color w:val="auto"/>
                <w:w w:val="88"/>
              </w:rPr>
              <w:t>2</w:t>
            </w:r>
          </w:p>
        </w:tc>
        <w:tc>
          <w:tcPr>
            <w:tcW w:w="14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tcBorders>
              <w:top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March 31, 2019</w:t>
            </w: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8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9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162</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162</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(59)</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102</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20,430</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20,430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(17,353)</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(3,072)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2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20,683</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20,683</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(17,375)</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(3,131)</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177</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2018</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(158)</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21,813</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21,813</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(17,236)</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(4,575)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43"/>
        </w:trPr>
        <w:tc>
          <w:tcPr>
            <w:tcW w:w="40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22,086</w:t>
            </w:r>
          </w:p>
        </w:tc>
        <w:tc>
          <w:tcPr>
            <w:tcW w:w="100" w:type="dxa"/>
            <w:vAlign w:val="bottom"/>
            <w:tcBorders>
              <w:bottom w:val="single" w:sz="8" w:color="auto"/>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22,086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(17,276)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(4,733)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77</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77"/>
        </w:trPr>
        <w:tc>
          <w:tcPr>
            <w:tcW w:w="3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12"/>
          </w:tcPr>
          <w:p>
            <w:pPr>
              <w:ind w:left="840"/>
              <w:spacing w:after="0"/>
              <w:rPr>
                <w:sz w:val="20"/>
                <w:szCs w:val="20"/>
                <w:color w:val="auto"/>
              </w:rPr>
            </w:pPr>
            <w:r>
              <w:rPr>
                <w:rFonts w:ascii="Arial" w:cs="Arial" w:eastAsia="Arial" w:hAnsi="Arial"/>
                <w:sz w:val="14"/>
                <w:szCs w:val="14"/>
                <w:b w:val="1"/>
                <w:bCs w:val="1"/>
                <w:color w:val="auto"/>
                <w:w w:val="94"/>
              </w:rPr>
              <w:t>Offsetting of Financial and Derivative Liabilities</w:t>
            </w: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80" w:type="dxa"/>
            <w:vAlign w:val="bottom"/>
            <w:gridSpan w:val="2"/>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gridSpan w:val="4"/>
          </w:tcPr>
          <w:p>
            <w:pPr>
              <w:jc w:val="center"/>
              <w:ind w:right="120"/>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ind w:right="28"/>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gridSpan w:val="3"/>
          </w:tcPr>
          <w:p>
            <w:pPr>
              <w:jc w:val="center"/>
              <w:ind w:right="100"/>
              <w:spacing w:after="0" w:line="125" w:lineRule="exact"/>
              <w:rPr>
                <w:sz w:val="20"/>
                <w:szCs w:val="20"/>
                <w:color w:val="auto"/>
              </w:rPr>
            </w:pPr>
            <w:r>
              <w:rPr>
                <w:rFonts w:ascii="Arial" w:cs="Arial" w:eastAsia="Arial" w:hAnsi="Arial"/>
                <w:sz w:val="14"/>
                <w:szCs w:val="14"/>
                <w:b w:val="1"/>
                <w:bCs w:val="1"/>
                <w:color w:val="auto"/>
                <w:w w:val="89"/>
              </w:rPr>
              <w:t>Presented 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60" w:type="dxa"/>
            <w:vAlign w:val="bottom"/>
            <w:gridSpan w:val="4"/>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ind w:right="28"/>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5"/>
              </w:rPr>
              <w:t>Liabilities</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Instruments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2"/>
              </w:rPr>
              <w:t xml:space="preserve">Pledged </w:t>
            </w:r>
            <w:r>
              <w:rPr>
                <w:rFonts w:ascii="Arial" w:cs="Arial" w:eastAsia="Arial" w:hAnsi="Arial"/>
                <w:sz w:val="8"/>
                <w:szCs w:val="8"/>
                <w:b w:val="1"/>
                <w:bCs w:val="1"/>
                <w:color w:val="auto"/>
                <w:w w:val="92"/>
              </w:rPr>
              <w:t>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March 31, 2019</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86,685</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86,685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(17,353)</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(69,332)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86,707</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86,707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(17,375)</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(69,332)</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2018</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75,717</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75,717</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(17,236)</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(58,481)</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75,757</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75,757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(17,276)</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(58,481)</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9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9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320" w:hanging="328"/>
        <w:spacing w:after="0" w:line="241"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6 for a reconciliation of derivative assets / liabilities, at fair value to their sub-components.</w:t>
      </w:r>
    </w:p>
    <w:p>
      <w:pPr>
        <w:ind w:left="660" w:right="160" w:hanging="328"/>
        <w:spacing w:after="0" w:line="255"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include repledged collateral. Amounts presented are limited to collateral pledged sufficient to reduce the net amount to zero for individual counterparties, as applicable.</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Fair Value Measurements</w:t>
      </w:r>
    </w:p>
    <w:p>
      <w:pPr>
        <w:spacing w:after="0" w:line="175"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determine the fair value of our financial instruments based on our estimate of the price that would be received to sell the asset or paid to transfer the liability in an orderly transaction between market participants at the measurement date. We typically obtain price estimates from multiple third-party pricing services and dealers or, if applicable, the clearing exchange (see Note 3 for further details.) We utilize a three-level valuation hierarchy for disclosure of fair value measurements.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w:t>
      </w:r>
    </w:p>
    <w:p>
      <w:pPr>
        <w:spacing w:after="0" w:line="10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three levels of valuation hierarchy are defined as follows:</w:t>
      </w:r>
    </w:p>
    <w:p>
      <w:pPr>
        <w:spacing w:after="0" w:line="171" w:lineRule="exact"/>
        <w:rPr>
          <w:sz w:val="20"/>
          <w:szCs w:val="20"/>
          <w:color w:val="auto"/>
        </w:rPr>
      </w:pPr>
    </w:p>
    <w:p>
      <w:pPr>
        <w:ind w:left="660" w:hanging="328"/>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968" w:right="239" w:bottom="1440" w:gutter="0" w:footer="0" w:header="0"/>
        </w:sectPr>
      </w:pPr>
    </w:p>
    <w:bookmarkStart w:id="21" w:name="page22"/>
    <w:bookmarkEnd w:id="21"/>
    <w:p>
      <w:pPr>
        <w:ind w:left="660" w:hanging="328"/>
        <w:spacing w:after="0" w:line="308" w:lineRule="auto"/>
        <w:tabs>
          <w:tab w:leader="none" w:pos="6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171" w:lineRule="exact"/>
        <w:rPr>
          <w:sz w:val="20"/>
          <w:szCs w:val="20"/>
          <w:color w:val="auto"/>
        </w:rPr>
      </w:pPr>
    </w:p>
    <w:p>
      <w:pPr>
        <w:jc w:val="both"/>
        <w:ind w:left="60" w:firstLine="432"/>
        <w:spacing w:after="0" w:line="259" w:lineRule="auto"/>
        <w:rPr>
          <w:sz w:val="20"/>
          <w:szCs w:val="20"/>
          <w:color w:val="auto"/>
        </w:rPr>
      </w:pPr>
      <w:r>
        <w:rPr>
          <w:rFonts w:ascii="Arial" w:cs="Arial" w:eastAsia="Arial" w:hAnsi="Arial"/>
          <w:sz w:val="18"/>
          <w:szCs w:val="18"/>
          <w:color w:val="auto"/>
        </w:rPr>
        <w:t>The availability of observable inputs can vary by instrument and is affected by a wide variety of factors, including the type of instrument, whether the instrument is new and not yet established in the marketplace and other characteristics particular to the instrument. Third-party pricing sources may also use certain unobservable inputs, such as assumptions of future levels of prepayment, defaults and loss severities, especially when estimating fair values for securities with lower levels of recent trading activity.</w:t>
      </w:r>
    </w:p>
    <w:p>
      <w:pPr>
        <w:spacing w:after="0" w:line="133"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make inquiries of third-party pricing sources to understand the significant inputs and assumptions they used to determine their prices.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 procedures and our market knowledge and expertise) that the price is significantly different from what observable market data would indicate and we cannot obtain an understanding from the third-party source as to the significant inputs used to determine the price.</w:t>
      </w:r>
    </w:p>
    <w:p>
      <w:pPr>
        <w:spacing w:after="0" w:line="124"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The validation procedures described above also influence our determination of the appropriate fair value measurement categorization. The following table provides a summary of our assets and liabilities that are measured at fair value on a recurring basis as of March 31, 2019 and December 31, 2018 based on their categorization within the valuation hierarchy (in millions). There were no transfers between valuation hierarchy levels during the periods presented.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rPr>
              <w:t>March 31, 2019</w:t>
            </w: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2018</w:t>
            </w: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r>
      <w:tr>
        <w:trPr>
          <w:trHeight w:val="264"/>
        </w:trPr>
        <w:tc>
          <w:tcPr>
            <w:tcW w:w="45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ind w:left="120"/>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22"/>
                <w:szCs w:val="22"/>
                <w:color w:val="auto"/>
              </w:rPr>
            </w:pPr>
          </w:p>
        </w:tc>
        <w:tc>
          <w:tcPr>
            <w:tcW w:w="98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2</w:t>
            </w:r>
          </w:p>
        </w:tc>
        <w:tc>
          <w:tcPr>
            <w:tcW w:w="18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3</w:t>
            </w:r>
          </w:p>
        </w:tc>
        <w:tc>
          <w:tcPr>
            <w:tcW w:w="200" w:type="dxa"/>
            <w:vAlign w:val="bottom"/>
          </w:tcPr>
          <w:p>
            <w:pPr>
              <w:spacing w:after="0"/>
              <w:rPr>
                <w:sz w:val="22"/>
                <w:szCs w:val="22"/>
                <w:color w:val="auto"/>
              </w:rPr>
            </w:pPr>
          </w:p>
        </w:tc>
        <w:tc>
          <w:tcPr>
            <w:tcW w:w="820" w:type="dxa"/>
            <w:vAlign w:val="bottom"/>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20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r>
      <w:tr>
        <w:trPr>
          <w:trHeight w:val="270"/>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Agency securities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93,044</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82,291</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Agency securities transferred to consolidated VIEs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425</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Credit risk transfer securities</w:t>
            </w: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1,129</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1,012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Non-Agency securities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672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U.S. Treasury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Swaptions</w:t>
            </w: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0"/>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91</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83"/>
        </w:trPr>
        <w:tc>
          <w:tcPr>
            <w:tcW w:w="4580" w:type="dxa"/>
            <w:vAlign w:val="bottom"/>
          </w:tcPr>
          <w:p>
            <w:pPr>
              <w:ind w:left="40"/>
              <w:spacing w:after="0"/>
              <w:rPr>
                <w:sz w:val="20"/>
                <w:szCs w:val="20"/>
                <w:color w:val="auto"/>
              </w:rPr>
            </w:pPr>
            <w:r>
              <w:rPr>
                <w:rFonts w:ascii="Arial" w:cs="Arial" w:eastAsia="Arial" w:hAnsi="Arial"/>
                <w:sz w:val="14"/>
                <w:szCs w:val="14"/>
                <w:color w:val="auto"/>
              </w:rPr>
              <w:t>Total</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24"/>
                <w:szCs w:val="24"/>
                <w:color w:val="auto"/>
              </w:rPr>
            </w:pPr>
          </w:p>
        </w:tc>
        <w:tc>
          <w:tcPr>
            <w:tcW w:w="20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95,523</w:t>
            </w:r>
          </w:p>
        </w:tc>
        <w:tc>
          <w:tcPr>
            <w:tcW w:w="120" w:type="dxa"/>
            <w:vAlign w:val="bottom"/>
          </w:tcPr>
          <w:p>
            <w:pPr>
              <w:spacing w:after="0"/>
              <w:rPr>
                <w:sz w:val="24"/>
                <w:szCs w:val="24"/>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46</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84,560</w:t>
            </w:r>
          </w:p>
        </w:tc>
        <w:tc>
          <w:tcPr>
            <w:tcW w:w="100" w:type="dxa"/>
            <w:vAlign w:val="bottom"/>
          </w:tcPr>
          <w:p>
            <w:pPr>
              <w:spacing w:after="0"/>
              <w:rPr>
                <w:sz w:val="24"/>
                <w:szCs w:val="24"/>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51"/>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200" w:type="dxa"/>
            <w:vAlign w:val="bottom"/>
            <w:tcBorders>
              <w:top w:val="single" w:sz="8" w:color="auto"/>
            </w:tcBorders>
            <w:shd w:val="clear" w:color="auto" w:fill="CCEEFF"/>
          </w:tcPr>
          <w:p>
            <w:pPr>
              <w:spacing w:after="0"/>
              <w:rPr>
                <w:sz w:val="21"/>
                <w:szCs w:val="21"/>
                <w:color w:val="auto"/>
              </w:rPr>
            </w:pPr>
          </w:p>
        </w:tc>
        <w:tc>
          <w:tcPr>
            <w:tcW w:w="8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2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Debt of consolidated VIEs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275</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163"/>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Obligation to return U.S. Treasury securities borrowed under reverse</w:t>
            </w: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r>
      <w:tr>
        <w:trPr>
          <w:trHeight w:val="194"/>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repurchase agreements</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19,275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21,431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U.S. Treasury futures</w:t>
            </w: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4"/>
                <w:szCs w:val="14"/>
                <w:color w:val="auto"/>
              </w:rPr>
              <w:t>—</w:t>
            </w:r>
          </w:p>
        </w:tc>
      </w:tr>
      <w:tr>
        <w:trPr>
          <w:trHeight w:val="243"/>
        </w:trPr>
        <w:tc>
          <w:tcPr>
            <w:tcW w:w="4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19,306</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288</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21,475</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315</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0"/>
        </w:trPr>
        <w:tc>
          <w:tcPr>
            <w:tcW w:w="45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Excluded from the table above are financial instruments, including cash and cash equivalents, restricted cash and cash equivalents, receivables, payables and borrowings under repurchase agreements, which are presented in our consolidated financial statements at cost. The cost basis of these instruments is determined to approximate fair value due to their short duration or, in the case of longer-term repo, due to floating rates of interest based on an index plus or minus a fixed spread which is consistent with fixed spreads demanded in the market. We estimate the fair value of these instruments using "Level 1" or "Level 2" inputs.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746"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Note 9. Net Income Per Common Share</w:t>
      </w:r>
    </w:p>
    <w:p>
      <w:pPr>
        <w:spacing w:after="0" w:line="229"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Basic net income per common share is computed by dividing net income applicable to common stock by the weighted-average number of common shares outstanding and the weighted-average number of vested but not yet issued restricted stock units and performance share units outstanding for the respective period. Diluted earnings per common share includes the impact of dilutive potential common shares outstanding during the period using the treasury stock method. Dilutive potential common shares outstanding include unvested restricted stock units and performance share units granted under our long-term incentive program to employees and non-employee Board of Directors. The following table presents the computations of basic and diluted net income per common share for the periods indicated (shares and dollars in millions):</w:t>
      </w:r>
    </w:p>
    <w:p>
      <w:pPr>
        <w:spacing w:after="0" w:line="212" w:lineRule="exact"/>
        <w:rPr>
          <w:sz w:val="20"/>
          <w:szCs w:val="20"/>
          <w:color w:val="auto"/>
        </w:rPr>
      </w:pPr>
    </w:p>
    <w:p>
      <w:pPr>
        <w:jc w:val="center"/>
        <w:ind w:left="8340"/>
        <w:spacing w:after="0"/>
        <w:rPr>
          <w:sz w:val="20"/>
          <w:szCs w:val="20"/>
          <w:color w:val="auto"/>
        </w:rPr>
      </w:pPr>
      <w:r>
        <w:rPr>
          <w:rFonts w:ascii="Arial" w:cs="Arial" w:eastAsia="Arial" w:hAnsi="Arial"/>
          <w:sz w:val="14"/>
          <w:szCs w:val="14"/>
          <w:b w:val="1"/>
          <w:bCs w:val="1"/>
          <w:color w:val="auto"/>
        </w:rPr>
        <w:t>Three Months Ended March</w:t>
      </w:r>
    </w:p>
    <w:p>
      <w:pPr>
        <w:spacing w:after="0" w:line="4" w:lineRule="exact"/>
        <w:rPr>
          <w:sz w:val="20"/>
          <w:szCs w:val="20"/>
          <w:color w:val="auto"/>
        </w:rPr>
      </w:pPr>
    </w:p>
    <w:p>
      <w:pPr>
        <w:jc w:val="center"/>
        <w:ind w:left="8340"/>
        <w:spacing w:after="0"/>
        <w:rPr>
          <w:sz w:val="20"/>
          <w:szCs w:val="20"/>
          <w:color w:val="auto"/>
        </w:rPr>
      </w:pPr>
      <w:r>
        <w:rPr>
          <w:rFonts w:ascii="Arial" w:cs="Arial" w:eastAsia="Arial" w:hAnsi="Arial"/>
          <w:sz w:val="14"/>
          <w:szCs w:val="14"/>
          <w:b w:val="1"/>
          <w:bCs w:val="1"/>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5647690</wp:posOffset>
            </wp:positionH>
            <wp:positionV relativeFrom="paragraph">
              <wp:posOffset>13335</wp:posOffset>
            </wp:positionV>
            <wp:extent cx="12350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87" w:lineRule="exact"/>
        <w:rPr>
          <w:sz w:val="20"/>
          <w:szCs w:val="20"/>
          <w:color w:val="auto"/>
        </w:rPr>
      </w:pPr>
    </w:p>
    <w:tbl>
      <w:tblPr>
        <w:tblLayout w:type="fixed"/>
        <w:tblInd w:w="580" w:type="dxa"/>
        <w:tblCellMar>
          <w:top w:w="0" w:type="dxa"/>
          <w:left w:w="0" w:type="dxa"/>
          <w:bottom w:w="0" w:type="dxa"/>
          <w:right w:w="0" w:type="dxa"/>
        </w:tblCellMar>
      </w:tblPr>
      <w:tr>
        <w:trPr>
          <w:trHeight w:val="192"/>
        </w:trPr>
        <w:tc>
          <w:tcPr>
            <w:tcW w:w="83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r>
      <w:tr>
        <w:trPr>
          <w:trHeight w:val="256"/>
        </w:trPr>
        <w:tc>
          <w:tcPr>
            <w:tcW w:w="83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issued and outstanding</w:t>
            </w: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536.3</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391.3</w:t>
            </w:r>
          </w:p>
        </w:tc>
      </w:tr>
      <w:tr>
        <w:trPr>
          <w:trHeight w:val="264"/>
        </w:trPr>
        <w:tc>
          <w:tcPr>
            <w:tcW w:w="83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Weighted average number of fully vested restricted stock units and performance share units outstanding</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56"/>
        </w:trPr>
        <w:tc>
          <w:tcPr>
            <w:tcW w:w="83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536.7</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391.3</w:t>
            </w:r>
          </w:p>
        </w:tc>
      </w:tr>
      <w:tr>
        <w:trPr>
          <w:trHeight w:val="264"/>
        </w:trPr>
        <w:tc>
          <w:tcPr>
            <w:tcW w:w="83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Weighted average number of dilutive unvested restricted stock units and performance share units outstanding</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0.5</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0.2</w:t>
            </w:r>
          </w:p>
        </w:tc>
      </w:tr>
      <w:tr>
        <w:trPr>
          <w:trHeight w:val="243"/>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537.2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391.5</w:t>
            </w:r>
          </w:p>
        </w:tc>
      </w:tr>
      <w:tr>
        <w:trPr>
          <w:trHeight w:val="20"/>
        </w:trPr>
        <w:tc>
          <w:tcPr>
            <w:tcW w:w="8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50"/>
        </w:trPr>
        <w:tc>
          <w:tcPr>
            <w:tcW w:w="83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income available to common stockholders</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255</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415</w:t>
            </w:r>
          </w:p>
        </w:tc>
      </w:tr>
      <w:tr>
        <w:trPr>
          <w:trHeight w:val="21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income per common share - basic</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0.48</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1.06</w:t>
            </w:r>
          </w:p>
        </w:tc>
      </w:tr>
      <w:tr>
        <w:trPr>
          <w:trHeight w:val="20"/>
        </w:trPr>
        <w:tc>
          <w:tcPr>
            <w:tcW w:w="8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10"/>
        </w:trPr>
        <w:tc>
          <w:tcPr>
            <w:tcW w:w="8320" w:type="dxa"/>
            <w:vAlign w:val="bottom"/>
          </w:tcPr>
          <w:p>
            <w:pPr>
              <w:ind w:left="40"/>
              <w:spacing w:after="0"/>
              <w:rPr>
                <w:sz w:val="20"/>
                <w:szCs w:val="20"/>
                <w:color w:val="auto"/>
              </w:rPr>
            </w:pPr>
            <w:r>
              <w:rPr>
                <w:rFonts w:ascii="Arial" w:cs="Arial" w:eastAsia="Arial" w:hAnsi="Arial"/>
                <w:sz w:val="14"/>
                <w:szCs w:val="14"/>
                <w:color w:val="auto"/>
              </w:rPr>
              <w:t>Net income per common share - diluted</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0.47</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1.06</w:t>
            </w:r>
          </w:p>
        </w:tc>
      </w:tr>
      <w:tr>
        <w:trPr>
          <w:trHeight w:val="20"/>
        </w:trPr>
        <w:tc>
          <w:tcPr>
            <w:tcW w:w="8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Stockholders' Equity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We are authorized to designate and issue up to 10.0 million shares of preferred stock in one or more classes or series. As of March 31, 2019 and December 31, 2018, 8,050 shares were designated as 7.750% Series B Cumulative Redeemable Preferred Stock ("Series B Preferred Stock") and 13,800 shares were designated as 7.00% Series C Fixed-to-Floating Rate Cumulative Redeemable Preferred Stock ("Series C Preferred Stock"). During March 2019, we designated an additional 9,400 shares as 6.875% Series D Fixed-to-Floating Rate Cumulative Redeemable Preferred Stock ("Series D Preferred Stock"). Each share of Series B, C, and D Preferred Stock is represented by 1,000 depositary shares.</w:t>
      </w:r>
    </w:p>
    <w:p>
      <w:pPr>
        <w:spacing w:after="0" w:line="119"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ranks on parity with each other. Under certain circumstances upon a change of control, our preferred stock is convertible to shares of our common stock. Holders of our preferred stock and depository shares underlying our preferred stock have no voting rights, except under limited conditions. Beginning on each series' optional redemption date, such shares will be redeemable at $25.00 per depositary share, plus accumulated and unpaid dividends (whether or not declared), exclusively at our option.</w:t>
      </w:r>
    </w:p>
    <w:p>
      <w:pPr>
        <w:spacing w:after="0" w:line="13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summary of our preferred stock issued and outstanding as of March 31, 2019 (dollars and shares in millions):</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Depository</w:t>
            </w: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Shares</w:t>
            </w:r>
          </w:p>
        </w:tc>
        <w:tc>
          <w:tcPr>
            <w:tcW w:w="1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Fixed-to-Floating</w:t>
            </w:r>
          </w:p>
        </w:tc>
        <w:tc>
          <w:tcPr>
            <w:tcW w:w="1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Issued</w:t>
            </w:r>
          </w:p>
        </w:tc>
        <w:tc>
          <w:tcPr>
            <w:tcW w:w="1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30"/>
              <w:spacing w:after="0" w:line="149" w:lineRule="exact"/>
              <w:rPr>
                <w:sz w:val="20"/>
                <w:szCs w:val="20"/>
                <w:color w:val="auto"/>
              </w:rPr>
            </w:pPr>
            <w:r>
              <w:rPr>
                <w:rFonts w:ascii="Arial" w:cs="Arial" w:eastAsia="Arial" w:hAnsi="Arial"/>
                <w:sz w:val="14"/>
                <w:szCs w:val="14"/>
                <w:b w:val="1"/>
                <w:bCs w:val="1"/>
                <w:color w:val="auto"/>
                <w:w w:val="86"/>
              </w:rPr>
              <w:t>Aggregate</w:t>
            </w: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Optional</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Rate</w:t>
            </w:r>
          </w:p>
        </w:tc>
        <w:tc>
          <w:tcPr>
            <w:tcW w:w="1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Issuance</w:t>
            </w: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8"/>
              </w:rPr>
              <w:t>and</w:t>
            </w:r>
          </w:p>
        </w:tc>
        <w:tc>
          <w:tcPr>
            <w:tcW w:w="180" w:type="dxa"/>
            <w:vAlign w:val="bottom"/>
          </w:tcPr>
          <w:p>
            <w:pPr>
              <w:spacing w:after="0"/>
              <w:rPr>
                <w:sz w:val="12"/>
                <w:szCs w:val="12"/>
                <w:color w:val="auto"/>
              </w:rPr>
            </w:pP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2"/>
                <w:szCs w:val="12"/>
                <w:color w:val="auto"/>
              </w:rPr>
            </w:pPr>
          </w:p>
        </w:tc>
        <w:tc>
          <w:tcPr>
            <w:tcW w:w="900" w:type="dxa"/>
            <w:vAlign w:val="bottom"/>
          </w:tcPr>
          <w:p>
            <w:pPr>
              <w:jc w:val="center"/>
              <w:ind w:right="50"/>
              <w:spacing w:after="0" w:line="149" w:lineRule="exact"/>
              <w:rPr>
                <w:sz w:val="20"/>
                <w:szCs w:val="20"/>
                <w:color w:val="auto"/>
              </w:rPr>
            </w:pPr>
            <w:r>
              <w:rPr>
                <w:rFonts w:ascii="Arial" w:cs="Arial" w:eastAsia="Arial" w:hAnsi="Arial"/>
                <w:sz w:val="14"/>
                <w:szCs w:val="14"/>
                <w:b w:val="1"/>
                <w:bCs w:val="1"/>
                <w:color w:val="auto"/>
                <w:w w:val="92"/>
              </w:rPr>
              <w:t>Liquidation</w:t>
            </w:r>
          </w:p>
        </w:tc>
        <w:tc>
          <w:tcPr>
            <w:tcW w:w="112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92"/>
              </w:rPr>
              <w:t>Fixed</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Redemption</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Conversion</w:t>
            </w: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Floating</w:t>
            </w:r>
          </w:p>
        </w:tc>
        <w:tc>
          <w:tcPr>
            <w:tcW w:w="0" w:type="dxa"/>
            <w:vAlign w:val="bottom"/>
          </w:tcPr>
          <w:p>
            <w:pPr>
              <w:spacing w:after="0"/>
              <w:rPr>
                <w:sz w:val="1"/>
                <w:szCs w:val="1"/>
                <w:color w:val="auto"/>
              </w:rPr>
            </w:pPr>
          </w:p>
        </w:tc>
      </w:tr>
      <w:tr>
        <w:trPr>
          <w:trHeight w:val="188"/>
        </w:trPr>
        <w:tc>
          <w:tcPr>
            <w:tcW w:w="18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Preferred Stock</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Outstanding</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b w:val="1"/>
                <w:bCs w:val="1"/>
                <w:color w:val="auto"/>
                <w:w w:val="88"/>
              </w:rPr>
              <w:t>Preference</w:t>
            </w:r>
          </w:p>
        </w:tc>
        <w:tc>
          <w:tcPr>
            <w:tcW w:w="1000" w:type="dxa"/>
            <w:vAlign w:val="bottom"/>
            <w:tcBorders>
              <w:bottom w:val="single" w:sz="8" w:color="auto"/>
            </w:tcBorders>
          </w:tcPr>
          <w:p>
            <w:pPr>
              <w:jc w:val="center"/>
              <w:ind w:left="50"/>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 xml:space="preserve">Date </w:t>
            </w:r>
            <w:r>
              <w:rPr>
                <w:rFonts w:ascii="Arial" w:cs="Arial" w:eastAsia="Arial" w:hAnsi="Arial"/>
                <w:sz w:val="11"/>
                <w:szCs w:val="11"/>
                <w:b w:val="1"/>
                <w:bCs w:val="1"/>
                <w:color w:val="auto"/>
                <w:w w:val="89"/>
              </w:rPr>
              <w:t>2</w:t>
            </w: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Annual Rate</w:t>
            </w:r>
          </w:p>
        </w:tc>
        <w:tc>
          <w:tcPr>
            <w:tcW w:w="0" w:type="dxa"/>
            <w:vAlign w:val="bottom"/>
          </w:tcPr>
          <w:p>
            <w:pPr>
              <w:spacing w:after="0"/>
              <w:rPr>
                <w:sz w:val="1"/>
                <w:szCs w:val="1"/>
                <w:color w:val="auto"/>
              </w:rPr>
            </w:pPr>
          </w:p>
        </w:tc>
      </w:tr>
      <w:tr>
        <w:trPr>
          <w:trHeight w:val="250"/>
        </w:trPr>
        <w:tc>
          <w:tcPr>
            <w:tcW w:w="19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8"/>
        </w:trPr>
        <w:tc>
          <w:tcPr>
            <w:tcW w:w="1960" w:type="dxa"/>
            <w:vAlign w:val="bottom"/>
            <w:gridSpan w:val="2"/>
          </w:tcPr>
          <w:p>
            <w:pPr>
              <w:ind w:left="180"/>
              <w:spacing w:after="0"/>
              <w:rPr>
                <w:sz w:val="20"/>
                <w:szCs w:val="20"/>
                <w:color w:val="auto"/>
              </w:rPr>
            </w:pPr>
            <w:r>
              <w:rPr>
                <w:rFonts w:ascii="Arial" w:cs="Arial" w:eastAsia="Arial" w:hAnsi="Arial"/>
                <w:sz w:val="14"/>
                <w:szCs w:val="14"/>
                <w:color w:val="auto"/>
              </w:rPr>
              <w:t>Series B</w:t>
            </w:r>
          </w:p>
        </w:tc>
        <w:tc>
          <w:tcPr>
            <w:tcW w:w="1280" w:type="dxa"/>
            <w:vAlign w:val="bottom"/>
            <w:gridSpan w:val="2"/>
          </w:tcPr>
          <w:p>
            <w:pPr>
              <w:jc w:val="center"/>
              <w:ind w:right="120"/>
              <w:spacing w:after="0"/>
              <w:rPr>
                <w:sz w:val="20"/>
                <w:szCs w:val="20"/>
                <w:color w:val="auto"/>
              </w:rPr>
            </w:pPr>
            <w:r>
              <w:rPr>
                <w:rFonts w:ascii="Arial" w:cs="Arial" w:eastAsia="Arial" w:hAnsi="Arial"/>
                <w:sz w:val="14"/>
                <w:szCs w:val="14"/>
                <w:color w:val="auto"/>
                <w:w w:val="93"/>
              </w:rPr>
              <w:t>May 8, 2014</w:t>
            </w:r>
          </w:p>
        </w:tc>
        <w:tc>
          <w:tcPr>
            <w:tcW w:w="1040" w:type="dxa"/>
            <w:vAlign w:val="bottom"/>
          </w:tcPr>
          <w:p>
            <w:pPr>
              <w:jc w:val="right"/>
              <w:ind w:right="50"/>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18"/>
                <w:szCs w:val="18"/>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70"/>
              <w:spacing w:after="0"/>
              <w:rPr>
                <w:sz w:val="20"/>
                <w:szCs w:val="20"/>
                <w:color w:val="auto"/>
              </w:rPr>
            </w:pPr>
            <w:r>
              <w:rPr>
                <w:rFonts w:ascii="Arial" w:cs="Arial" w:eastAsia="Arial" w:hAnsi="Arial"/>
                <w:sz w:val="14"/>
                <w:szCs w:val="14"/>
                <w:color w:val="auto"/>
              </w:rPr>
              <w:t>169</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50"/>
              <w:spacing w:after="0"/>
              <w:rPr>
                <w:sz w:val="20"/>
                <w:szCs w:val="20"/>
                <w:color w:val="auto"/>
              </w:rPr>
            </w:pPr>
            <w:r>
              <w:rPr>
                <w:rFonts w:ascii="Arial" w:cs="Arial" w:eastAsia="Arial" w:hAnsi="Arial"/>
                <w:sz w:val="14"/>
                <w:szCs w:val="14"/>
                <w:color w:val="auto"/>
              </w:rPr>
              <w:t>175</w:t>
            </w:r>
          </w:p>
        </w:tc>
        <w:tc>
          <w:tcPr>
            <w:tcW w:w="1000" w:type="dxa"/>
            <w:vAlign w:val="bottom"/>
          </w:tcPr>
          <w:p>
            <w:pPr>
              <w:jc w:val="center"/>
              <w:ind w:left="30"/>
              <w:spacing w:after="0"/>
              <w:rPr>
                <w:sz w:val="20"/>
                <w:szCs w:val="20"/>
                <w:color w:val="auto"/>
              </w:rPr>
            </w:pPr>
            <w:r>
              <w:rPr>
                <w:rFonts w:ascii="Arial" w:cs="Arial" w:eastAsia="Arial" w:hAnsi="Arial"/>
                <w:sz w:val="14"/>
                <w:szCs w:val="14"/>
                <w:color w:val="auto"/>
                <w:w w:val="88"/>
              </w:rPr>
              <w:t>7.750%</w:t>
            </w:r>
          </w:p>
        </w:tc>
        <w:tc>
          <w:tcPr>
            <w:tcW w:w="120" w:type="dxa"/>
            <w:vAlign w:val="bottom"/>
          </w:tcPr>
          <w:p>
            <w:pPr>
              <w:spacing w:after="0"/>
              <w:rPr>
                <w:sz w:val="18"/>
                <w:szCs w:val="18"/>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4"/>
                <w:szCs w:val="14"/>
                <w:color w:val="auto"/>
                <w:w w:val="93"/>
              </w:rPr>
              <w:t>May 8, 2019</w:t>
            </w:r>
          </w:p>
        </w:tc>
        <w:tc>
          <w:tcPr>
            <w:tcW w:w="1240" w:type="dxa"/>
            <w:vAlign w:val="bottom"/>
            <w:gridSpan w:val="2"/>
          </w:tcPr>
          <w:p>
            <w:pPr>
              <w:jc w:val="center"/>
              <w:ind w:right="120"/>
              <w:spacing w:after="0"/>
              <w:rPr>
                <w:sz w:val="20"/>
                <w:szCs w:val="20"/>
                <w:color w:val="auto"/>
              </w:rPr>
            </w:pPr>
            <w:r>
              <w:rPr>
                <w:rFonts w:ascii="Arial" w:cs="Arial" w:eastAsia="Arial" w:hAnsi="Arial"/>
                <w:sz w:val="14"/>
                <w:szCs w:val="14"/>
                <w:color w:val="auto"/>
              </w:rPr>
              <w:t>N/A</w:t>
            </w:r>
          </w:p>
        </w:tc>
        <w:tc>
          <w:tcPr>
            <w:tcW w:w="12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53"/>
        </w:trPr>
        <w:tc>
          <w:tcPr>
            <w:tcW w:w="18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9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 xml:space="preserve">Fixed-to-Floating Rate </w:t>
            </w:r>
            <w:r>
              <w:rPr>
                <w:rFonts w:ascii="Arial" w:cs="Arial" w:eastAsia="Arial" w:hAnsi="Arial"/>
                <w:sz w:val="11"/>
                <w:szCs w:val="11"/>
                <w:b w:val="1"/>
                <w:bCs w:val="1"/>
                <w:color w:val="auto"/>
              </w:rPr>
              <w:t>1</w:t>
            </w: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61"/>
        </w:trPr>
        <w:tc>
          <w:tcPr>
            <w:tcW w:w="1960" w:type="dxa"/>
            <w:vAlign w:val="bottom"/>
            <w:gridSpan w:val="2"/>
            <w:vMerge w:val="restart"/>
          </w:tcPr>
          <w:p>
            <w:pPr>
              <w:ind w:left="180"/>
              <w:spacing w:after="0"/>
              <w:rPr>
                <w:sz w:val="20"/>
                <w:szCs w:val="20"/>
                <w:color w:val="auto"/>
              </w:rPr>
            </w:pPr>
            <w:r>
              <w:rPr>
                <w:rFonts w:ascii="Arial" w:cs="Arial" w:eastAsia="Arial" w:hAnsi="Arial"/>
                <w:sz w:val="14"/>
                <w:szCs w:val="14"/>
                <w:color w:val="auto"/>
              </w:rPr>
              <w:t>Series C</w:t>
            </w:r>
          </w:p>
        </w:tc>
        <w:tc>
          <w:tcPr>
            <w:tcW w:w="128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90"/>
              </w:rPr>
              <w:t>August 22, 2017</w:t>
            </w:r>
          </w:p>
        </w:tc>
        <w:tc>
          <w:tcPr>
            <w:tcW w:w="1040" w:type="dxa"/>
            <w:vAlign w:val="bottom"/>
            <w:vMerge w:val="restart"/>
          </w:tcPr>
          <w:p>
            <w:pPr>
              <w:jc w:val="right"/>
              <w:ind w:right="50"/>
              <w:spacing w:after="0"/>
              <w:rPr>
                <w:sz w:val="20"/>
                <w:szCs w:val="20"/>
                <w:color w:val="auto"/>
              </w:rPr>
            </w:pPr>
            <w:r>
              <w:rPr>
                <w:rFonts w:ascii="Arial" w:cs="Arial" w:eastAsia="Arial" w:hAnsi="Arial"/>
                <w:sz w:val="14"/>
                <w:szCs w:val="14"/>
                <w:color w:val="auto"/>
              </w:rPr>
              <w:t>13.0</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vMerge w:val="restart"/>
          </w:tcPr>
          <w:p>
            <w:pPr>
              <w:jc w:val="right"/>
              <w:ind w:right="70"/>
              <w:spacing w:after="0"/>
              <w:rPr>
                <w:sz w:val="20"/>
                <w:szCs w:val="20"/>
                <w:color w:val="auto"/>
              </w:rPr>
            </w:pPr>
            <w:r>
              <w:rPr>
                <w:rFonts w:ascii="Arial" w:cs="Arial" w:eastAsia="Arial" w:hAnsi="Arial"/>
                <w:sz w:val="14"/>
                <w:szCs w:val="14"/>
                <w:color w:val="auto"/>
              </w:rPr>
              <w:t>315</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vMerge w:val="restart"/>
          </w:tcPr>
          <w:p>
            <w:pPr>
              <w:jc w:val="right"/>
              <w:ind w:right="50"/>
              <w:spacing w:after="0"/>
              <w:rPr>
                <w:sz w:val="20"/>
                <w:szCs w:val="20"/>
                <w:color w:val="auto"/>
              </w:rPr>
            </w:pPr>
            <w:r>
              <w:rPr>
                <w:rFonts w:ascii="Arial" w:cs="Arial" w:eastAsia="Arial" w:hAnsi="Arial"/>
                <w:sz w:val="14"/>
                <w:szCs w:val="14"/>
                <w:color w:val="auto"/>
              </w:rPr>
              <w:t>325</w:t>
            </w:r>
          </w:p>
        </w:tc>
        <w:tc>
          <w:tcPr>
            <w:tcW w:w="1000" w:type="dxa"/>
            <w:vAlign w:val="bottom"/>
            <w:vMerge w:val="restart"/>
          </w:tcPr>
          <w:p>
            <w:pPr>
              <w:jc w:val="center"/>
              <w:ind w:left="30"/>
              <w:spacing w:after="0"/>
              <w:rPr>
                <w:sz w:val="20"/>
                <w:szCs w:val="20"/>
                <w:color w:val="auto"/>
              </w:rPr>
            </w:pPr>
            <w:r>
              <w:rPr>
                <w:rFonts w:ascii="Arial" w:cs="Arial" w:eastAsia="Arial" w:hAnsi="Arial"/>
                <w:sz w:val="14"/>
                <w:szCs w:val="14"/>
                <w:color w:val="auto"/>
                <w:w w:val="88"/>
              </w:rPr>
              <w:t>7.000%</w:t>
            </w:r>
          </w:p>
        </w:tc>
        <w:tc>
          <w:tcPr>
            <w:tcW w:w="120" w:type="dxa"/>
            <w:vAlign w:val="bottom"/>
          </w:tcPr>
          <w:p>
            <w:pPr>
              <w:spacing w:after="0"/>
              <w:rPr>
                <w:sz w:val="13"/>
                <w:szCs w:val="13"/>
                <w:color w:val="auto"/>
              </w:rPr>
            </w:pP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88"/>
              </w:rPr>
              <w:t>October 15, 2022</w:t>
            </w: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88"/>
              </w:rPr>
              <w:t>October 15, 2022</w:t>
            </w:r>
          </w:p>
        </w:tc>
        <w:tc>
          <w:tcPr>
            <w:tcW w:w="1240" w:type="dxa"/>
            <w:vAlign w:val="bottom"/>
          </w:tcPr>
          <w:p>
            <w:pPr>
              <w:jc w:val="center"/>
              <w:spacing w:after="0"/>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97"/>
        </w:trPr>
        <w:tc>
          <w:tcPr>
            <w:tcW w:w="1960" w:type="dxa"/>
            <w:vAlign w:val="bottom"/>
            <w:gridSpan w:val="2"/>
            <w:vMerge w:val="continue"/>
          </w:tcPr>
          <w:p>
            <w:pPr>
              <w:spacing w:after="0"/>
              <w:rPr>
                <w:sz w:val="8"/>
                <w:szCs w:val="8"/>
                <w:color w:val="auto"/>
              </w:rPr>
            </w:pPr>
          </w:p>
        </w:tc>
        <w:tc>
          <w:tcPr>
            <w:tcW w:w="1280" w:type="dxa"/>
            <w:vAlign w:val="bottom"/>
            <w:gridSpan w:val="2"/>
            <w:vMerge w:val="continue"/>
          </w:tcPr>
          <w:p>
            <w:pPr>
              <w:spacing w:after="0"/>
              <w:rPr>
                <w:sz w:val="8"/>
                <w:szCs w:val="8"/>
                <w:color w:val="auto"/>
              </w:rPr>
            </w:pPr>
          </w:p>
        </w:tc>
        <w:tc>
          <w:tcPr>
            <w:tcW w:w="104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240" w:type="dxa"/>
            <w:vAlign w:val="bottom"/>
            <w:vMerge w:val="restart"/>
          </w:tcPr>
          <w:p>
            <w:pPr>
              <w:jc w:val="center"/>
              <w:spacing w:after="0"/>
              <w:rPr>
                <w:sz w:val="20"/>
                <w:szCs w:val="20"/>
                <w:color w:val="auto"/>
              </w:rPr>
            </w:pPr>
            <w:r>
              <w:rPr>
                <w:rFonts w:ascii="Arial" w:cs="Arial" w:eastAsia="Arial" w:hAnsi="Arial"/>
                <w:sz w:val="14"/>
                <w:szCs w:val="14"/>
                <w:color w:val="auto"/>
                <w:w w:val="88"/>
              </w:rPr>
              <w:t>5.111%</w:t>
            </w:r>
          </w:p>
        </w:tc>
        <w:tc>
          <w:tcPr>
            <w:tcW w:w="0" w:type="dxa"/>
            <w:vAlign w:val="bottom"/>
          </w:tcPr>
          <w:p>
            <w:pPr>
              <w:spacing w:after="0"/>
              <w:rPr>
                <w:sz w:val="1"/>
                <w:szCs w:val="1"/>
                <w:color w:val="auto"/>
              </w:rPr>
            </w:pPr>
          </w:p>
        </w:tc>
      </w:tr>
      <w:tr>
        <w:trPr>
          <w:trHeight w:val="87"/>
        </w:trPr>
        <w:tc>
          <w:tcPr>
            <w:tcW w:w="18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7"/>
        </w:trPr>
        <w:tc>
          <w:tcPr>
            <w:tcW w:w="1960" w:type="dxa"/>
            <w:vAlign w:val="bottom"/>
            <w:gridSpan w:val="2"/>
            <w:vMerge w:val="restart"/>
            <w:shd w:val="clear" w:color="auto" w:fill="CCEEFF"/>
          </w:tcPr>
          <w:p>
            <w:pPr>
              <w:ind w:left="180"/>
              <w:spacing w:after="0"/>
              <w:rPr>
                <w:sz w:val="20"/>
                <w:szCs w:val="20"/>
                <w:color w:val="auto"/>
              </w:rPr>
            </w:pPr>
            <w:r>
              <w:rPr>
                <w:rFonts w:ascii="Arial" w:cs="Arial" w:eastAsia="Arial" w:hAnsi="Arial"/>
                <w:sz w:val="14"/>
                <w:szCs w:val="14"/>
                <w:color w:val="auto"/>
              </w:rPr>
              <w:t>Series D</w:t>
            </w:r>
          </w:p>
        </w:tc>
        <w:tc>
          <w:tcPr>
            <w:tcW w:w="128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w w:val="89"/>
              </w:rPr>
              <w:t>March 6, 2019</w:t>
            </w:r>
          </w:p>
        </w:tc>
        <w:tc>
          <w:tcPr>
            <w:tcW w:w="104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70"/>
              <w:spacing w:after="0"/>
              <w:rPr>
                <w:sz w:val="20"/>
                <w:szCs w:val="20"/>
                <w:color w:val="auto"/>
              </w:rPr>
            </w:pPr>
            <w:r>
              <w:rPr>
                <w:rFonts w:ascii="Arial" w:cs="Arial" w:eastAsia="Arial" w:hAnsi="Arial"/>
                <w:sz w:val="14"/>
                <w:szCs w:val="14"/>
                <w:color w:val="auto"/>
              </w:rPr>
              <w:t>227</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235</w:t>
            </w:r>
          </w:p>
        </w:tc>
        <w:tc>
          <w:tcPr>
            <w:tcW w:w="1000" w:type="dxa"/>
            <w:vAlign w:val="bottom"/>
            <w:vMerge w:val="restart"/>
            <w:shd w:val="clear" w:color="auto" w:fill="CCEEFF"/>
          </w:tcPr>
          <w:p>
            <w:pPr>
              <w:jc w:val="center"/>
              <w:ind w:left="30"/>
              <w:spacing w:after="0"/>
              <w:rPr>
                <w:sz w:val="20"/>
                <w:szCs w:val="20"/>
                <w:color w:val="auto"/>
              </w:rPr>
            </w:pPr>
            <w:r>
              <w:rPr>
                <w:rFonts w:ascii="Arial" w:cs="Arial" w:eastAsia="Arial" w:hAnsi="Arial"/>
                <w:sz w:val="14"/>
                <w:szCs w:val="14"/>
                <w:color w:val="auto"/>
                <w:w w:val="88"/>
              </w:rPr>
              <w:t>6.875%</w:t>
            </w:r>
          </w:p>
        </w:tc>
        <w:tc>
          <w:tcPr>
            <w:tcW w:w="120" w:type="dxa"/>
            <w:vAlign w:val="bottom"/>
            <w:shd w:val="clear" w:color="auto" w:fill="CCEEFF"/>
          </w:tcPr>
          <w:p>
            <w:pPr>
              <w:spacing w:after="0"/>
              <w:rPr>
                <w:sz w:val="14"/>
                <w:szCs w:val="14"/>
                <w:color w:val="auto"/>
              </w:rPr>
            </w:pPr>
          </w:p>
        </w:tc>
        <w:tc>
          <w:tcPr>
            <w:tcW w:w="124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w w:val="92"/>
              </w:rPr>
              <w:t>April 15, 2024</w:t>
            </w:r>
          </w:p>
        </w:tc>
        <w:tc>
          <w:tcPr>
            <w:tcW w:w="124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4"/>
              </w:rPr>
              <w:t>April 15, 2024</w:t>
            </w:r>
          </w:p>
        </w:tc>
        <w:tc>
          <w:tcPr>
            <w:tcW w:w="12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97"/>
        </w:trPr>
        <w:tc>
          <w:tcPr>
            <w:tcW w:w="1960" w:type="dxa"/>
            <w:vAlign w:val="bottom"/>
            <w:gridSpan w:val="2"/>
            <w:vMerge w:val="continue"/>
            <w:shd w:val="clear" w:color="auto" w:fill="CCEEFF"/>
          </w:tcPr>
          <w:p>
            <w:pPr>
              <w:spacing w:after="0"/>
              <w:rPr>
                <w:sz w:val="8"/>
                <w:szCs w:val="8"/>
                <w:color w:val="auto"/>
              </w:rPr>
            </w:pPr>
          </w:p>
        </w:tc>
        <w:tc>
          <w:tcPr>
            <w:tcW w:w="1280" w:type="dxa"/>
            <w:vAlign w:val="bottom"/>
            <w:gridSpan w:val="2"/>
            <w:vMerge w:val="continue"/>
            <w:shd w:val="clear" w:color="auto" w:fill="CCEEFF"/>
          </w:tcPr>
          <w:p>
            <w:pPr>
              <w:spacing w:after="0"/>
              <w:rPr>
                <w:sz w:val="8"/>
                <w:szCs w:val="8"/>
                <w:color w:val="auto"/>
              </w:rPr>
            </w:pPr>
          </w:p>
        </w:tc>
        <w:tc>
          <w:tcPr>
            <w:tcW w:w="104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80" w:type="dxa"/>
            <w:vAlign w:val="bottom"/>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900" w:type="dxa"/>
            <w:vAlign w:val="bottom"/>
            <w:vMerge w:val="continue"/>
            <w:shd w:val="clear" w:color="auto" w:fill="CCEEFF"/>
          </w:tcPr>
          <w:p>
            <w:pPr>
              <w:spacing w:after="0"/>
              <w:rPr>
                <w:sz w:val="8"/>
                <w:szCs w:val="8"/>
                <w:color w:val="auto"/>
              </w:rPr>
            </w:pPr>
          </w:p>
        </w:tc>
        <w:tc>
          <w:tcPr>
            <w:tcW w:w="100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240" w:type="dxa"/>
            <w:vAlign w:val="bottom"/>
            <w:gridSpan w:val="2"/>
            <w:vMerge w:val="continue"/>
            <w:shd w:val="clear" w:color="auto" w:fill="CCEEFF"/>
          </w:tcPr>
          <w:p>
            <w:pPr>
              <w:spacing w:after="0"/>
              <w:rPr>
                <w:sz w:val="8"/>
                <w:szCs w:val="8"/>
                <w:color w:val="auto"/>
              </w:rPr>
            </w:pPr>
          </w:p>
        </w:tc>
        <w:tc>
          <w:tcPr>
            <w:tcW w:w="1240" w:type="dxa"/>
            <w:vAlign w:val="bottom"/>
            <w:gridSpan w:val="2"/>
            <w:vMerge w:val="continue"/>
            <w:shd w:val="clear" w:color="auto" w:fill="CCEEFF"/>
          </w:tcPr>
          <w:p>
            <w:pPr>
              <w:spacing w:after="0"/>
              <w:rPr>
                <w:sz w:val="8"/>
                <w:szCs w:val="8"/>
                <w:color w:val="auto"/>
              </w:rPr>
            </w:pPr>
          </w:p>
        </w:tc>
        <w:tc>
          <w:tcPr>
            <w:tcW w:w="124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92"/>
              </w:rPr>
              <w:t>4.332%</w:t>
            </w:r>
          </w:p>
        </w:tc>
        <w:tc>
          <w:tcPr>
            <w:tcW w:w="0" w:type="dxa"/>
            <w:vAlign w:val="bottom"/>
          </w:tcPr>
          <w:p>
            <w:pPr>
              <w:spacing w:after="0"/>
              <w:rPr>
                <w:sz w:val="1"/>
                <w:szCs w:val="1"/>
                <w:color w:val="auto"/>
              </w:rPr>
            </w:pPr>
          </w:p>
        </w:tc>
      </w:tr>
      <w:tr>
        <w:trPr>
          <w:trHeight w:val="87"/>
        </w:trPr>
        <w:tc>
          <w:tcPr>
            <w:tcW w:w="184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1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040" w:type="dxa"/>
            <w:vAlign w:val="bottom"/>
            <w:tcBorders>
              <w:bottom w:val="single" w:sz="8" w:color="auto"/>
            </w:tcBorders>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80" w:type="dxa"/>
            <w:vAlign w:val="bottom"/>
            <w:tcBorders>
              <w:bottom w:val="single" w:sz="8" w:color="auto"/>
            </w:tcBorders>
            <w:shd w:val="clear" w:color="auto" w:fill="CCEEFF"/>
          </w:tcPr>
          <w:p>
            <w:pPr>
              <w:spacing w:after="0"/>
              <w:rPr>
                <w:sz w:val="7"/>
                <w:szCs w:val="7"/>
                <w:color w:val="auto"/>
              </w:rPr>
            </w:pPr>
          </w:p>
        </w:tc>
        <w:tc>
          <w:tcPr>
            <w:tcW w:w="880" w:type="dxa"/>
            <w:vAlign w:val="bottom"/>
            <w:tcBorders>
              <w:bottom w:val="single" w:sz="8" w:color="auto"/>
            </w:tcBorders>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120" w:type="dxa"/>
            <w:vAlign w:val="bottom"/>
            <w:tcBorders>
              <w:bottom w:val="single" w:sz="8" w:color="auto"/>
            </w:tcBorders>
            <w:shd w:val="clear" w:color="auto" w:fill="CCEEFF"/>
          </w:tcPr>
          <w:p>
            <w:pPr>
              <w:spacing w:after="0"/>
              <w:rPr>
                <w:sz w:val="7"/>
                <w:szCs w:val="7"/>
                <w:color w:val="auto"/>
              </w:rPr>
            </w:pPr>
          </w:p>
        </w:tc>
        <w:tc>
          <w:tcPr>
            <w:tcW w:w="900" w:type="dxa"/>
            <w:vAlign w:val="bottom"/>
            <w:tcBorders>
              <w:bottom w:val="single" w:sz="8" w:color="auto"/>
            </w:tcBorders>
            <w:shd w:val="clear" w:color="auto" w:fill="CCEEFF"/>
          </w:tcPr>
          <w:p>
            <w:pPr>
              <w:spacing w:after="0"/>
              <w:rPr>
                <w:sz w:val="7"/>
                <w:szCs w:val="7"/>
                <w:color w:val="auto"/>
              </w:rPr>
            </w:pPr>
          </w:p>
        </w:tc>
        <w:tc>
          <w:tcPr>
            <w:tcW w:w="100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1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1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240" w:type="dxa"/>
            <w:vAlign w:val="bottom"/>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04"/>
        </w:trPr>
        <w:tc>
          <w:tcPr>
            <w:tcW w:w="1960" w:type="dxa"/>
            <w:vAlign w:val="bottom"/>
            <w:gridSpan w:val="2"/>
          </w:tcPr>
          <w:p>
            <w:pPr>
              <w:ind w:left="180"/>
              <w:spacing w:after="0"/>
              <w:rPr>
                <w:sz w:val="20"/>
                <w:szCs w:val="20"/>
                <w:color w:val="auto"/>
              </w:rPr>
            </w:pPr>
            <w:r>
              <w:rPr>
                <w:rFonts w:ascii="Arial" w:cs="Arial" w:eastAsia="Arial" w:hAnsi="Arial"/>
                <w:sz w:val="14"/>
                <w:szCs w:val="14"/>
                <w:color w:val="auto"/>
              </w:rPr>
              <w:t>Total</w:t>
            </w: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jc w:val="right"/>
              <w:ind w:right="50"/>
              <w:spacing w:after="0"/>
              <w:rPr>
                <w:sz w:val="20"/>
                <w:szCs w:val="20"/>
                <w:color w:val="auto"/>
              </w:rPr>
            </w:pPr>
            <w:r>
              <w:rPr>
                <w:rFonts w:ascii="Arial" w:cs="Arial" w:eastAsia="Arial" w:hAnsi="Arial"/>
                <w:sz w:val="14"/>
                <w:szCs w:val="14"/>
                <w:color w:val="auto"/>
              </w:rPr>
              <w:t>29.4</w:t>
            </w:r>
          </w:p>
        </w:tc>
        <w:tc>
          <w:tcPr>
            <w:tcW w:w="120" w:type="dxa"/>
            <w:vAlign w:val="bottom"/>
          </w:tcPr>
          <w:p>
            <w:pPr>
              <w:spacing w:after="0"/>
              <w:rPr>
                <w:sz w:val="17"/>
                <w:szCs w:val="17"/>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70"/>
              <w:spacing w:after="0"/>
              <w:rPr>
                <w:sz w:val="20"/>
                <w:szCs w:val="20"/>
                <w:color w:val="auto"/>
              </w:rPr>
            </w:pPr>
            <w:r>
              <w:rPr>
                <w:rFonts w:ascii="Arial" w:cs="Arial" w:eastAsia="Arial" w:hAnsi="Arial"/>
                <w:sz w:val="14"/>
                <w:szCs w:val="14"/>
                <w:color w:val="auto"/>
              </w:rPr>
              <w:t>711</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50"/>
              <w:spacing w:after="0"/>
              <w:rPr>
                <w:sz w:val="20"/>
                <w:szCs w:val="20"/>
                <w:color w:val="auto"/>
              </w:rPr>
            </w:pPr>
            <w:r>
              <w:rPr>
                <w:rFonts w:ascii="Arial" w:cs="Arial" w:eastAsia="Arial" w:hAnsi="Arial"/>
                <w:sz w:val="14"/>
                <w:szCs w:val="14"/>
                <w:color w:val="auto"/>
              </w:rPr>
              <w:t>735</w:t>
            </w: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2054860</wp:posOffset>
            </wp:positionH>
            <wp:positionV relativeFrom="paragraph">
              <wp:posOffset>24765</wp:posOffset>
            </wp:positionV>
            <wp:extent cx="211836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118360" cy="26035"/>
                    </a:xfrm>
                    <a:prstGeom prst="rect">
                      <a:avLst/>
                    </a:prstGeom>
                    <a:noFill/>
                  </pic:spPr>
                </pic:pic>
              </a:graphicData>
            </a:graphic>
          </wp:anchor>
        </w:drawing>
      </w:r>
    </w:p>
    <w:p>
      <w:pPr>
        <w:spacing w:after="0" w:line="48"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55" w:lineRule="auto"/>
        <w:tabs>
          <w:tab w:leader="none" w:pos="6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Fixed-to-floating rate redeemable preferred stock accrue dividends at a annual fixed rate of the $25.00 liquidation preference per depository share from the issuance date up to, but not including, the fixed-to-floating rate conversion date; thereafter, dividends will accrue on a floating rate basis equal to 3 month LIBOR plus a fixed spread.</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580" w:right="239" w:bottom="1440" w:gutter="0" w:footer="0" w:header="0"/>
        </w:sectPr>
      </w:pPr>
    </w:p>
    <w:bookmarkStart w:id="23" w:name="page24"/>
    <w:bookmarkEnd w:id="23"/>
    <w:p>
      <w:pPr>
        <w:ind w:left="660" w:hanging="328"/>
        <w:spacing w:after="0"/>
        <w:tabs>
          <w:tab w:leader="none" w:pos="6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Shares may be redeemed prior to our optional redemption date under certain circumstances intended to preserve our qualification as a REIT for U.S federal income tax purposes.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We are authorized by our Board of Directors to enter into agreements with sales agents to publicly offer and sell shares of our common stock in privately negotiated and/or at-the-market transactions from time-to-time up to a maximum aggregate offering price of our common stock through June 14, 2021. During the quarter ended March 31, 2019, we did not sell shares of our common stock under the sales agreements. As of March 31, 2019, shares of our common stock with an aggregate offering price of $660 million remained authorized for issuance under this program.</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changes to accumulated OCI for the three months ended March 31, 2019 and 2018 (in millions):</w:t>
      </w:r>
    </w:p>
    <w:p>
      <w:pPr>
        <w:spacing w:after="0" w:line="231"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5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4"/>
          </w:tcPr>
          <w:p>
            <w:pPr>
              <w:jc w:val="right"/>
              <w:ind w:right="8"/>
              <w:spacing w:after="0"/>
              <w:rPr>
                <w:sz w:val="20"/>
                <w:szCs w:val="20"/>
                <w:color w:val="auto"/>
              </w:rPr>
            </w:pPr>
            <w:r>
              <w:rPr>
                <w:rFonts w:ascii="Arial" w:cs="Arial" w:eastAsia="Arial" w:hAnsi="Arial"/>
                <w:sz w:val="14"/>
                <w:szCs w:val="14"/>
                <w:b w:val="1"/>
                <w:bCs w:val="1"/>
                <w:color w:val="auto"/>
                <w:w w:val="94"/>
              </w:rPr>
              <w:t>Three Months Ended March</w:t>
            </w:r>
          </w:p>
        </w:tc>
      </w:tr>
      <w:tr>
        <w:trPr>
          <w:trHeight w:val="192"/>
        </w:trPr>
        <w:tc>
          <w:tcPr>
            <w:tcW w:w="5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w w:val="92"/>
              </w:rPr>
              <w:t>31,</w:t>
            </w:r>
          </w:p>
        </w:tc>
        <w:tc>
          <w:tcPr>
            <w:tcW w:w="740" w:type="dxa"/>
            <w:vAlign w:val="bottom"/>
            <w:tcBorders>
              <w:bottom w:val="single" w:sz="8" w:color="auto"/>
            </w:tcBorders>
          </w:tcPr>
          <w:p>
            <w:pPr>
              <w:spacing w:after="0"/>
              <w:rPr>
                <w:sz w:val="16"/>
                <w:szCs w:val="16"/>
                <w:color w:val="auto"/>
              </w:rPr>
            </w:pPr>
          </w:p>
        </w:tc>
      </w:tr>
      <w:tr>
        <w:trPr>
          <w:trHeight w:val="264"/>
        </w:trPr>
        <w:tc>
          <w:tcPr>
            <w:tcW w:w="56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Accumulated Other Comprehensive Income (Loss)</w:t>
            </w: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2018</w:t>
            </w:r>
          </w:p>
        </w:tc>
      </w:tr>
      <w:tr>
        <w:trPr>
          <w:trHeight w:val="250"/>
        </w:trPr>
        <w:tc>
          <w:tcPr>
            <w:tcW w:w="5740" w:type="dxa"/>
            <w:vAlign w:val="bottom"/>
            <w:gridSpan w:val="2"/>
          </w:tcPr>
          <w:p>
            <w:pPr>
              <w:ind w:left="20"/>
              <w:spacing w:after="0"/>
              <w:rPr>
                <w:sz w:val="20"/>
                <w:szCs w:val="20"/>
                <w:color w:val="auto"/>
              </w:rPr>
            </w:pPr>
            <w:r>
              <w:rPr>
                <w:rFonts w:ascii="Arial" w:cs="Arial" w:eastAsia="Arial" w:hAnsi="Arial"/>
                <w:sz w:val="14"/>
                <w:szCs w:val="14"/>
                <w:b w:val="1"/>
                <w:bCs w:val="1"/>
                <w:color w:val="auto"/>
              </w:rPr>
              <w:t>Beginning Balance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(943)</w:t>
            </w:r>
          </w:p>
        </w:tc>
        <w:tc>
          <w:tcPr>
            <w:tcW w:w="3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(345)</w:t>
            </w:r>
          </w:p>
        </w:tc>
      </w:tr>
      <w:tr>
        <w:trPr>
          <w:trHeight w:val="276"/>
        </w:trPr>
        <w:tc>
          <w:tcPr>
            <w:tcW w:w="57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OCI before reclassifications</w:t>
            </w: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396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(620)</w:t>
            </w:r>
          </w:p>
        </w:tc>
      </w:tr>
      <w:tr>
        <w:trPr>
          <w:trHeight w:val="157"/>
        </w:trPr>
        <w:tc>
          <w:tcPr>
            <w:tcW w:w="5740" w:type="dxa"/>
            <w:vAlign w:val="bottom"/>
            <w:gridSpan w:val="2"/>
          </w:tcPr>
          <w:p>
            <w:pPr>
              <w:ind w:left="180"/>
              <w:spacing w:after="0" w:line="157" w:lineRule="exact"/>
              <w:rPr>
                <w:sz w:val="20"/>
                <w:szCs w:val="20"/>
                <w:color w:val="auto"/>
              </w:rPr>
            </w:pPr>
            <w:r>
              <w:rPr>
                <w:rFonts w:ascii="Arial" w:cs="Arial" w:eastAsia="Arial" w:hAnsi="Arial"/>
                <w:sz w:val="14"/>
                <w:szCs w:val="14"/>
                <w:color w:val="auto"/>
              </w:rPr>
              <w:t>(Gain) loss amounts for available-for-sale securities reclassified from accumulated OCI to</w:t>
            </w: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r>
      <w:tr>
        <w:trPr>
          <w:trHeight w:val="188"/>
        </w:trPr>
        <w:tc>
          <w:tcPr>
            <w:tcW w:w="574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realized gain (loss) on sale of investment securities</w:t>
            </w: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r>
      <w:tr>
        <w:trPr>
          <w:trHeight w:val="243"/>
        </w:trPr>
        <w:tc>
          <w:tcPr>
            <w:tcW w:w="574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Ending Balance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(543)</w:t>
            </w:r>
          </w:p>
        </w:tc>
        <w:tc>
          <w:tcPr>
            <w:tcW w:w="3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(966)</w:t>
            </w:r>
          </w:p>
        </w:tc>
      </w:tr>
      <w:tr>
        <w:trPr>
          <w:trHeight w:val="20"/>
        </w:trPr>
        <w:tc>
          <w:tcPr>
            <w:tcW w:w="56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Subsequent Events</w:t>
      </w:r>
    </w:p>
    <w:p>
      <w:pPr>
        <w:spacing w:after="0" w:line="229"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On April 10, 2019, our Board of Directors declared a monthly dividend of $0.18 per common share payable on May 9, 2019 to common stockholders of record as of April 30, 2019.</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580"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17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Quarterly Report on Form 10-Q for quarterly period ended March 31, 2019. Our MD&amp;A is presented in six sections:</w:t>
      </w:r>
    </w:p>
    <w:p>
      <w:pPr>
        <w:spacing w:after="0" w:line="52" w:lineRule="exact"/>
        <w:rPr>
          <w:sz w:val="20"/>
          <w:szCs w:val="20"/>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are an internally-managed Real Estate Investment Trust ("REIT"). We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As a REIT, we are required to distribute annually 90% of our taxable income. As a REIT, we will generally not be subject to U.S. federal or state corporate taxes on our taxable income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93"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We invest primarily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Federal National Mortgage Association ("Fannie Mae") and Federal Home Loan Mortgage Corporation ("Freddie Mac," and together with Fannie Mae, the "GSEs"), or by a U.S. Government agency, such as Government National Mortgage Association ("Ginnie Mae"). We also invest in other types of mortgage and mortgage-related residential and commercial mortgage-backed securities where repayment of principal and interest is not guaranteed by a GSE or U.S. Government agency and in other investments in, or related to, the housing, mortgage or real estate markets.</w:t>
      </w:r>
    </w:p>
    <w:p>
      <w:pPr>
        <w:spacing w:after="0" w:line="111"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9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310"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Following the challenging market conditions experienced in the fourth quarter of 2018, financial markets rebounded in the first quarter of 2019, with the S&amp;P 500 recovering almost the entirety of its fourth quarter decline as investor sentiment improved markedly. Weaker domestic and international economic growth, coupled with benign inflation indicators, led the Federal Reserve to adopt a more neutral monetary policy stance during the first quarter, signaling that further increases to the Federal Funds rate were unlikely in 2019. The Federal Reserve also announced that it would suspend the runoff of its U.S. Treasury portfolio in September 2019, thus maintaining a larger balance sheet than the market previously expected. In response, interest rates decreased materially during the first quarter, with the 10-year U.S. Treasury rate declining 28 basis points from 2.69% as of December 31, 2018 to 2.41% as of March 31, 2019. Agency RMBS posted a strong first quarter, as valuations benefited from the decline in interest rate volatility and the outperformance of specified mortgage securities with favorable prepayment characteristics. Credit assets also performed well during the quarter with the improvement in investor sentiment, recovering much of the valuation declines experienced in the fourth quarter of 2018.</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742" w:right="239" w:bottom="1440" w:gutter="0" w:footer="0" w:header="0"/>
        </w:sectPr>
      </w:pPr>
    </w:p>
    <w:bookmarkStart w:id="25" w:name="page26"/>
    <w:bookmarkEnd w:id="25"/>
    <w:p>
      <w:pPr>
        <w:jc w:val="both"/>
        <w:ind w:firstLine="405"/>
        <w:spacing w:after="0" w:line="287" w:lineRule="auto"/>
        <w:rPr>
          <w:sz w:val="20"/>
          <w:szCs w:val="20"/>
          <w:color w:val="auto"/>
        </w:rPr>
      </w:pPr>
      <w:r>
        <w:rPr>
          <w:rFonts w:ascii="Arial" w:cs="Arial" w:eastAsia="Arial" w:hAnsi="Arial"/>
          <w:sz w:val="16"/>
          <w:szCs w:val="16"/>
          <w:color w:val="auto"/>
        </w:rPr>
        <w:t>The outperformance of our Agency RMBS portfolio relative to interest rate hedges during the first quarter of 2019 led to our total comprehensive income of $1.22 per common share for the quarter. Our economic return on tangible common equity was 7.3% (unannualized) for the quarter, comprised of the $0.67 increase in our tangible net book value per common share and $0.54 per share of common dividends declared during the quarter. During the first quarter, funding costs remained elevated as the prior year-end funding levels persisted through much of the quarter, despite the Fed’s revised outlook and dovish tone. The favorable funding dynamic between Agency RMBS repo and 3-month LIBOR experienced throughout 2018 also abated during the quarter, further negatively impacting our funding costs. In addition, given the sizable decline in interest rates over the last two quarters, our projected lifetime CPR estimates increased during the first quarter, thus leading us to recognize greater premium amortization expense into current period earnings. These factors resulted in a decline in our net interest spread for the first quarter. Although Agency RMBS return expectations are somewhat lower now, we believe that a more stable rate environment should significantly reduce the likelihood that returns will be adversely impacted by interest rate volatility. Consistent with the lower return environment, we anticipate reducing our monthly common stock dividend to $0.16 per share, or $0.48 per share per quarter, beginning with the dividend to be declared in May 2019, subject to the discretion and approval of our Board of Directors.</w:t>
      </w:r>
    </w:p>
    <w:p>
      <w:pPr>
        <w:spacing w:after="0" w:line="119"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"at risk" leverage ratio was 9.4x our tangible equity as of March 31, 2019, up from 9.0x as of December 31, 2018. Consistent with higher leverage and the deployment of proceeds from our March 2019 preferred stock equity offering, our investment portfolio increased to $102.2 billion, inclusive of TBAs, as of March 31, 2019 from $91.6 billion as of December 31, 2018.</w:t>
      </w:r>
    </w:p>
    <w:p>
      <w:pPr>
        <w:spacing w:after="0" w:line="127"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The average cost of our repurchase agreement funding increased to 2.64% for the first quarter, compared to 2.42% for the fourth quarter of 2018. Our total cost of funds, which includes the cost of our repurchase agreements, the implied funding costs of our TBA securities and the cost/benefit of our interest rate swap hedges, increased by 18 basis points to an average of 2.27% for the first quarter, compared to 2.09% for the fourth quarter of 2018.</w:t>
      </w:r>
    </w:p>
    <w:p>
      <w:pPr>
        <w:spacing w:after="0" w:line="93"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Our average asset yield, including the implied yield on our TBA assets and excluding "catch-up" premium amortization cost associated with changes in our CPR forecast, increased 7 basis points to 3.33% for the first quarter 2019, from 3.26% for the fourth quarter of 2018, largely due to investments in higher yielding Agency securities. Notwithstanding the sequential increase, our average asset yield, excluding of “catch-up” amortization, for the first quarter was negatively impacted by higher prepayment expectations as our forecasted CPR increased to 10.5% as of March 31, 2019 from 7.9% as of December 31, 2018.</w:t>
      </w:r>
    </w:p>
    <w:p>
      <w:pPr>
        <w:spacing w:after="0" w:line="100"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Our net interest spread, which represents the difference between our asset yield and our cost of funds (excluding “catch-up” amortization and including TBA securities), was 1.06% for the first quarter of 2019, compared to 1.17% for fourth quarter of 2018.</w:t>
      </w:r>
    </w:p>
    <w:p>
      <w:pPr>
        <w:spacing w:after="0" w:line="11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 xml:space="preserve">During the first quarter, we reduced our interest rate hedge portfolio to 77% of our funding liabilities, from 94% as of December 31, 2018. The reduction in our hedge position was in line with the contraction of our asset duration resulting from lower rates and a more benign short-term rate outlook. For additional information regarding our interest rate and spread sensitivity please refer to Item 3. </w:t>
      </w:r>
      <w:r>
        <w:rPr>
          <w:rFonts w:ascii="Arial" w:cs="Arial" w:eastAsia="Arial" w:hAnsi="Arial"/>
          <w:sz w:val="18"/>
          <w:szCs w:val="18"/>
          <w:i w:val="1"/>
          <w:iCs w:val="1"/>
          <w:color w:val="auto"/>
        </w:rPr>
        <w:t>Quantitative and Qualitative Disclosures about Market Risk</w:t>
      </w:r>
      <w:r>
        <w:rPr>
          <w:rFonts w:ascii="Arial" w:cs="Arial" w:eastAsia="Arial" w:hAnsi="Arial"/>
          <w:sz w:val="18"/>
          <w:szCs w:val="18"/>
          <w:color w:val="auto"/>
        </w:rPr>
        <w:t xml:space="preserve"> of this Form 10-Q.</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6" w:right="2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i w:val="1"/>
          <w:iCs w:val="1"/>
          <w:color w:val="auto"/>
        </w:rPr>
        <w:t>Market Information</w:t>
      </w:r>
    </w:p>
    <w:p>
      <w:pPr>
        <w:spacing w:after="0" w:line="30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summarizes interest rates and prices of generic fixed rate Agency RMBS as of each date presented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Mar. 31,</w:t>
            </w:r>
          </w:p>
        </w:tc>
        <w:tc>
          <w:tcPr>
            <w:tcW w:w="7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June 30,</w:t>
            </w:r>
          </w:p>
        </w:tc>
        <w:tc>
          <w:tcPr>
            <w:tcW w:w="7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Sept. 30,</w:t>
            </w:r>
          </w:p>
        </w:tc>
        <w:tc>
          <w:tcPr>
            <w:tcW w:w="7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Dec. 31,</w:t>
            </w: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Mar. 31,</w:t>
            </w: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w w:val="96"/>
              </w:rPr>
              <w:t>Mar. 31, 2019</w:t>
            </w:r>
          </w:p>
        </w:tc>
        <w:tc>
          <w:tcPr>
            <w:tcW w:w="0" w:type="dxa"/>
            <w:vAlign w:val="bottom"/>
          </w:tcPr>
          <w:p>
            <w:pPr>
              <w:spacing w:after="0"/>
              <w:rPr>
                <w:sz w:val="1"/>
                <w:szCs w:val="1"/>
                <w:color w:val="auto"/>
              </w:rPr>
            </w:pPr>
          </w:p>
        </w:tc>
      </w:tr>
      <w:tr>
        <w:trPr>
          <w:trHeight w:val="149"/>
        </w:trPr>
        <w:tc>
          <w:tcPr>
            <w:tcW w:w="4240" w:type="dxa"/>
            <w:vAlign w:val="bottom"/>
            <w:vMerge w:val="restart"/>
          </w:tcPr>
          <w:p>
            <w:pPr>
              <w:ind w:left="124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8"/>
                <w:szCs w:val="8"/>
                <w:b w:val="1"/>
                <w:bCs w:val="1"/>
                <w:color w:val="auto"/>
              </w:rPr>
              <w:t>1</w:t>
            </w:r>
          </w:p>
        </w:tc>
        <w:tc>
          <w:tcPr>
            <w:tcW w:w="120" w:type="dxa"/>
            <w:vAlign w:val="bottom"/>
            <w:vMerge w:val="restart"/>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76"/>
              </w:rPr>
              <w:t>vs</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2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Borders>
              <w:bottom w:val="single" w:sz="8" w:color="CCEEFF"/>
            </w:tcBorders>
          </w:tcPr>
          <w:p>
            <w:pPr>
              <w:spacing w:after="0"/>
              <w:rPr>
                <w:sz w:val="16"/>
                <w:szCs w:val="16"/>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Borders>
              <w:bottom w:val="single" w:sz="8" w:color="CCEEFF"/>
            </w:tcBorders>
          </w:tcPr>
          <w:p>
            <w:pPr>
              <w:spacing w:after="0"/>
              <w:rPr>
                <w:sz w:val="16"/>
                <w:szCs w:val="16"/>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2019</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Dec. 31, 2018</w:t>
            </w:r>
          </w:p>
        </w:tc>
        <w:tc>
          <w:tcPr>
            <w:tcW w:w="0" w:type="dxa"/>
            <w:vAlign w:val="bottom"/>
          </w:tcPr>
          <w:p>
            <w:pPr>
              <w:spacing w:after="0"/>
              <w:rPr>
                <w:sz w:val="1"/>
                <w:szCs w:val="1"/>
                <w:color w:val="auto"/>
              </w:rPr>
            </w:pPr>
          </w:p>
        </w:tc>
      </w:tr>
      <w:tr>
        <w:trPr>
          <w:trHeight w:val="27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LIBOR:</w:t>
            </w:r>
          </w:p>
        </w:tc>
        <w:tc>
          <w:tcPr>
            <w:tcW w:w="6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1-Month</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1.88%</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2.09%</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2.26%</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2.50%</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2.49%</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-0.01 bps</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3-Month</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2.31%</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2.34%</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2.81%</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2.60%</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-0.21 bps</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b w:val="1"/>
                <w:bCs w:val="1"/>
                <w:color w:val="auto"/>
              </w:rPr>
              <w:t>U.S. Treasury Security Rate:</w:t>
            </w: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2-Year U.S. Treasury</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2.27%</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2.53%</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2.82%</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2.49%</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2.27%</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-0.22 bps</w:t>
            </w:r>
          </w:p>
        </w:tc>
        <w:tc>
          <w:tcPr>
            <w:tcW w:w="0" w:type="dxa"/>
            <w:vAlign w:val="bottom"/>
          </w:tcPr>
          <w:p>
            <w:pPr>
              <w:spacing w:after="0"/>
              <w:rPr>
                <w:sz w:val="1"/>
                <w:szCs w:val="1"/>
                <w:color w:val="auto"/>
              </w:rPr>
            </w:pPr>
          </w:p>
        </w:tc>
      </w:tr>
      <w:tr>
        <w:trPr>
          <w:trHeight w:val="264"/>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5-Year U.S. Treasury</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2.57%</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2.73%</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2.95%</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2.51%</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2.24%</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-0.27 bps</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10-Year U.S. Treasury</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2.74%</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2.85%</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3.06%</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2.69%</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2.41%</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-0.28 bps</w:t>
            </w:r>
          </w:p>
        </w:tc>
        <w:tc>
          <w:tcPr>
            <w:tcW w:w="0" w:type="dxa"/>
            <w:vAlign w:val="bottom"/>
          </w:tcPr>
          <w:p>
            <w:pPr>
              <w:spacing w:after="0"/>
              <w:rPr>
                <w:sz w:val="1"/>
                <w:szCs w:val="1"/>
                <w:color w:val="auto"/>
              </w:rPr>
            </w:pPr>
          </w:p>
        </w:tc>
      </w:tr>
      <w:tr>
        <w:trPr>
          <w:trHeight w:val="264"/>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30-Year U.S. Treasury</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2.97%</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2.98%</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3.20%</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3.02%</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2.82%</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-0.20 bps</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Rate Swap Rate:</w:t>
            </w: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2-Year Swap</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2.58%</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2.79%</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2.99%</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2.67%</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2.39%</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-0.28 bps</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5-Year Swap</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2.71%</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2.88%</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2.58%</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2.29%</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-0.29 bps</w:t>
            </w:r>
          </w:p>
        </w:tc>
        <w:tc>
          <w:tcPr>
            <w:tcW w:w="0" w:type="dxa"/>
            <w:vAlign w:val="bottom"/>
          </w:tcPr>
          <w:p>
            <w:pPr>
              <w:spacing w:after="0"/>
              <w:rPr>
                <w:sz w:val="1"/>
                <w:szCs w:val="1"/>
                <w:color w:val="auto"/>
              </w:rPr>
            </w:pPr>
          </w:p>
        </w:tc>
      </w:tr>
      <w:tr>
        <w:trPr>
          <w:trHeight w:val="264"/>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10-Year Swap</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2.78%</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2.93%</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3.12%</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2.72%</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2.41%</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-0.31 bps</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30-Year Swap</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2.82%</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2.93%</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3.13%</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2.85%</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2.58%</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-0.27 bps</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b w:val="1"/>
                <w:bCs w:val="1"/>
                <w:color w:val="auto"/>
              </w:rPr>
              <w:t>30-Year Fixed Rate Agency Price:</w:t>
            </w: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$97.52</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$96.86</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$95.67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$97.54</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$99.55</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+$2.01</w:t>
            </w:r>
          </w:p>
        </w:tc>
        <w:tc>
          <w:tcPr>
            <w:tcW w:w="0" w:type="dxa"/>
            <w:vAlign w:val="bottom"/>
          </w:tcPr>
          <w:p>
            <w:pPr>
              <w:spacing w:after="0"/>
              <w:rPr>
                <w:sz w:val="1"/>
                <w:szCs w:val="1"/>
                <w:color w:val="auto"/>
              </w:rPr>
            </w:pPr>
          </w:p>
        </w:tc>
      </w:tr>
      <w:tr>
        <w:trPr>
          <w:trHeight w:val="264"/>
        </w:trPr>
        <w:tc>
          <w:tcPr>
            <w:tcW w:w="4240" w:type="dxa"/>
            <w:vAlign w:val="bottom"/>
          </w:tcPr>
          <w:p>
            <w:pPr>
              <w:ind w:left="20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$100.20</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3"/>
              </w:rPr>
              <w:t>$99.52</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3"/>
              </w:rPr>
              <w:t>$98.41</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$99.95</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$101.35</w:t>
            </w:r>
          </w:p>
        </w:tc>
        <w:tc>
          <w:tcPr>
            <w:tcW w:w="100" w:type="dxa"/>
            <w:vAlign w:val="bottom"/>
          </w:tcPr>
          <w:p>
            <w:pPr>
              <w:spacing w:after="0"/>
              <w:rPr>
                <w:sz w:val="22"/>
                <w:szCs w:val="22"/>
                <w:color w:val="auto"/>
              </w:rPr>
            </w:pP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+$1.40</w:t>
            </w: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$102.61</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$101.96</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$100.97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$101.94</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$102.86</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+$0.92</w:t>
            </w:r>
          </w:p>
        </w:tc>
        <w:tc>
          <w:tcPr>
            <w:tcW w:w="0" w:type="dxa"/>
            <w:vAlign w:val="bottom"/>
          </w:tcPr>
          <w:p>
            <w:pPr>
              <w:spacing w:after="0"/>
              <w:rPr>
                <w:sz w:val="1"/>
                <w:szCs w:val="1"/>
                <w:color w:val="auto"/>
              </w:rPr>
            </w:pPr>
          </w:p>
        </w:tc>
      </w:tr>
      <w:tr>
        <w:trPr>
          <w:trHeight w:val="264"/>
        </w:trPr>
        <w:tc>
          <w:tcPr>
            <w:tcW w:w="4240" w:type="dxa"/>
            <w:vAlign w:val="bottom"/>
          </w:tcPr>
          <w:p>
            <w:pPr>
              <w:ind w:left="20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$104.70</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4"/>
              </w:rPr>
              <w:t>$104.13</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$103.16</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$103.53</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$104.20</w:t>
            </w:r>
          </w:p>
        </w:tc>
        <w:tc>
          <w:tcPr>
            <w:tcW w:w="100" w:type="dxa"/>
            <w:vAlign w:val="bottom"/>
          </w:tcPr>
          <w:p>
            <w:pPr>
              <w:spacing w:after="0"/>
              <w:rPr>
                <w:sz w:val="22"/>
                <w:szCs w:val="22"/>
                <w:color w:val="auto"/>
              </w:rPr>
            </w:pP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+$0.67</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15-Year Fixed Rate Agency Price:</w:t>
            </w: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40" w:type="dxa"/>
            <w:vAlign w:val="bottom"/>
          </w:tcPr>
          <w:p>
            <w:pPr>
              <w:ind w:left="20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3"/>
              </w:rPr>
              <w:t>$97.98</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3"/>
              </w:rPr>
              <w:t>$97.22</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3"/>
              </w:rPr>
              <w:t>$96.47</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$97.70</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$99.39</w:t>
            </w:r>
          </w:p>
        </w:tc>
        <w:tc>
          <w:tcPr>
            <w:tcW w:w="100" w:type="dxa"/>
            <w:vAlign w:val="bottom"/>
          </w:tcPr>
          <w:p>
            <w:pPr>
              <w:spacing w:after="0"/>
              <w:rPr>
                <w:sz w:val="22"/>
                <w:szCs w:val="22"/>
                <w:color w:val="auto"/>
              </w:rPr>
            </w:pP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+$1.69</w:t>
            </w: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$99.88</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$99.41</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$98.77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$99.80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$100.89</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+$1.09</w:t>
            </w:r>
          </w:p>
        </w:tc>
        <w:tc>
          <w:tcPr>
            <w:tcW w:w="0" w:type="dxa"/>
            <w:vAlign w:val="bottom"/>
          </w:tcPr>
          <w:p>
            <w:pPr>
              <w:spacing w:after="0"/>
              <w:rPr>
                <w:sz w:val="1"/>
                <w:szCs w:val="1"/>
                <w:color w:val="auto"/>
              </w:rPr>
            </w:pPr>
          </w:p>
        </w:tc>
      </w:tr>
      <w:tr>
        <w:trPr>
          <w:trHeight w:val="264"/>
        </w:trPr>
        <w:tc>
          <w:tcPr>
            <w:tcW w:w="4240" w:type="dxa"/>
            <w:vAlign w:val="bottom"/>
          </w:tcPr>
          <w:p>
            <w:pPr>
              <w:ind w:left="20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$101.94</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4"/>
              </w:rPr>
              <w:t>$101.16</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$100.51</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$101.23</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$102.28</w:t>
            </w:r>
          </w:p>
        </w:tc>
        <w:tc>
          <w:tcPr>
            <w:tcW w:w="100" w:type="dxa"/>
            <w:vAlign w:val="bottom"/>
          </w:tcPr>
          <w:p>
            <w:pPr>
              <w:spacing w:after="0"/>
              <w:rPr>
                <w:sz w:val="22"/>
                <w:szCs w:val="22"/>
                <w:color w:val="auto"/>
              </w:rPr>
            </w:pP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+$1.05</w:t>
            </w: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$102.63</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$102.58</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$101.98</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$102.34</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$103.00</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+$0.66</w:t>
            </w:r>
          </w:p>
        </w:tc>
        <w:tc>
          <w:tcPr>
            <w:tcW w:w="0" w:type="dxa"/>
            <w:vAlign w:val="bottom"/>
          </w:tcPr>
          <w:p>
            <w:pPr>
              <w:spacing w:after="0"/>
              <w:rPr>
                <w:sz w:val="1"/>
                <w:szCs w:val="1"/>
                <w:color w:val="auto"/>
              </w:rPr>
            </w:pPr>
          </w:p>
        </w:tc>
      </w:tr>
      <w:tr>
        <w:trPr>
          <w:trHeight w:val="167"/>
        </w:trPr>
        <w:tc>
          <w:tcPr>
            <w:tcW w:w="4240" w:type="dxa"/>
            <w:vAlign w:val="bottom"/>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660" w:hanging="328"/>
        <w:spacing w:after="0" w:line="273" w:lineRule="auto"/>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and interest rates in the table above were obtained from Barclays. LIBOR rates were obtained from Bloomberg.</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46" w:right="2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As of March 31, 2019 and December 31, 2018, our investment portfolio consisted of $95.3 billion and $84.3 billion of investment securities, at fair value, respectively, and $7.0 billion and $7.3 billion of TBA securities, at fair value, respectively. The following table is a summary of our investment portfolio as of March 31, 2019 and December 31, 2018 (dollars in millions):</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180"/>
              <w:spacing w:after="0"/>
              <w:rPr>
                <w:sz w:val="20"/>
                <w:szCs w:val="20"/>
                <w:color w:val="auto"/>
              </w:rPr>
            </w:pPr>
            <w:r>
              <w:rPr>
                <w:rFonts w:ascii="Arial" w:cs="Arial" w:eastAsia="Arial" w:hAnsi="Arial"/>
                <w:sz w:val="14"/>
                <w:szCs w:val="14"/>
                <w:b w:val="1"/>
                <w:bCs w:val="1"/>
                <w:color w:val="auto"/>
              </w:rPr>
              <w:t>March 31, 2019</w:t>
            </w:r>
          </w:p>
        </w:tc>
        <w:tc>
          <w:tcPr>
            <w:tcW w:w="6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December 31, 2018</w:t>
            </w:r>
          </w:p>
        </w:tc>
        <w:tc>
          <w:tcPr>
            <w:tcW w:w="6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Investment Portfolio (Includes TBAs) </w:t>
            </w:r>
            <w:r>
              <w:rPr>
                <w:rFonts w:ascii="Arial" w:cs="Arial" w:eastAsia="Arial" w:hAnsi="Arial"/>
                <w:sz w:val="8"/>
                <w:szCs w:val="8"/>
                <w:b w:val="1"/>
                <w:bCs w:val="1"/>
                <w:color w:val="auto"/>
              </w:rPr>
              <w:t>1</w:t>
            </w:r>
          </w:p>
        </w:tc>
        <w:tc>
          <w:tcPr>
            <w:tcW w:w="2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2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vMerge w:val="restart"/>
          </w:tcPr>
          <w:p>
            <w:pPr>
              <w:spacing w:after="0"/>
              <w:rPr>
                <w:sz w:val="13"/>
                <w:szCs w:val="13"/>
                <w:color w:val="auto"/>
              </w:rPr>
            </w:pPr>
          </w:p>
        </w:tc>
        <w:tc>
          <w:tcPr>
            <w:tcW w:w="1060" w:type="dxa"/>
            <w:vAlign w:val="bottom"/>
            <w:gridSpan w:val="2"/>
          </w:tcPr>
          <w:p>
            <w:pPr>
              <w:ind w:left="24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3"/>
                <w:szCs w:val="13"/>
                <w:color w:val="auto"/>
              </w:rPr>
            </w:pPr>
          </w:p>
        </w:tc>
        <w:tc>
          <w:tcPr>
            <w:tcW w:w="104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6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4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 Agency RMBS and TBA securities: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160"/>
              <w:spacing w:after="0"/>
              <w:rPr>
                <w:sz w:val="20"/>
                <w:szCs w:val="20"/>
                <w:color w:val="auto"/>
              </w:rPr>
            </w:pPr>
            <w:r>
              <w:rPr>
                <w:rFonts w:ascii="Arial" w:cs="Arial" w:eastAsia="Arial" w:hAnsi="Arial"/>
                <w:sz w:val="14"/>
                <w:szCs w:val="14"/>
                <w:color w:val="auto"/>
              </w:rPr>
              <w:t>≤ 15-year:</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 15-year RMBS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7,214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7,205</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3.31%</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7,386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7,294</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15-year TBA securities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3,432</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3,457</w:t>
            </w:r>
          </w:p>
        </w:tc>
        <w:tc>
          <w:tcPr>
            <w:tcW w:w="10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3.61%</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2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3,635</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3,673</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3.61%</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5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Total ≤ 15-year</w:t>
            </w: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10,646</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10,662</w:t>
            </w: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3.41%</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2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11,021</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10,967</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3.40%</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64"/>
        </w:trPr>
        <w:tc>
          <w:tcPr>
            <w:tcW w:w="3660" w:type="dxa"/>
            <w:vAlign w:val="bottom"/>
            <w:gridSpan w:val="2"/>
          </w:tcPr>
          <w:p>
            <w:pPr>
              <w:ind w:left="120"/>
              <w:spacing w:after="0"/>
              <w:rPr>
                <w:sz w:val="20"/>
                <w:szCs w:val="20"/>
                <w:color w:val="auto"/>
              </w:rPr>
            </w:pPr>
            <w:r>
              <w:rPr>
                <w:rFonts w:ascii="Arial" w:cs="Arial" w:eastAsia="Arial" w:hAnsi="Arial"/>
                <w:sz w:val="14"/>
                <w:szCs w:val="14"/>
                <w:color w:val="auto"/>
              </w:rPr>
              <w:t>20-year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755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761</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778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774</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30-year:</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30-year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84,405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84,536</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3.89%</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83%</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74,883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73,685</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3.87%</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80%</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30-year TBA securities</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3,453</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3,498</w:t>
            </w:r>
          </w:p>
        </w:tc>
        <w:tc>
          <w:tcPr>
            <w:tcW w:w="100" w:type="dxa"/>
            <w:vAlign w:val="bottom"/>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3.66%</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2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3,617</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3,649</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4.47%</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Total 30-year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87,858</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88,034</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3.88%</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w:t>
            </w:r>
          </w:p>
        </w:tc>
        <w:tc>
          <w:tcPr>
            <w:tcW w:w="2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78,500</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77,334</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3.90%</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w:t>
            </w:r>
          </w:p>
        </w:tc>
        <w:tc>
          <w:tcPr>
            <w:tcW w:w="0" w:type="dxa"/>
            <w:vAlign w:val="bottom"/>
          </w:tcPr>
          <w:p>
            <w:pPr>
              <w:spacing w:after="0"/>
              <w:rPr>
                <w:sz w:val="1"/>
                <w:szCs w:val="1"/>
                <w:color w:val="auto"/>
              </w:rPr>
            </w:pPr>
          </w:p>
        </w:tc>
      </w:tr>
      <w:tr>
        <w:trPr>
          <w:trHeight w:val="25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fixed rate Agency RMBS and TBA securities</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99,259</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99,457</w:t>
            </w:r>
          </w:p>
        </w:tc>
        <w:tc>
          <w:tcPr>
            <w:tcW w:w="100" w:type="dxa"/>
            <w:vAlign w:val="bottom"/>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3.83%</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90,299</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89,075</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250"/>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Adjustable rate Agency RMBS</w:t>
            </w:r>
          </w:p>
        </w:tc>
        <w:tc>
          <w:tcPr>
            <w:tcW w:w="1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199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201</w:t>
            </w:r>
          </w:p>
        </w:tc>
        <w:tc>
          <w:tcPr>
            <w:tcW w:w="1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3.14%</w:t>
            </w:r>
          </w:p>
        </w:tc>
        <w:tc>
          <w:tcPr>
            <w:tcW w:w="100" w:type="dxa"/>
            <w:vAlign w:val="bottom"/>
          </w:tcPr>
          <w:p>
            <w:pPr>
              <w:spacing w:after="0"/>
              <w:rPr>
                <w:sz w:val="21"/>
                <w:szCs w:val="21"/>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212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213</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3.10%</w:t>
            </w:r>
          </w:p>
        </w:tc>
        <w:tc>
          <w:tcPr>
            <w:tcW w:w="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Multifamily</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1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CMO Agency RMBS:</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CMO</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555</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583</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Interest-only strips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3.63%</w:t>
            </w:r>
          </w:p>
        </w:tc>
        <w:tc>
          <w:tcPr>
            <w:tcW w:w="100" w:type="dxa"/>
            <w:vAlign w:val="bottom"/>
          </w:tcPr>
          <w:p>
            <w:pPr>
              <w:spacing w:after="0"/>
              <w:rPr>
                <w:sz w:val="22"/>
                <w:szCs w:val="22"/>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84</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3.61%</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Principal-only strips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92</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95</w:t>
            </w:r>
          </w:p>
        </w:tc>
        <w:tc>
          <w:tcPr>
            <w:tcW w:w="100" w:type="dxa"/>
            <w:vAlign w:val="bottom"/>
            <w:shd w:val="clear" w:color="auto" w:fill="CCEEFF"/>
          </w:tcPr>
          <w:p>
            <w:pPr>
              <w:spacing w:after="0"/>
              <w:rPr>
                <w:sz w:val="23"/>
                <w:szCs w:val="23"/>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95</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CMO Agency RMBS</w:t>
            </w:r>
          </w:p>
        </w:tc>
        <w:tc>
          <w:tcPr>
            <w:tcW w:w="1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721</w:t>
            </w:r>
          </w:p>
        </w:tc>
        <w:tc>
          <w:tcPr>
            <w:tcW w:w="1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734</w:t>
            </w:r>
          </w:p>
        </w:tc>
        <w:tc>
          <w:tcPr>
            <w:tcW w:w="100" w:type="dxa"/>
            <w:vAlign w:val="bottom"/>
            <w:tcBorders>
              <w:bottom w:val="single" w:sz="8" w:color="CCEEFF"/>
            </w:tcBorders>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3.22%</w:t>
            </w:r>
          </w:p>
        </w:tc>
        <w:tc>
          <w:tcPr>
            <w:tcW w:w="100" w:type="dxa"/>
            <w:vAlign w:val="bottom"/>
            <w:tcBorders>
              <w:bottom w:val="single" w:sz="8" w:color="CCEEFF"/>
            </w:tcBorders>
          </w:tcPr>
          <w:p>
            <w:pPr>
              <w:spacing w:after="0"/>
              <w:rPr>
                <w:sz w:val="21"/>
                <w:szCs w:val="21"/>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8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760</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761</w:t>
            </w:r>
          </w:p>
        </w:tc>
        <w:tc>
          <w:tcPr>
            <w:tcW w:w="120" w:type="dxa"/>
            <w:vAlign w:val="bottom"/>
            <w:tcBorders>
              <w:bottom w:val="single" w:sz="8" w:color="CCEEFF"/>
            </w:tcBorders>
          </w:tcPr>
          <w:p>
            <w:pPr>
              <w:spacing w:after="0"/>
              <w:rPr>
                <w:sz w:val="21"/>
                <w:szCs w:val="21"/>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3.21%</w:t>
            </w:r>
          </w:p>
        </w:tc>
        <w:tc>
          <w:tcPr>
            <w:tcW w:w="100" w:type="dxa"/>
            <w:vAlign w:val="bottom"/>
            <w:tcBorders>
              <w:bottom w:val="single" w:sz="8" w:color="CCEEFF"/>
            </w:tcBorders>
          </w:tcPr>
          <w:p>
            <w:pPr>
              <w:spacing w:after="0"/>
              <w:rPr>
                <w:sz w:val="21"/>
                <w:szCs w:val="21"/>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Agency RMBS and TBA securities</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100,210</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100,424</w:t>
            </w:r>
          </w:p>
        </w:tc>
        <w:tc>
          <w:tcPr>
            <w:tcW w:w="100" w:type="dxa"/>
            <w:vAlign w:val="bottom"/>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3.82%</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w:t>
            </w:r>
          </w:p>
        </w:tc>
        <w:tc>
          <w:tcPr>
            <w:tcW w:w="2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91,271</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90,049</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3.83%</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w:t>
            </w:r>
          </w:p>
        </w:tc>
        <w:tc>
          <w:tcPr>
            <w:tcW w:w="0" w:type="dxa"/>
            <w:vAlign w:val="bottom"/>
          </w:tcPr>
          <w:p>
            <w:pPr>
              <w:spacing w:after="0"/>
              <w:rPr>
                <w:sz w:val="1"/>
                <w:szCs w:val="1"/>
                <w:color w:val="auto"/>
              </w:rPr>
            </w:pPr>
          </w:p>
        </w:tc>
      </w:tr>
      <w:tr>
        <w:trPr>
          <w:trHeight w:val="250"/>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Non-Agency RMBS</w:t>
            </w:r>
          </w:p>
        </w:tc>
        <w:tc>
          <w:tcPr>
            <w:tcW w:w="1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313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319</w:t>
            </w:r>
          </w:p>
        </w:tc>
        <w:tc>
          <w:tcPr>
            <w:tcW w:w="1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3.86%</w:t>
            </w:r>
          </w:p>
        </w:tc>
        <w:tc>
          <w:tcPr>
            <w:tcW w:w="100" w:type="dxa"/>
            <w:vAlign w:val="bottom"/>
          </w:tcPr>
          <w:p>
            <w:pPr>
              <w:spacing w:after="0"/>
              <w:rPr>
                <w:sz w:val="21"/>
                <w:szCs w:val="21"/>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264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266</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3.83%</w:t>
            </w:r>
          </w:p>
        </w:tc>
        <w:tc>
          <w:tcPr>
            <w:tcW w:w="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CMBS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353</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3.89%</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282</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CRT</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1,109</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1,129</w:t>
            </w:r>
          </w:p>
        </w:tc>
        <w:tc>
          <w:tcPr>
            <w:tcW w:w="10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5.63%</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1,006</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1,012</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5.86%</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43"/>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investment portfolio</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101,975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102,225</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2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92,821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91,609</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3.85%</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344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4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TBA securities are presented net of long and short positions. For further details of our TBA securities refer to Note 6 of the accompanying consolidated financial statements.</w:t>
      </w:r>
    </w:p>
    <w:p>
      <w:pPr>
        <w:spacing w:after="0" w:line="156"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TBA securities are recorded as derivative instruments in our accompanying consolidated financial statements and our TBA dollar roll transactions represent a form of off-balance sheet financing. As of March 31, 2019 and December 31, 2018, our TBA positions had a net carrying value of $70 million and $70 million, respectively, reported in derivative assets /(liabilities) on our accompanying consolidated balance sheets. The net carrying value represents the difference between the fair value of the underlying Agency security in the TBA contract and the contract price to be paid or received for the underlying Agency security.</w:t>
      </w:r>
    </w:p>
    <w:p>
      <w:pPr>
        <w:spacing w:after="0" w:line="13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March 31, 2019 and December 31, 2018, the weighted average yield on our investment securities (excluding TBA securities) was 3.29% and 3.31%, respectively.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42" w:right="239" w:bottom="1440" w:gutter="0" w:footer="0" w:header="0"/>
        </w:sectPr>
      </w:pPr>
    </w:p>
    <w:bookmarkStart w:id="28" w:name="page29"/>
    <w:bookmarkEnd w:id="28"/>
    <w:p>
      <w:pPr>
        <w:ind w:left="440"/>
        <w:spacing w:after="0"/>
        <w:rPr>
          <w:sz w:val="20"/>
          <w:szCs w:val="20"/>
          <w:color w:val="auto"/>
        </w:rPr>
      </w:pPr>
      <w:r>
        <w:rPr>
          <w:rFonts w:ascii="Arial" w:cs="Arial" w:eastAsia="Arial" w:hAnsi="Arial"/>
          <w:sz w:val="17"/>
          <w:szCs w:val="17"/>
          <w:color w:val="auto"/>
        </w:rPr>
        <w:t>The following tables summarize certain characteristics of our fixed rate Agency RMBS portfolio, inclusive of TBAs, as of March 31, 2019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 (dollars in millions):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ind w:left="100"/>
              <w:spacing w:after="0"/>
              <w:rPr>
                <w:sz w:val="20"/>
                <w:szCs w:val="20"/>
                <w:color w:val="auto"/>
              </w:rPr>
            </w:pPr>
            <w:r>
              <w:rPr>
                <w:rFonts w:ascii="Arial" w:cs="Arial" w:eastAsia="Arial" w:hAnsi="Arial"/>
                <w:sz w:val="14"/>
                <w:szCs w:val="14"/>
                <w:b w:val="1"/>
                <w:bCs w:val="1"/>
                <w:color w:val="auto"/>
              </w:rPr>
              <w:t>March 31, 2019</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ind w:left="180"/>
              <w:spacing w:after="0" w:line="139" w:lineRule="exact"/>
              <w:rPr>
                <w:sz w:val="20"/>
                <w:szCs w:val="20"/>
                <w:color w:val="auto"/>
              </w:rPr>
            </w:pPr>
            <w:r>
              <w:rPr>
                <w:rFonts w:ascii="Arial" w:cs="Arial" w:eastAsia="Arial" w:hAnsi="Arial"/>
                <w:sz w:val="14"/>
                <w:szCs w:val="14"/>
                <w:b w:val="1"/>
                <w:bCs w:val="1"/>
                <w:color w:val="auto"/>
              </w:rPr>
              <w:t>Specified</w:t>
            </w:r>
          </w:p>
        </w:tc>
        <w:tc>
          <w:tcPr>
            <w:tcW w:w="220" w:type="dxa"/>
            <w:vAlign w:val="bottom"/>
          </w:tcPr>
          <w:p>
            <w:pPr>
              <w:spacing w:after="0"/>
              <w:rPr>
                <w:sz w:val="4"/>
                <w:szCs w:val="4"/>
                <w:color w:val="auto"/>
              </w:rPr>
            </w:pPr>
          </w:p>
        </w:tc>
        <w:tc>
          <w:tcPr>
            <w:tcW w:w="1120" w:type="dxa"/>
            <w:vAlign w:val="bottom"/>
            <w:gridSpan w:val="2"/>
            <w:vMerge w:val="restart"/>
          </w:tcPr>
          <w:p>
            <w:pPr>
              <w:jc w:val="center"/>
              <w:ind w:right="100"/>
              <w:spacing w:after="0" w:line="139" w:lineRule="exact"/>
              <w:rPr>
                <w:sz w:val="20"/>
                <w:szCs w:val="20"/>
                <w:color w:val="auto"/>
              </w:rPr>
            </w:pPr>
            <w:r>
              <w:rPr>
                <w:rFonts w:ascii="Arial" w:cs="Arial" w:eastAsia="Arial" w:hAnsi="Arial"/>
                <w:sz w:val="14"/>
                <w:szCs w:val="14"/>
                <w:b w:val="1"/>
                <w:bCs w:val="1"/>
                <w:color w:val="auto"/>
                <w:w w:val="96"/>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2</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 xml:space="preserve">Pool % </w:t>
            </w:r>
            <w:r>
              <w:rPr>
                <w:rFonts w:ascii="Arial" w:cs="Arial" w:eastAsia="Arial" w:hAnsi="Arial"/>
                <w:sz w:val="8"/>
                <w:szCs w:val="8"/>
                <w:b w:val="1"/>
                <w:bCs w:val="1"/>
                <w:color w:val="auto"/>
              </w:rPr>
              <w:t>1</w:t>
            </w: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3</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32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1,099</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1,112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101.1%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2,343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2,377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2,369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101.7%</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3.51%</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2.45%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4,594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4,679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4,704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102.2%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2,257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2,320</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2,335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47%</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103.2%</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4.59%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3.10%</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100%</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102.2%</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6.59%</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4.60%</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138</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10,445</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10,646</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10,662</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102.1%</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3.85%</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2.67%</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44</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101.9%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202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208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210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103.3%</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4.44%</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3.26%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105.0%</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5.00%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105.5%</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5.94%</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3.33%</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132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17%</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20-year: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731</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755</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89%</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103.3%</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4.46%</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3.16%</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46</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3,012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2,996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3,005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100.1%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3.58%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30,221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31,022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30,806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51%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102.9%</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4.07%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3.07%</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35,956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37,272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37,419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103.6%</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4.57%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3.39%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15,640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16,352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16,587</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73%</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104.8%</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5.00%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3.61%</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106.5%</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5.53%</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3.72%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79</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78</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50%</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110.0%</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6.18%</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149</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0"/>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85,029</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87,858</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88,034</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61%</w:t>
            </w:r>
          </w:p>
        </w:tc>
        <w:tc>
          <w:tcPr>
            <w:tcW w:w="22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103.5%</w:t>
            </w:r>
          </w:p>
        </w:tc>
        <w:tc>
          <w:tcPr>
            <w:tcW w:w="100" w:type="dxa"/>
            <w:vAlign w:val="bottom"/>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4.45%</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3.31%</w:t>
            </w: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96,205</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99,259</w:t>
            </w:r>
          </w:p>
        </w:tc>
        <w:tc>
          <w:tcPr>
            <w:tcW w:w="12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99,457</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103.3%</w:t>
            </w:r>
          </w:p>
        </w:tc>
        <w:tc>
          <w:tcPr>
            <w:tcW w:w="100" w:type="dxa"/>
            <w:vAlign w:val="bottom"/>
          </w:tcPr>
          <w:p>
            <w:pPr>
              <w:spacing w:after="0"/>
              <w:rPr>
                <w:sz w:val="21"/>
                <w:szCs w:val="21"/>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4.41%</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3.26%</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29</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23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jc w:val="both"/>
        <w:ind w:left="660" w:hanging="328"/>
        <w:spacing w:after="0" w:line="241" w:lineRule="auto"/>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Specified pools include pools backed by lower balance loans with original loan balances of up to $200K, HARP pools as defined as pools backed by 100% refinance loans with original LTVs ≥ 80% issued between May 2009 and September 2017, and pools backed by loans 100% originated in New York and Puerto Rico. As of March 31, 2019, lower balance specified pools have a weighted average original loan balance of $111,000 and $117,000 for 15-year and 30-year securities, respectively, and HARP specified pools have a weighted average original LTV of 119% and 136% for 15-year and 30-year securities, respectively.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March 31, 2019.</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746" w:right="2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December 31, 2018</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82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20" w:type="dxa"/>
            <w:vAlign w:val="bottom"/>
            <w:vMerge w:val="restart"/>
          </w:tcPr>
          <w:p>
            <w:pPr>
              <w:ind w:left="180"/>
              <w:spacing w:after="0" w:line="139" w:lineRule="exact"/>
              <w:rPr>
                <w:sz w:val="20"/>
                <w:szCs w:val="20"/>
                <w:color w:val="auto"/>
              </w:rPr>
            </w:pPr>
            <w:r>
              <w:rPr>
                <w:rFonts w:ascii="Arial" w:cs="Arial" w:eastAsia="Arial" w:hAnsi="Arial"/>
                <w:sz w:val="14"/>
                <w:szCs w:val="14"/>
                <w:b w:val="1"/>
                <w:bCs w:val="1"/>
                <w:color w:val="auto"/>
                <w:w w:val="99"/>
              </w:rPr>
              <w:t>Specified</w:t>
            </w: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20" w:type="dxa"/>
            <w:vAlign w:val="bottom"/>
            <w:gridSpan w:val="2"/>
            <w:vMerge w:val="restart"/>
          </w:tcPr>
          <w:p>
            <w:pPr>
              <w:jc w:val="center"/>
              <w:ind w:right="100"/>
              <w:spacing w:after="0" w:line="139" w:lineRule="exact"/>
              <w:rPr>
                <w:sz w:val="20"/>
                <w:szCs w:val="20"/>
                <w:color w:val="auto"/>
              </w:rPr>
            </w:pPr>
            <w:r>
              <w:rPr>
                <w:rFonts w:ascii="Arial" w:cs="Arial" w:eastAsia="Arial" w:hAnsi="Arial"/>
                <w:sz w:val="14"/>
                <w:szCs w:val="14"/>
                <w:b w:val="1"/>
                <w:bCs w:val="1"/>
                <w:color w:val="auto"/>
                <w:w w:val="96"/>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82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2</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2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 xml:space="preserve">Pool % </w:t>
            </w:r>
            <w:r>
              <w:rPr>
                <w:rFonts w:ascii="Arial" w:cs="Arial" w:eastAsia="Arial" w:hAnsi="Arial"/>
                <w:sz w:val="8"/>
                <w:szCs w:val="8"/>
                <w:b w:val="1"/>
                <w:bCs w:val="1"/>
                <w:color w:val="auto"/>
              </w:rPr>
              <w:t>1</w:t>
            </w:r>
          </w:p>
        </w:tc>
        <w:tc>
          <w:tcPr>
            <w:tcW w:w="8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3</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58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1,157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1,139</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75%</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101.2%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2,651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2,677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2,650</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75%</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101.7%</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3.51%</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2.44%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4,444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4,498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4,502</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43%</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101.9%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2,449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2,507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2,509</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40%</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165</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99%</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104.0%</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99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4"/>
              </w:rPr>
              <w:t>100%</w:t>
            </w:r>
          </w:p>
        </w:tc>
        <w:tc>
          <w:tcPr>
            <w:tcW w:w="8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102.4%</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6.55%</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4.57%</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134</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10,863</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11,021</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10,967</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54%</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102.0%</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3.82%</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2.68%</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46</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318</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80%</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102.0%</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206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214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213</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91%</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103.4%</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3.28%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241</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4"/>
              </w:rPr>
              <w:t>100%</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105.2%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5.00%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3.35%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8"/>
              </w:rPr>
              <w:t>—%</w:t>
            </w:r>
          </w:p>
        </w:tc>
        <w:tc>
          <w:tcPr>
            <w:tcW w:w="8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105.7%</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5.94%</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128</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20-year: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752</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778</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774</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89%</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103.4%</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4.46%</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3.19%</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44</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3,178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3,133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3,108</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28"/>
              <w:spacing w:after="0"/>
              <w:rPr>
                <w:sz w:val="20"/>
                <w:szCs w:val="20"/>
                <w:color w:val="auto"/>
              </w:rPr>
            </w:pPr>
            <w:r>
              <w:rPr>
                <w:rFonts w:ascii="Arial" w:cs="Arial" w:eastAsia="Arial" w:hAnsi="Arial"/>
                <w:sz w:val="14"/>
                <w:szCs w:val="14"/>
                <w:color w:val="auto"/>
                <w:w w:val="98"/>
              </w:rPr>
              <w:t>3%</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100.1%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3.58%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22,410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23,258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22,496</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71%</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103.2%</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4.06%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37,230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38,564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38,147</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61%</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103.8%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4.54%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3.44%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12,777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13,319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13,361</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69%</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104.7%</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4.99%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3.75%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142</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28"/>
              <w:spacing w:after="0"/>
              <w:rPr>
                <w:sz w:val="20"/>
                <w:szCs w:val="20"/>
                <w:color w:val="auto"/>
              </w:rPr>
            </w:pPr>
            <w:r>
              <w:rPr>
                <w:rFonts w:ascii="Arial" w:cs="Arial" w:eastAsia="Arial" w:hAnsi="Arial"/>
                <w:sz w:val="14"/>
                <w:szCs w:val="14"/>
                <w:color w:val="auto"/>
                <w:w w:val="89"/>
              </w:rPr>
              <w:t>117%</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106.8%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5.53%</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3.80%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83</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80</w:t>
            </w:r>
          </w:p>
        </w:tc>
        <w:tc>
          <w:tcPr>
            <w:tcW w:w="1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2"/>
              </w:rPr>
              <w:t>49%</w:t>
            </w:r>
          </w:p>
        </w:tc>
        <w:tc>
          <w:tcPr>
            <w:tcW w:w="8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110.5%</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6.17%</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3.35%</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147</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50"/>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75,803</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78,500</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77,334</w:t>
            </w:r>
          </w:p>
        </w:tc>
        <w:tc>
          <w:tcPr>
            <w:tcW w:w="100" w:type="dxa"/>
            <w:vAlign w:val="bottom"/>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center"/>
              <w:ind w:left="8"/>
              <w:spacing w:after="0"/>
              <w:rPr>
                <w:sz w:val="20"/>
                <w:szCs w:val="20"/>
                <w:color w:val="auto"/>
              </w:rPr>
            </w:pPr>
            <w:r>
              <w:rPr>
                <w:rFonts w:ascii="Arial" w:cs="Arial" w:eastAsia="Arial" w:hAnsi="Arial"/>
                <w:sz w:val="14"/>
                <w:szCs w:val="14"/>
                <w:color w:val="auto"/>
                <w:w w:val="92"/>
              </w:rPr>
              <w:t>63%</w:t>
            </w:r>
          </w:p>
        </w:tc>
        <w:tc>
          <w:tcPr>
            <w:tcW w:w="80" w:type="dxa"/>
            <w:vAlign w:val="bottom"/>
            <w:tcBorders>
              <w:bottom w:val="single" w:sz="8" w:color="auto"/>
            </w:tcBorders>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103.6%</w:t>
            </w:r>
          </w:p>
        </w:tc>
        <w:tc>
          <w:tcPr>
            <w:tcW w:w="100" w:type="dxa"/>
            <w:vAlign w:val="bottom"/>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4.41%</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3.34%</w:t>
            </w: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87,418</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90,299</w:t>
            </w:r>
          </w:p>
        </w:tc>
        <w:tc>
          <w:tcPr>
            <w:tcW w:w="12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89,075</w:t>
            </w:r>
          </w:p>
        </w:tc>
        <w:tc>
          <w:tcPr>
            <w:tcW w:w="100" w:type="dxa"/>
            <w:vAlign w:val="bottom"/>
          </w:tcPr>
          <w:p>
            <w:pPr>
              <w:spacing w:after="0"/>
              <w:rPr>
                <w:sz w:val="21"/>
                <w:szCs w:val="21"/>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62%</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1"/>
                <w:szCs w:val="21"/>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4.36%</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3.28%</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30</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23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980" w:right="20" w:hanging="648"/>
        <w:spacing w:after="0" w:line="247"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See Note 1 in table above for specified pool composition. As of December 31, 2018, lower balance specified pools have a weighted average original loan balance of $102,000 and $113,000 for 15-year and 30-year securities, respectively, and HARP specified pools have a weighted average original LTV of 119% and 136% for 15-year and 30-year securities, respectively.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December 31, 2018.</w:t>
      </w:r>
    </w:p>
    <w:p>
      <w:pPr>
        <w:spacing w:after="0" w:line="15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March 31, 2019 and December 31, 2018, our investments in CRT and non-Agency securities had the following credit ratings: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March 31, 2019</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2018</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CMBS</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156</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AA</w:t>
            </w:r>
          </w:p>
        </w:tc>
        <w:tc>
          <w:tcPr>
            <w:tcW w:w="260" w:type="dxa"/>
            <w:vAlign w:val="bottom"/>
          </w:tcPr>
          <w:p>
            <w:pPr>
              <w:spacing w:after="0"/>
              <w:rPr>
                <w:sz w:val="22"/>
                <w:szCs w:val="22"/>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190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54</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58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600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453</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46</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1,129</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319</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353</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1,012</w:t>
            </w:r>
          </w:p>
        </w:tc>
        <w:tc>
          <w:tcPr>
            <w:tcW w:w="3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282</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CRT securities reference the performance of loans underlying Agency RMBS issued by Fannie Mae or Freddie Mac, which were subject to their underwriting standards. As of March 31, 2019, our CRT securities had floating and fixed rate coupons ranging from 3.0% to 8.8%, referenced to loans originated between 2011 and 2018 with weighted average coupons ranging from</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968" w:right="239" w:bottom="1440" w:gutter="0" w:footer="0" w:header="0"/>
        </w:sectPr>
      </w:pPr>
    </w:p>
    <w:bookmarkStart w:id="30" w:name="page31"/>
    <w:bookmarkEnd w:id="30"/>
    <w:p>
      <w:pPr>
        <w:spacing w:after="0"/>
        <w:rPr>
          <w:sz w:val="20"/>
          <w:szCs w:val="20"/>
          <w:color w:val="auto"/>
        </w:rPr>
      </w:pPr>
      <w:r>
        <w:rPr>
          <w:rFonts w:ascii="Arial" w:cs="Arial" w:eastAsia="Arial" w:hAnsi="Arial"/>
          <w:sz w:val="16"/>
          <w:szCs w:val="16"/>
          <w:color w:val="auto"/>
        </w:rPr>
        <w:t>3.7% to 4.9%. As of December 31, 2018, our CRT securities had floating rate coupons ranging from 3.9% to 9.5%, referenced to loans originated between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2011 and 2018 with weighted average coupons ranging from 3.8% to 4.8%.</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In addition to the results presented in accordance with GAAP, our results of operations discussed below include certain non-GAAP financial information, including "economic interest income," "economic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spread."</w:t>
      </w:r>
    </w:p>
    <w:p>
      <w:pPr>
        <w:spacing w:after="0" w:line="133" w:lineRule="exact"/>
        <w:rPr>
          <w:sz w:val="20"/>
          <w:szCs w:val="20"/>
          <w:color w:val="auto"/>
        </w:rPr>
      </w:pPr>
    </w:p>
    <w:p>
      <w:pPr>
        <w:jc w:val="both"/>
        <w:ind w:firstLine="486"/>
        <w:spacing w:after="0" w:line="291" w:lineRule="auto"/>
        <w:rPr>
          <w:sz w:val="20"/>
          <w:szCs w:val="20"/>
          <w:color w:val="auto"/>
        </w:rPr>
      </w:pPr>
      <w:r>
        <w:rPr>
          <w:rFonts w:ascii="Arial" w:cs="Arial" w:eastAsia="Arial" w:hAnsi="Arial"/>
          <w:sz w:val="16"/>
          <w:szCs w:val="16"/>
          <w:color w:val="auto"/>
        </w:rPr>
        <w:t>"Economic interest income" is measured as interest income (GAAP measure), adjusted (i) to exclude "catch-up" premium amortization associated with changes in CPR estimates and (ii) to include TBA dollar roll implied interest income. "Economic interest expense" is measured as interest expense (GAAP measure) adjusted to include TBA dollar roll implied interest expense and interest rate swap periodic income/(cost). "Net spread and dollar roll income, excluding "catch-up" premium amortization" includes (i) the components of economic interest income and economic interest expense and other miscellaneous dividend and interest income (referred to as "adjusted net interest and dollar roll income"), less (ii) total operating expenses (GAAP measure), net of management fee income (GAAP measure), adjusted, as applicable, to exclude one-time expenses and non-recurring termination fee income recognized in connection with the sale of MTGE Investment Corp. and corresponding termination of the Company's management agreement with MTGE.</w:t>
      </w:r>
    </w:p>
    <w:p>
      <w:pPr>
        <w:spacing w:after="0" w:line="113"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33" w:lineRule="exact"/>
        <w:rPr>
          <w:sz w:val="20"/>
          <w:szCs w:val="20"/>
          <w:color w:val="auto"/>
        </w:rPr>
      </w:pPr>
    </w:p>
    <w:p>
      <w:pPr>
        <w:jc w:val="both"/>
        <w:ind w:firstLine="486"/>
        <w:spacing w:after="0" w:line="270" w:lineRule="auto"/>
        <w:rPr>
          <w:sz w:val="20"/>
          <w:szCs w:val="20"/>
          <w:color w:val="auto"/>
        </w:rPr>
      </w:pPr>
      <w:r>
        <w:rPr>
          <w:rFonts w:ascii="Arial" w:cs="Arial" w:eastAsia="Arial" w:hAnsi="Arial"/>
          <w:sz w:val="17"/>
          <w:szCs w:val="17"/>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"economic interest expense" is meaningful as interest rate swaps are the primary instrument we use to economically hedge against fluctuations in our borrowing costs and it is more indicative of our total cost of funds than interest expense alone. In the case of "economic interest income" and "net spread and dollar roll income, excluding 'catch-up' premium amortization," we believe the exclusion of "catch-up" adjustments to premium amortization cost or benefit is meaningful as it excludes the cumulative effect from prior reporting periods due to current changes in future prepayment expectations and, therefore, exclusion of such cost or benefit is more indicative of the current earnings potential of our investment portfolio. In the case of estimated taxable income, we believe it is meaningful information because it directly relates to the amount of dividends we are required to distribute to maintain our REIT qualification status.</w:t>
      </w:r>
    </w:p>
    <w:p>
      <w:pPr>
        <w:spacing w:after="0" w:line="124"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Selected Financial Data</w:t>
      </w:r>
    </w:p>
    <w:p>
      <w:pPr>
        <w:spacing w:after="0" w:line="225" w:lineRule="exact"/>
        <w:rPr>
          <w:sz w:val="20"/>
          <w:szCs w:val="20"/>
          <w:color w:val="auto"/>
        </w:rPr>
      </w:pPr>
    </w:p>
    <w:p>
      <w:pPr>
        <w:jc w:val="both"/>
        <w:ind w:right="20" w:firstLine="432"/>
        <w:spacing w:after="0" w:line="286" w:lineRule="auto"/>
        <w:rPr>
          <w:sz w:val="20"/>
          <w:szCs w:val="20"/>
          <w:color w:val="auto"/>
        </w:rPr>
      </w:pPr>
      <w:r>
        <w:rPr>
          <w:rFonts w:ascii="Arial" w:cs="Arial" w:eastAsia="Arial" w:hAnsi="Arial"/>
          <w:sz w:val="17"/>
          <w:szCs w:val="17"/>
          <w:color w:val="auto"/>
        </w:rPr>
        <w:t>The following selected financial data is derived from our interim consolidated financial statements and the notes thereto. The tables below present our condensed consolidated balance sheets as of March 31, 2019 and December 31, 2018 and our condensed consolidated statements of comprehensive income and key statistics for the three months ended March 31, 2019 and 2018 (in millions, except per share amounts):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584" w:right="239" w:bottom="1440" w:gutter="0" w:footer="0" w:header="0"/>
        </w:sectPr>
      </w:pPr>
    </w:p>
    <w:bookmarkStart w:id="31" w:name="page32"/>
    <w:bookmarkEnd w:id="31"/>
    <w:tbl>
      <w:tblPr>
        <w:tblLayout w:type="fixed"/>
        <w:tblInd w:w="80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7160" w:type="dxa"/>
            <w:vAlign w:val="bottom"/>
            <w:gridSpan w:val="3"/>
          </w:tcPr>
          <w:p>
            <w:pPr>
              <w:ind w:left="20"/>
              <w:spacing w:after="0"/>
              <w:rPr>
                <w:sz w:val="20"/>
                <w:szCs w:val="20"/>
                <w:color w:val="auto"/>
              </w:rPr>
            </w:pPr>
            <w:r>
              <w:rPr>
                <w:rFonts w:ascii="Arial" w:cs="Arial" w:eastAsia="Arial" w:hAnsi="Arial"/>
                <w:sz w:val="14"/>
                <w:szCs w:val="14"/>
                <w:b w:val="1"/>
                <w:bCs w:val="1"/>
                <w:color w:val="auto"/>
              </w:rPr>
              <w:t>($ in Millions, Except Per Share Amounts)</w:t>
            </w:r>
          </w:p>
        </w:tc>
        <w:tc>
          <w:tcPr>
            <w:tcW w:w="1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76"/>
        </w:trPr>
        <w:tc>
          <w:tcPr>
            <w:tcW w:w="20" w:type="dxa"/>
            <w:vAlign w:val="bottom"/>
          </w:tcPr>
          <w:p>
            <w:pPr>
              <w:spacing w:after="0"/>
              <w:rPr>
                <w:sz w:val="24"/>
                <w:szCs w:val="24"/>
                <w:color w:val="auto"/>
              </w:rPr>
            </w:pPr>
          </w:p>
        </w:tc>
        <w:tc>
          <w:tcPr>
            <w:tcW w:w="70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Balance Sheet Data</w:t>
            </w:r>
          </w:p>
        </w:tc>
        <w:tc>
          <w:tcPr>
            <w:tcW w:w="120" w:type="dxa"/>
            <w:vAlign w:val="bottom"/>
            <w:gridSpan w:val="2"/>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w w:val="94"/>
              </w:rPr>
              <w:t>March 31, 2019</w:t>
            </w:r>
          </w:p>
        </w:tc>
        <w:tc>
          <w:tcPr>
            <w:tcW w:w="120" w:type="dxa"/>
            <w:vAlign w:val="bottom"/>
            <w:gridSpan w:val="2"/>
          </w:tcPr>
          <w:p>
            <w:pPr>
              <w:spacing w:after="0"/>
              <w:rPr>
                <w:sz w:val="24"/>
                <w:szCs w:val="24"/>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3"/>
              </w:rPr>
              <w:t>December 31, 2018</w:t>
            </w:r>
          </w:p>
        </w:tc>
        <w:tc>
          <w:tcPr>
            <w:tcW w:w="20" w:type="dxa"/>
            <w:vAlign w:val="bottom"/>
          </w:tcPr>
          <w:p>
            <w:pPr>
              <w:spacing w:after="0"/>
              <w:rPr>
                <w:sz w:val="24"/>
                <w:szCs w:val="24"/>
                <w:color w:val="auto"/>
              </w:rPr>
            </w:pPr>
          </w:p>
        </w:tc>
      </w:tr>
      <w:tr>
        <w:trPr>
          <w:trHeight w:val="223"/>
        </w:trPr>
        <w:tc>
          <w:tcPr>
            <w:tcW w:w="20" w:type="dxa"/>
            <w:vAlign w:val="bottom"/>
          </w:tcPr>
          <w:p>
            <w:pPr>
              <w:spacing w:after="0"/>
              <w:rPr>
                <w:sz w:val="19"/>
                <w:szCs w:val="19"/>
                <w:color w:val="auto"/>
              </w:rPr>
            </w:pPr>
          </w:p>
        </w:tc>
        <w:tc>
          <w:tcPr>
            <w:tcW w:w="7160" w:type="dxa"/>
            <w:vAlign w:val="bottom"/>
            <w:gridSpan w:val="3"/>
          </w:tcPr>
          <w:p>
            <w:pPr>
              <w:ind w:left="20"/>
              <w:spacing w:after="0"/>
              <w:rPr>
                <w:sz w:val="20"/>
                <w:szCs w:val="20"/>
                <w:color w:val="auto"/>
              </w:rPr>
            </w:pPr>
            <w:r>
              <w:rPr>
                <w:rFonts w:ascii="Arial" w:cs="Arial" w:eastAsia="Arial" w:hAnsi="Arial"/>
                <w:sz w:val="16"/>
                <w:szCs w:val="16"/>
                <w:color w:val="auto"/>
              </w:rPr>
              <w:t>Investment securities, at fair value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95,270</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84,287</w:t>
            </w:r>
          </w:p>
        </w:tc>
        <w:tc>
          <w:tcPr>
            <w:tcW w:w="20" w:type="dxa"/>
            <w:vAlign w:val="bottom"/>
          </w:tcPr>
          <w:p>
            <w:pPr>
              <w:spacing w:after="0"/>
              <w:rPr>
                <w:sz w:val="19"/>
                <w:szCs w:val="19"/>
                <w:color w:val="auto"/>
              </w:rPr>
            </w:pPr>
          </w:p>
        </w:tc>
      </w:tr>
      <w:tr>
        <w:trPr>
          <w:trHeight w:val="33"/>
        </w:trPr>
        <w:tc>
          <w:tcPr>
            <w:tcW w:w="20" w:type="dxa"/>
            <w:vAlign w:val="bottom"/>
          </w:tcPr>
          <w:p>
            <w:pPr>
              <w:spacing w:after="0"/>
              <w:rPr>
                <w:sz w:val="2"/>
                <w:szCs w:val="2"/>
                <w:color w:val="auto"/>
              </w:rPr>
            </w:pPr>
          </w:p>
        </w:tc>
        <w:tc>
          <w:tcPr>
            <w:tcW w:w="7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71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6"/>
                <w:szCs w:val="16"/>
                <w:color w:val="auto"/>
              </w:rPr>
              <w:t>Total assets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118,807</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109,241</w:t>
            </w:r>
          </w:p>
        </w:tc>
        <w:tc>
          <w:tcPr>
            <w:tcW w:w="20" w:type="dxa"/>
            <w:vAlign w:val="bottom"/>
          </w:tcPr>
          <w:p>
            <w:pPr>
              <w:spacing w:after="0"/>
              <w:rPr>
                <w:sz w:val="21"/>
                <w:szCs w:val="21"/>
                <w:color w:val="auto"/>
              </w:rPr>
            </w:pPr>
          </w:p>
        </w:tc>
      </w:tr>
      <w:tr>
        <w:trPr>
          <w:trHeight w:val="237"/>
        </w:trPr>
        <w:tc>
          <w:tcPr>
            <w:tcW w:w="20" w:type="dxa"/>
            <w:vAlign w:val="bottom"/>
          </w:tcPr>
          <w:p>
            <w:pPr>
              <w:spacing w:after="0"/>
              <w:rPr>
                <w:sz w:val="20"/>
                <w:szCs w:val="20"/>
                <w:color w:val="auto"/>
              </w:rPr>
            </w:pPr>
          </w:p>
        </w:tc>
        <w:tc>
          <w:tcPr>
            <w:tcW w:w="7160" w:type="dxa"/>
            <w:vAlign w:val="bottom"/>
            <w:gridSpan w:val="3"/>
          </w:tcPr>
          <w:p>
            <w:pPr>
              <w:ind w:left="20"/>
              <w:spacing w:after="0"/>
              <w:rPr>
                <w:sz w:val="20"/>
                <w:szCs w:val="20"/>
                <w:color w:val="auto"/>
              </w:rPr>
            </w:pPr>
            <w:r>
              <w:rPr>
                <w:rFonts w:ascii="Arial" w:cs="Arial" w:eastAsia="Arial" w:hAnsi="Arial"/>
                <w:sz w:val="16"/>
                <w:szCs w:val="16"/>
                <w:color w:val="auto"/>
              </w:rPr>
              <w:t>Repurchase agreements and other debt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86,951</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75,992</w:t>
            </w:r>
          </w:p>
        </w:tc>
        <w:tc>
          <w:tcPr>
            <w:tcW w:w="20" w:type="dxa"/>
            <w:vAlign w:val="bottom"/>
          </w:tcPr>
          <w:p>
            <w:pPr>
              <w:spacing w:after="0"/>
              <w:rPr>
                <w:sz w:val="20"/>
                <w:szCs w:val="20"/>
                <w:color w:val="auto"/>
              </w:rPr>
            </w:pPr>
          </w:p>
        </w:tc>
      </w:tr>
      <w:tr>
        <w:trPr>
          <w:trHeight w:val="33"/>
        </w:trPr>
        <w:tc>
          <w:tcPr>
            <w:tcW w:w="20" w:type="dxa"/>
            <w:vAlign w:val="bottom"/>
          </w:tcPr>
          <w:p>
            <w:pPr>
              <w:spacing w:after="0"/>
              <w:rPr>
                <w:sz w:val="2"/>
                <w:szCs w:val="2"/>
                <w:color w:val="auto"/>
              </w:rPr>
            </w:pPr>
          </w:p>
        </w:tc>
        <w:tc>
          <w:tcPr>
            <w:tcW w:w="7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71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6"/>
                <w:szCs w:val="16"/>
                <w:color w:val="auto"/>
              </w:rPr>
              <w:t>Total liabilities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108,306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99,335</w:t>
            </w:r>
          </w:p>
        </w:tc>
        <w:tc>
          <w:tcPr>
            <w:tcW w:w="20" w:type="dxa"/>
            <w:vAlign w:val="bottom"/>
          </w:tcPr>
          <w:p>
            <w:pPr>
              <w:spacing w:after="0"/>
              <w:rPr>
                <w:sz w:val="21"/>
                <w:szCs w:val="21"/>
                <w:color w:val="auto"/>
              </w:rPr>
            </w:pPr>
          </w:p>
        </w:tc>
      </w:tr>
      <w:tr>
        <w:trPr>
          <w:trHeight w:val="237"/>
        </w:trPr>
        <w:tc>
          <w:tcPr>
            <w:tcW w:w="20" w:type="dxa"/>
            <w:vAlign w:val="bottom"/>
          </w:tcPr>
          <w:p>
            <w:pPr>
              <w:spacing w:after="0"/>
              <w:rPr>
                <w:sz w:val="20"/>
                <w:szCs w:val="20"/>
                <w:color w:val="auto"/>
              </w:rPr>
            </w:pPr>
          </w:p>
        </w:tc>
        <w:tc>
          <w:tcPr>
            <w:tcW w:w="7160" w:type="dxa"/>
            <w:vAlign w:val="bottom"/>
            <w:gridSpan w:val="3"/>
          </w:tcPr>
          <w:p>
            <w:pPr>
              <w:ind w:left="20"/>
              <w:spacing w:after="0"/>
              <w:rPr>
                <w:sz w:val="20"/>
                <w:szCs w:val="20"/>
                <w:color w:val="auto"/>
              </w:rPr>
            </w:pPr>
            <w:r>
              <w:rPr>
                <w:rFonts w:ascii="Arial" w:cs="Arial" w:eastAsia="Arial" w:hAnsi="Arial"/>
                <w:sz w:val="16"/>
                <w:szCs w:val="16"/>
                <w:color w:val="auto"/>
              </w:rPr>
              <w:t>Total stockholders' equity</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10,501</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9,906</w:t>
            </w:r>
          </w:p>
        </w:tc>
        <w:tc>
          <w:tcPr>
            <w:tcW w:w="20" w:type="dxa"/>
            <w:vAlign w:val="bottom"/>
          </w:tcPr>
          <w:p>
            <w:pPr>
              <w:spacing w:after="0"/>
              <w:rPr>
                <w:sz w:val="20"/>
                <w:szCs w:val="20"/>
                <w:color w:val="auto"/>
              </w:rPr>
            </w:pPr>
          </w:p>
        </w:tc>
      </w:tr>
      <w:tr>
        <w:trPr>
          <w:trHeight w:val="33"/>
        </w:trPr>
        <w:tc>
          <w:tcPr>
            <w:tcW w:w="20" w:type="dxa"/>
            <w:vAlign w:val="bottom"/>
          </w:tcPr>
          <w:p>
            <w:pPr>
              <w:spacing w:after="0"/>
              <w:rPr>
                <w:sz w:val="2"/>
                <w:szCs w:val="2"/>
                <w:color w:val="auto"/>
              </w:rPr>
            </w:pPr>
          </w:p>
        </w:tc>
        <w:tc>
          <w:tcPr>
            <w:tcW w:w="7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70"/>
        </w:trPr>
        <w:tc>
          <w:tcPr>
            <w:tcW w:w="20" w:type="dxa"/>
            <w:vAlign w:val="bottom"/>
          </w:tcPr>
          <w:p>
            <w:pPr>
              <w:spacing w:after="0"/>
              <w:rPr>
                <w:sz w:val="23"/>
                <w:szCs w:val="23"/>
                <w:color w:val="auto"/>
              </w:rPr>
            </w:pPr>
          </w:p>
        </w:tc>
        <w:tc>
          <w:tcPr>
            <w:tcW w:w="7160" w:type="dxa"/>
            <w:vAlign w:val="bottom"/>
            <w:gridSpan w:val="3"/>
            <w:shd w:val="clear" w:color="auto" w:fill="CCEEFF"/>
          </w:tcPr>
          <w:p>
            <w:pPr>
              <w:ind w:left="20"/>
              <w:spacing w:after="0"/>
              <w:rPr>
                <w:sz w:val="20"/>
                <w:szCs w:val="20"/>
                <w:color w:val="auto"/>
              </w:rPr>
            </w:pPr>
            <w:r>
              <w:rPr>
                <w:rFonts w:ascii="Arial" w:cs="Arial" w:eastAsia="Arial" w:hAnsi="Arial"/>
                <w:sz w:val="16"/>
                <w:szCs w:val="16"/>
                <w:color w:val="auto"/>
              </w:rPr>
              <w:t xml:space="preserve">Net book value per common share </w:t>
            </w:r>
            <w:r>
              <w:rPr>
                <w:rFonts w:ascii="Arial" w:cs="Arial" w:eastAsia="Arial" w:hAnsi="Arial"/>
                <w:sz w:val="21"/>
                <w:szCs w:val="21"/>
                <w:color w:val="auto"/>
                <w:vertAlign w:val="superscript"/>
              </w:rPr>
              <w:t>1</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18.21</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80" w:type="dxa"/>
            <w:vAlign w:val="bottom"/>
            <w:shd w:val="clear" w:color="auto" w:fill="CCEEFF"/>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17.54</w:t>
            </w:r>
          </w:p>
        </w:tc>
        <w:tc>
          <w:tcPr>
            <w:tcW w:w="20" w:type="dxa"/>
            <w:vAlign w:val="bottom"/>
          </w:tcPr>
          <w:p>
            <w:pPr>
              <w:spacing w:after="0"/>
              <w:rPr>
                <w:sz w:val="23"/>
                <w:szCs w:val="23"/>
                <w:color w:val="auto"/>
              </w:rPr>
            </w:pPr>
          </w:p>
        </w:tc>
      </w:tr>
      <w:tr>
        <w:trPr>
          <w:trHeight w:val="311"/>
        </w:trPr>
        <w:tc>
          <w:tcPr>
            <w:tcW w:w="20" w:type="dxa"/>
            <w:vAlign w:val="bottom"/>
          </w:tcPr>
          <w:p>
            <w:pPr>
              <w:spacing w:after="0"/>
              <w:rPr>
                <w:sz w:val="24"/>
                <w:szCs w:val="24"/>
                <w:color w:val="auto"/>
              </w:rPr>
            </w:pPr>
          </w:p>
        </w:tc>
        <w:tc>
          <w:tcPr>
            <w:tcW w:w="7160" w:type="dxa"/>
            <w:vAlign w:val="bottom"/>
            <w:gridSpan w:val="3"/>
          </w:tcPr>
          <w:p>
            <w:pPr>
              <w:ind w:left="20"/>
              <w:spacing w:after="0"/>
              <w:rPr>
                <w:sz w:val="20"/>
                <w:szCs w:val="20"/>
                <w:color w:val="auto"/>
              </w:rPr>
            </w:pPr>
            <w:r>
              <w:rPr>
                <w:rFonts w:ascii="Arial" w:cs="Arial" w:eastAsia="Arial" w:hAnsi="Arial"/>
                <w:sz w:val="16"/>
                <w:szCs w:val="16"/>
                <w:color w:val="auto"/>
              </w:rPr>
              <w:t xml:space="preserve">Tangible net book value per common share </w:t>
            </w:r>
            <w:r>
              <w:rPr>
                <w:rFonts w:ascii="Arial" w:cs="Arial" w:eastAsia="Arial" w:hAnsi="Arial"/>
                <w:sz w:val="21"/>
                <w:szCs w:val="21"/>
                <w:color w:val="auto"/>
                <w:vertAlign w:val="superscript"/>
              </w:rPr>
              <w:t>2</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17.23</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16.56</w:t>
            </w:r>
          </w:p>
        </w:tc>
        <w:tc>
          <w:tcPr>
            <w:tcW w:w="20" w:type="dxa"/>
            <w:vAlign w:val="bottom"/>
          </w:tcPr>
          <w:p>
            <w:pPr>
              <w:spacing w:after="0"/>
              <w:rPr>
                <w:sz w:val="24"/>
                <w:szCs w:val="24"/>
                <w:color w:val="auto"/>
              </w:rPr>
            </w:pPr>
          </w:p>
        </w:tc>
      </w:tr>
      <w:tr>
        <w:trPr>
          <w:trHeight w:val="358"/>
        </w:trPr>
        <w:tc>
          <w:tcPr>
            <w:tcW w:w="20" w:type="dxa"/>
            <w:vAlign w:val="bottom"/>
          </w:tcPr>
          <w:p>
            <w:pPr>
              <w:spacing w:after="0"/>
              <w:rPr>
                <w:sz w:val="24"/>
                <w:szCs w:val="24"/>
                <w:color w:val="auto"/>
              </w:rPr>
            </w:pPr>
          </w:p>
        </w:tc>
        <w:tc>
          <w:tcPr>
            <w:tcW w:w="7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gridSpan w:val="5"/>
          </w:tcPr>
          <w:p>
            <w:pPr>
              <w:jc w:val="right"/>
              <w:ind w:right="159"/>
              <w:spacing w:after="0"/>
              <w:rPr>
                <w:sz w:val="20"/>
                <w:szCs w:val="20"/>
                <w:color w:val="auto"/>
              </w:rPr>
            </w:pPr>
            <w:r>
              <w:rPr>
                <w:rFonts w:ascii="Arial" w:cs="Arial" w:eastAsia="Arial" w:hAnsi="Arial"/>
                <w:sz w:val="14"/>
                <w:szCs w:val="14"/>
                <w:b w:val="1"/>
                <w:bCs w:val="1"/>
                <w:color w:val="auto"/>
              </w:rPr>
              <w:t>Three Months Ended March 31,</w:t>
            </w:r>
          </w:p>
        </w:tc>
        <w:tc>
          <w:tcPr>
            <w:tcW w:w="20" w:type="dxa"/>
            <w:vAlign w:val="bottom"/>
          </w:tcPr>
          <w:p>
            <w:pPr>
              <w:spacing w:after="0"/>
              <w:rPr>
                <w:sz w:val="24"/>
                <w:szCs w:val="24"/>
                <w:color w:val="auto"/>
              </w:rPr>
            </w:pPr>
          </w:p>
        </w:tc>
      </w:tr>
      <w:tr>
        <w:trPr>
          <w:trHeight w:val="264"/>
        </w:trPr>
        <w:tc>
          <w:tcPr>
            <w:tcW w:w="20" w:type="dxa"/>
            <w:vAlign w:val="bottom"/>
          </w:tcPr>
          <w:p>
            <w:pPr>
              <w:spacing w:after="0"/>
              <w:rPr>
                <w:sz w:val="22"/>
                <w:szCs w:val="22"/>
                <w:color w:val="auto"/>
              </w:rPr>
            </w:pPr>
          </w:p>
        </w:tc>
        <w:tc>
          <w:tcPr>
            <w:tcW w:w="70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Statement of Comprehensive Income Data</w:t>
            </w:r>
          </w:p>
        </w:tc>
        <w:tc>
          <w:tcPr>
            <w:tcW w:w="120" w:type="dxa"/>
            <w:vAlign w:val="bottom"/>
            <w:tcBorders>
              <w:bottom w:val="single" w:sz="8" w:color="CCEEFF"/>
            </w:tcBorders>
            <w:gridSpan w:val="2"/>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c>
          <w:tcPr>
            <w:tcW w:w="20" w:type="dxa"/>
            <w:vAlign w:val="bottom"/>
          </w:tcPr>
          <w:p>
            <w:pPr>
              <w:spacing w:after="0"/>
              <w:rPr>
                <w:sz w:val="22"/>
                <w:szCs w:val="22"/>
                <w:color w:val="auto"/>
              </w:rPr>
            </w:pPr>
          </w:p>
        </w:tc>
      </w:tr>
      <w:tr>
        <w:trPr>
          <w:trHeight w:val="256"/>
        </w:trPr>
        <w:tc>
          <w:tcPr>
            <w:tcW w:w="20" w:type="dxa"/>
            <w:vAlign w:val="bottom"/>
          </w:tcPr>
          <w:p>
            <w:pPr>
              <w:spacing w:after="0"/>
              <w:rPr>
                <w:sz w:val="22"/>
                <w:szCs w:val="22"/>
                <w:color w:val="auto"/>
              </w:rPr>
            </w:pPr>
          </w:p>
        </w:tc>
        <w:tc>
          <w:tcPr>
            <w:tcW w:w="716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705</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80" w:type="dxa"/>
            <w:vAlign w:val="bottom"/>
            <w:shd w:val="clear" w:color="auto" w:fill="CCEEFF"/>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431</w:t>
            </w:r>
          </w:p>
        </w:tc>
        <w:tc>
          <w:tcPr>
            <w:tcW w:w="20" w:type="dxa"/>
            <w:vAlign w:val="bottom"/>
          </w:tcPr>
          <w:p>
            <w:pPr>
              <w:spacing w:after="0"/>
              <w:rPr>
                <w:sz w:val="22"/>
                <w:szCs w:val="22"/>
                <w:color w:val="auto"/>
              </w:rPr>
            </w:pPr>
          </w:p>
        </w:tc>
      </w:tr>
      <w:tr>
        <w:trPr>
          <w:trHeight w:val="264"/>
        </w:trPr>
        <w:tc>
          <w:tcPr>
            <w:tcW w:w="20" w:type="dxa"/>
            <w:vAlign w:val="bottom"/>
          </w:tcPr>
          <w:p>
            <w:pPr>
              <w:spacing w:after="0"/>
              <w:rPr>
                <w:sz w:val="22"/>
                <w:szCs w:val="22"/>
                <w:color w:val="auto"/>
              </w:rPr>
            </w:pPr>
          </w:p>
        </w:tc>
        <w:tc>
          <w:tcPr>
            <w:tcW w:w="716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color w:val="auto"/>
              </w:rPr>
              <w:t>Interest expense</w:t>
            </w: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541</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206</w:t>
            </w:r>
          </w:p>
        </w:tc>
        <w:tc>
          <w:tcPr>
            <w:tcW w:w="20" w:type="dxa"/>
            <w:vAlign w:val="bottom"/>
          </w:tcPr>
          <w:p>
            <w:pPr>
              <w:spacing w:after="0"/>
              <w:rPr>
                <w:sz w:val="22"/>
                <w:szCs w:val="22"/>
                <w:color w:val="auto"/>
              </w:rPr>
            </w:pPr>
          </w:p>
        </w:tc>
      </w:tr>
      <w:tr>
        <w:trPr>
          <w:trHeight w:val="250"/>
        </w:trPr>
        <w:tc>
          <w:tcPr>
            <w:tcW w:w="20" w:type="dxa"/>
            <w:vAlign w:val="bottom"/>
          </w:tcPr>
          <w:p>
            <w:pPr>
              <w:spacing w:after="0"/>
              <w:rPr>
                <w:sz w:val="21"/>
                <w:szCs w:val="21"/>
                <w:color w:val="auto"/>
              </w:rPr>
            </w:pPr>
          </w:p>
        </w:tc>
        <w:tc>
          <w:tcPr>
            <w:tcW w:w="716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1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164</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225</w:t>
            </w:r>
          </w:p>
        </w:tc>
        <w:tc>
          <w:tcPr>
            <w:tcW w:w="20" w:type="dxa"/>
            <w:vAlign w:val="bottom"/>
          </w:tcPr>
          <w:p>
            <w:pPr>
              <w:spacing w:after="0"/>
              <w:rPr>
                <w:sz w:val="21"/>
                <w:szCs w:val="21"/>
                <w:color w:val="auto"/>
              </w:rPr>
            </w:pPr>
          </w:p>
        </w:tc>
      </w:tr>
      <w:tr>
        <w:trPr>
          <w:trHeight w:val="250"/>
        </w:trPr>
        <w:tc>
          <w:tcPr>
            <w:tcW w:w="20" w:type="dxa"/>
            <w:vAlign w:val="bottom"/>
          </w:tcPr>
          <w:p>
            <w:pPr>
              <w:spacing w:after="0"/>
              <w:rPr>
                <w:sz w:val="21"/>
                <w:szCs w:val="21"/>
                <w:color w:val="auto"/>
              </w:rPr>
            </w:pPr>
          </w:p>
        </w:tc>
        <w:tc>
          <w:tcPr>
            <w:tcW w:w="7160" w:type="dxa"/>
            <w:vAlign w:val="bottom"/>
            <w:gridSpan w:val="3"/>
          </w:tcPr>
          <w:p>
            <w:pPr>
              <w:ind w:left="20"/>
              <w:spacing w:after="0"/>
              <w:rPr>
                <w:sz w:val="20"/>
                <w:szCs w:val="20"/>
                <w:color w:val="auto"/>
              </w:rPr>
            </w:pPr>
            <w:r>
              <w:rPr>
                <w:rFonts w:ascii="Arial" w:cs="Arial" w:eastAsia="Arial" w:hAnsi="Arial"/>
                <w:sz w:val="14"/>
                <w:szCs w:val="14"/>
                <w:color w:val="auto"/>
              </w:rPr>
              <w:t>Other gain (loss), net</w:t>
            </w:r>
          </w:p>
        </w:tc>
        <w:tc>
          <w:tcPr>
            <w:tcW w:w="140" w:type="dxa"/>
            <w:vAlign w:val="bottom"/>
          </w:tcPr>
          <w:p>
            <w:pPr>
              <w:spacing w:after="0"/>
              <w:rPr>
                <w:sz w:val="21"/>
                <w:szCs w:val="21"/>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120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217</w:t>
            </w:r>
          </w:p>
        </w:tc>
        <w:tc>
          <w:tcPr>
            <w:tcW w:w="20" w:type="dxa"/>
            <w:vAlign w:val="bottom"/>
          </w:tcPr>
          <w:p>
            <w:pPr>
              <w:spacing w:after="0"/>
              <w:rPr>
                <w:sz w:val="21"/>
                <w:szCs w:val="21"/>
                <w:color w:val="auto"/>
              </w:rPr>
            </w:pPr>
          </w:p>
        </w:tc>
      </w:tr>
      <w:tr>
        <w:trPr>
          <w:trHeight w:val="270"/>
        </w:trPr>
        <w:tc>
          <w:tcPr>
            <w:tcW w:w="20" w:type="dxa"/>
            <w:vAlign w:val="bottom"/>
          </w:tcPr>
          <w:p>
            <w:pPr>
              <w:spacing w:after="0"/>
              <w:rPr>
                <w:sz w:val="23"/>
                <w:szCs w:val="23"/>
                <w:color w:val="auto"/>
              </w:rPr>
            </w:pPr>
          </w:p>
        </w:tc>
        <w:tc>
          <w:tcPr>
            <w:tcW w:w="716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1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19</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18</w:t>
            </w:r>
          </w:p>
        </w:tc>
        <w:tc>
          <w:tcPr>
            <w:tcW w:w="20" w:type="dxa"/>
            <w:vAlign w:val="bottom"/>
          </w:tcPr>
          <w:p>
            <w:pPr>
              <w:spacing w:after="0"/>
              <w:rPr>
                <w:sz w:val="23"/>
                <w:szCs w:val="23"/>
                <w:color w:val="auto"/>
              </w:rPr>
            </w:pPr>
          </w:p>
        </w:tc>
      </w:tr>
      <w:tr>
        <w:trPr>
          <w:trHeight w:val="250"/>
        </w:trPr>
        <w:tc>
          <w:tcPr>
            <w:tcW w:w="20" w:type="dxa"/>
            <w:vAlign w:val="bottom"/>
          </w:tcPr>
          <w:p>
            <w:pPr>
              <w:spacing w:after="0"/>
              <w:rPr>
                <w:sz w:val="21"/>
                <w:szCs w:val="21"/>
                <w:color w:val="auto"/>
              </w:rPr>
            </w:pPr>
          </w:p>
        </w:tc>
        <w:tc>
          <w:tcPr>
            <w:tcW w:w="7160" w:type="dxa"/>
            <w:vAlign w:val="bottom"/>
            <w:gridSpan w:val="3"/>
          </w:tcPr>
          <w:p>
            <w:pPr>
              <w:ind w:left="20"/>
              <w:spacing w:after="0"/>
              <w:rPr>
                <w:sz w:val="20"/>
                <w:szCs w:val="20"/>
                <w:color w:val="auto"/>
              </w:rPr>
            </w:pPr>
            <w:r>
              <w:rPr>
                <w:rFonts w:ascii="Arial" w:cs="Arial" w:eastAsia="Arial" w:hAnsi="Arial"/>
                <w:sz w:val="14"/>
                <w:szCs w:val="14"/>
                <w:color w:val="auto"/>
              </w:rPr>
              <w:t>Net income</w:t>
            </w:r>
          </w:p>
        </w:tc>
        <w:tc>
          <w:tcPr>
            <w:tcW w:w="140" w:type="dxa"/>
            <w:vAlign w:val="bottom"/>
          </w:tcPr>
          <w:p>
            <w:pPr>
              <w:spacing w:after="0"/>
              <w:rPr>
                <w:sz w:val="21"/>
                <w:szCs w:val="21"/>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265</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424</w:t>
            </w:r>
          </w:p>
        </w:tc>
        <w:tc>
          <w:tcPr>
            <w:tcW w:w="20" w:type="dxa"/>
            <w:vAlign w:val="bottom"/>
          </w:tcPr>
          <w:p>
            <w:pPr>
              <w:spacing w:after="0"/>
              <w:rPr>
                <w:sz w:val="21"/>
                <w:szCs w:val="21"/>
                <w:color w:val="auto"/>
              </w:rPr>
            </w:pPr>
          </w:p>
        </w:tc>
      </w:tr>
      <w:tr>
        <w:trPr>
          <w:trHeight w:val="270"/>
        </w:trPr>
        <w:tc>
          <w:tcPr>
            <w:tcW w:w="20" w:type="dxa"/>
            <w:vAlign w:val="bottom"/>
          </w:tcPr>
          <w:p>
            <w:pPr>
              <w:spacing w:after="0"/>
              <w:rPr>
                <w:sz w:val="23"/>
                <w:szCs w:val="23"/>
                <w:color w:val="auto"/>
              </w:rPr>
            </w:pPr>
          </w:p>
        </w:tc>
        <w:tc>
          <w:tcPr>
            <w:tcW w:w="716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Dividend on preferred stock</w:t>
            </w:r>
          </w:p>
        </w:tc>
        <w:tc>
          <w:tcPr>
            <w:tcW w:w="1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10</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w:t>
            </w:r>
          </w:p>
        </w:tc>
        <w:tc>
          <w:tcPr>
            <w:tcW w:w="20" w:type="dxa"/>
            <w:vAlign w:val="bottom"/>
          </w:tcPr>
          <w:p>
            <w:pPr>
              <w:spacing w:after="0"/>
              <w:rPr>
                <w:sz w:val="23"/>
                <w:szCs w:val="23"/>
                <w:color w:val="auto"/>
              </w:rPr>
            </w:pPr>
          </w:p>
        </w:tc>
      </w:tr>
      <w:tr>
        <w:trPr>
          <w:trHeight w:val="296"/>
        </w:trPr>
        <w:tc>
          <w:tcPr>
            <w:tcW w:w="20" w:type="dxa"/>
            <w:vAlign w:val="bottom"/>
          </w:tcPr>
          <w:p>
            <w:pPr>
              <w:spacing w:after="0"/>
              <w:rPr>
                <w:sz w:val="24"/>
                <w:szCs w:val="24"/>
                <w:color w:val="auto"/>
              </w:rPr>
            </w:pPr>
          </w:p>
        </w:tc>
        <w:tc>
          <w:tcPr>
            <w:tcW w:w="716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color w:val="auto"/>
              </w:rPr>
              <w:t>Net income available to common stockholders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255</w:t>
            </w: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415</w:t>
            </w:r>
          </w:p>
        </w:tc>
        <w:tc>
          <w:tcPr>
            <w:tcW w:w="20" w:type="dxa"/>
            <w:vAlign w:val="bottom"/>
          </w:tcPr>
          <w:p>
            <w:pPr>
              <w:spacing w:after="0"/>
              <w:rPr>
                <w:sz w:val="24"/>
                <w:szCs w:val="24"/>
                <w:color w:val="auto"/>
              </w:rPr>
            </w:pPr>
          </w:p>
        </w:tc>
      </w:tr>
      <w:tr>
        <w:trPr>
          <w:trHeight w:val="278"/>
        </w:trPr>
        <w:tc>
          <w:tcPr>
            <w:tcW w:w="20" w:type="dxa"/>
            <w:vAlign w:val="bottom"/>
          </w:tcPr>
          <w:p>
            <w:pPr>
              <w:spacing w:after="0"/>
              <w:rPr>
                <w:sz w:val="24"/>
                <w:szCs w:val="24"/>
                <w:color w:val="auto"/>
              </w:rPr>
            </w:pPr>
          </w:p>
        </w:tc>
        <w:tc>
          <w:tcPr>
            <w:tcW w:w="70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20" w:type="dxa"/>
            <w:vAlign w:val="bottom"/>
          </w:tcPr>
          <w:p>
            <w:pPr>
              <w:spacing w:after="0"/>
              <w:rPr>
                <w:sz w:val="24"/>
                <w:szCs w:val="24"/>
                <w:color w:val="auto"/>
              </w:rPr>
            </w:pPr>
          </w:p>
        </w:tc>
      </w:tr>
      <w:tr>
        <w:trPr>
          <w:trHeight w:val="264"/>
        </w:trPr>
        <w:tc>
          <w:tcPr>
            <w:tcW w:w="20" w:type="dxa"/>
            <w:vAlign w:val="bottom"/>
          </w:tcPr>
          <w:p>
            <w:pPr>
              <w:spacing w:after="0"/>
              <w:rPr>
                <w:sz w:val="22"/>
                <w:szCs w:val="22"/>
                <w:color w:val="auto"/>
              </w:rPr>
            </w:pPr>
          </w:p>
        </w:tc>
        <w:tc>
          <w:tcPr>
            <w:tcW w:w="7160" w:type="dxa"/>
            <w:vAlign w:val="bottom"/>
            <w:gridSpan w:val="3"/>
          </w:tcPr>
          <w:p>
            <w:pPr>
              <w:ind w:left="20"/>
              <w:spacing w:after="0"/>
              <w:rPr>
                <w:sz w:val="20"/>
                <w:szCs w:val="20"/>
                <w:color w:val="auto"/>
              </w:rPr>
            </w:pPr>
            <w:r>
              <w:rPr>
                <w:rFonts w:ascii="Arial" w:cs="Arial" w:eastAsia="Arial" w:hAnsi="Arial"/>
                <w:sz w:val="14"/>
                <w:szCs w:val="14"/>
                <w:color w:val="auto"/>
              </w:rPr>
              <w:t>Net income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265</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424</w:t>
            </w:r>
          </w:p>
        </w:tc>
        <w:tc>
          <w:tcPr>
            <w:tcW w:w="20" w:type="dxa"/>
            <w:vAlign w:val="bottom"/>
          </w:tcPr>
          <w:p>
            <w:pPr>
              <w:spacing w:after="0"/>
              <w:rPr>
                <w:sz w:val="22"/>
                <w:szCs w:val="22"/>
                <w:color w:val="auto"/>
              </w:rPr>
            </w:pPr>
          </w:p>
        </w:tc>
      </w:tr>
      <w:tr>
        <w:trPr>
          <w:trHeight w:val="270"/>
        </w:trPr>
        <w:tc>
          <w:tcPr>
            <w:tcW w:w="20" w:type="dxa"/>
            <w:vAlign w:val="bottom"/>
          </w:tcPr>
          <w:p>
            <w:pPr>
              <w:spacing w:after="0"/>
              <w:rPr>
                <w:sz w:val="23"/>
                <w:szCs w:val="23"/>
                <w:color w:val="auto"/>
              </w:rPr>
            </w:pPr>
          </w:p>
        </w:tc>
        <w:tc>
          <w:tcPr>
            <w:tcW w:w="716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Other comprehensive income (loss), net</w:t>
            </w:r>
          </w:p>
        </w:tc>
        <w:tc>
          <w:tcPr>
            <w:tcW w:w="1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400</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(621)</w:t>
            </w:r>
          </w:p>
        </w:tc>
        <w:tc>
          <w:tcPr>
            <w:tcW w:w="20" w:type="dxa"/>
            <w:vAlign w:val="bottom"/>
          </w:tcPr>
          <w:p>
            <w:pPr>
              <w:spacing w:after="0"/>
              <w:rPr>
                <w:sz w:val="23"/>
                <w:szCs w:val="23"/>
                <w:color w:val="auto"/>
              </w:rPr>
            </w:pPr>
          </w:p>
        </w:tc>
      </w:tr>
      <w:tr>
        <w:trPr>
          <w:trHeight w:val="250"/>
        </w:trPr>
        <w:tc>
          <w:tcPr>
            <w:tcW w:w="20" w:type="dxa"/>
            <w:vAlign w:val="bottom"/>
          </w:tcPr>
          <w:p>
            <w:pPr>
              <w:spacing w:after="0"/>
              <w:rPr>
                <w:sz w:val="21"/>
                <w:szCs w:val="21"/>
                <w:color w:val="auto"/>
              </w:rPr>
            </w:pPr>
          </w:p>
        </w:tc>
        <w:tc>
          <w:tcPr>
            <w:tcW w:w="7160" w:type="dxa"/>
            <w:vAlign w:val="bottom"/>
            <w:gridSpan w:val="3"/>
          </w:tcPr>
          <w:p>
            <w:pPr>
              <w:ind w:left="20"/>
              <w:spacing w:after="0"/>
              <w:rPr>
                <w:sz w:val="20"/>
                <w:szCs w:val="20"/>
                <w:color w:val="auto"/>
              </w:rPr>
            </w:pPr>
            <w:r>
              <w:rPr>
                <w:rFonts w:ascii="Arial" w:cs="Arial" w:eastAsia="Arial" w:hAnsi="Arial"/>
                <w:sz w:val="14"/>
                <w:szCs w:val="14"/>
                <w:color w:val="auto"/>
              </w:rPr>
              <w:t>Comprehensive income (loss)</w:t>
            </w:r>
          </w:p>
        </w:tc>
        <w:tc>
          <w:tcPr>
            <w:tcW w:w="140" w:type="dxa"/>
            <w:vAlign w:val="bottom"/>
          </w:tcPr>
          <w:p>
            <w:pPr>
              <w:spacing w:after="0"/>
              <w:rPr>
                <w:sz w:val="21"/>
                <w:szCs w:val="21"/>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665</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(197)</w:t>
            </w:r>
          </w:p>
        </w:tc>
        <w:tc>
          <w:tcPr>
            <w:tcW w:w="20" w:type="dxa"/>
            <w:vAlign w:val="bottom"/>
          </w:tcPr>
          <w:p>
            <w:pPr>
              <w:spacing w:after="0"/>
              <w:rPr>
                <w:sz w:val="21"/>
                <w:szCs w:val="21"/>
                <w:color w:val="auto"/>
              </w:rPr>
            </w:pPr>
          </w:p>
        </w:tc>
      </w:tr>
      <w:tr>
        <w:trPr>
          <w:trHeight w:val="270"/>
        </w:trPr>
        <w:tc>
          <w:tcPr>
            <w:tcW w:w="20" w:type="dxa"/>
            <w:vAlign w:val="bottom"/>
          </w:tcPr>
          <w:p>
            <w:pPr>
              <w:spacing w:after="0"/>
              <w:rPr>
                <w:sz w:val="23"/>
                <w:szCs w:val="23"/>
                <w:color w:val="auto"/>
              </w:rPr>
            </w:pPr>
          </w:p>
        </w:tc>
        <w:tc>
          <w:tcPr>
            <w:tcW w:w="716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Dividend on preferred stock</w:t>
            </w:r>
          </w:p>
        </w:tc>
        <w:tc>
          <w:tcPr>
            <w:tcW w:w="1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10</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w:t>
            </w:r>
          </w:p>
        </w:tc>
        <w:tc>
          <w:tcPr>
            <w:tcW w:w="20" w:type="dxa"/>
            <w:vAlign w:val="bottom"/>
          </w:tcPr>
          <w:p>
            <w:pPr>
              <w:spacing w:after="0"/>
              <w:rPr>
                <w:sz w:val="23"/>
                <w:szCs w:val="23"/>
                <w:color w:val="auto"/>
              </w:rPr>
            </w:pPr>
          </w:p>
        </w:tc>
      </w:tr>
      <w:tr>
        <w:trPr>
          <w:trHeight w:val="296"/>
        </w:trPr>
        <w:tc>
          <w:tcPr>
            <w:tcW w:w="20" w:type="dxa"/>
            <w:vAlign w:val="bottom"/>
          </w:tcPr>
          <w:p>
            <w:pPr>
              <w:spacing w:after="0"/>
              <w:rPr>
                <w:sz w:val="24"/>
                <w:szCs w:val="24"/>
                <w:color w:val="auto"/>
              </w:rPr>
            </w:pPr>
          </w:p>
        </w:tc>
        <w:tc>
          <w:tcPr>
            <w:tcW w:w="716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color w:val="auto"/>
              </w:rPr>
              <w:t>Comprehensive income (loss) available (attributable) to common stockholders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655</w:t>
            </w: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(206)</w:t>
            </w:r>
          </w:p>
        </w:tc>
        <w:tc>
          <w:tcPr>
            <w:tcW w:w="20" w:type="dxa"/>
            <w:vAlign w:val="bottom"/>
          </w:tcPr>
          <w:p>
            <w:pPr>
              <w:spacing w:after="0"/>
              <w:rPr>
                <w:sz w:val="24"/>
                <w:szCs w:val="24"/>
                <w:color w:val="auto"/>
              </w:rPr>
            </w:pPr>
          </w:p>
        </w:tc>
      </w:tr>
      <w:tr>
        <w:trPr>
          <w:trHeight w:val="278"/>
        </w:trPr>
        <w:tc>
          <w:tcPr>
            <w:tcW w:w="20" w:type="dxa"/>
            <w:vAlign w:val="bottom"/>
          </w:tcPr>
          <w:p>
            <w:pPr>
              <w:spacing w:after="0"/>
              <w:rPr>
                <w:sz w:val="24"/>
                <w:szCs w:val="24"/>
                <w:color w:val="auto"/>
              </w:rPr>
            </w:pPr>
          </w:p>
        </w:tc>
        <w:tc>
          <w:tcPr>
            <w:tcW w:w="70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20" w:type="dxa"/>
            <w:vAlign w:val="bottom"/>
          </w:tcPr>
          <w:p>
            <w:pPr>
              <w:spacing w:after="0"/>
              <w:rPr>
                <w:sz w:val="24"/>
                <w:szCs w:val="24"/>
                <w:color w:val="auto"/>
              </w:rPr>
            </w:pPr>
          </w:p>
        </w:tc>
      </w:tr>
      <w:tr>
        <w:trPr>
          <w:trHeight w:val="297"/>
        </w:trPr>
        <w:tc>
          <w:tcPr>
            <w:tcW w:w="20" w:type="dxa"/>
            <w:vAlign w:val="bottom"/>
          </w:tcPr>
          <w:p>
            <w:pPr>
              <w:spacing w:after="0"/>
              <w:rPr>
                <w:sz w:val="24"/>
                <w:szCs w:val="24"/>
                <w:color w:val="auto"/>
              </w:rPr>
            </w:pPr>
          </w:p>
        </w:tc>
        <w:tc>
          <w:tcPr>
            <w:tcW w:w="716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536.7</w:t>
            </w: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391.3</w:t>
            </w:r>
          </w:p>
        </w:tc>
        <w:tc>
          <w:tcPr>
            <w:tcW w:w="20" w:type="dxa"/>
            <w:vAlign w:val="bottom"/>
          </w:tcPr>
          <w:p>
            <w:pPr>
              <w:spacing w:after="0"/>
              <w:rPr>
                <w:sz w:val="24"/>
                <w:szCs w:val="24"/>
                <w:color w:val="auto"/>
              </w:rPr>
            </w:pPr>
          </w:p>
        </w:tc>
      </w:tr>
      <w:tr>
        <w:trPr>
          <w:trHeight w:val="237"/>
        </w:trPr>
        <w:tc>
          <w:tcPr>
            <w:tcW w:w="20" w:type="dxa"/>
            <w:vAlign w:val="bottom"/>
          </w:tcPr>
          <w:p>
            <w:pPr>
              <w:spacing w:after="0"/>
              <w:rPr>
                <w:sz w:val="20"/>
                <w:szCs w:val="20"/>
                <w:color w:val="auto"/>
              </w:rPr>
            </w:pPr>
          </w:p>
        </w:tc>
        <w:tc>
          <w:tcPr>
            <w:tcW w:w="71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4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537.2</w:t>
            </w: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391.5</w:t>
            </w:r>
          </w:p>
        </w:tc>
        <w:tc>
          <w:tcPr>
            <w:tcW w:w="20" w:type="dxa"/>
            <w:vAlign w:val="bottom"/>
          </w:tcPr>
          <w:p>
            <w:pPr>
              <w:spacing w:after="0"/>
              <w:rPr>
                <w:sz w:val="20"/>
                <w:szCs w:val="20"/>
                <w:color w:val="auto"/>
              </w:rPr>
            </w:pPr>
          </w:p>
        </w:tc>
      </w:tr>
      <w:tr>
        <w:trPr>
          <w:trHeight w:val="20"/>
        </w:trPr>
        <w:tc>
          <w:tcPr>
            <w:tcW w:w="20" w:type="dxa"/>
            <w:vAlign w:val="bottom"/>
          </w:tcPr>
          <w:p>
            <w:pPr>
              <w:spacing w:after="0" w:line="20" w:lineRule="exact"/>
              <w:rPr>
                <w:sz w:val="1"/>
                <w:szCs w:val="1"/>
                <w:color w:val="auto"/>
              </w:rPr>
            </w:pPr>
          </w:p>
        </w:tc>
        <w:tc>
          <w:tcPr>
            <w:tcW w:w="70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77"/>
        </w:trPr>
        <w:tc>
          <w:tcPr>
            <w:tcW w:w="20" w:type="dxa"/>
            <w:vAlign w:val="bottom"/>
          </w:tcPr>
          <w:p>
            <w:pPr>
              <w:spacing w:after="0"/>
              <w:rPr>
                <w:sz w:val="24"/>
                <w:szCs w:val="24"/>
                <w:color w:val="auto"/>
              </w:rPr>
            </w:pPr>
          </w:p>
        </w:tc>
        <w:tc>
          <w:tcPr>
            <w:tcW w:w="716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color w:val="auto"/>
              </w:rPr>
              <w:t>Net income per common share - basic</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0.48</w:t>
            </w: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1.06</w:t>
            </w:r>
          </w:p>
        </w:tc>
        <w:tc>
          <w:tcPr>
            <w:tcW w:w="20" w:type="dxa"/>
            <w:vAlign w:val="bottom"/>
          </w:tcPr>
          <w:p>
            <w:pPr>
              <w:spacing w:after="0"/>
              <w:rPr>
                <w:sz w:val="24"/>
                <w:szCs w:val="24"/>
                <w:color w:val="auto"/>
              </w:rPr>
            </w:pPr>
          </w:p>
        </w:tc>
      </w:tr>
      <w:tr>
        <w:trPr>
          <w:trHeight w:val="237"/>
        </w:trPr>
        <w:tc>
          <w:tcPr>
            <w:tcW w:w="20" w:type="dxa"/>
            <w:vAlign w:val="bottom"/>
          </w:tcPr>
          <w:p>
            <w:pPr>
              <w:spacing w:after="0"/>
              <w:rPr>
                <w:sz w:val="20"/>
                <w:szCs w:val="20"/>
                <w:color w:val="auto"/>
              </w:rPr>
            </w:pPr>
          </w:p>
        </w:tc>
        <w:tc>
          <w:tcPr>
            <w:tcW w:w="71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4"/>
                <w:szCs w:val="14"/>
                <w:color w:val="auto"/>
              </w:rPr>
              <w:t>Net income per common share - diluted</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0.47</w:t>
            </w: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1.06</w:t>
            </w:r>
          </w:p>
        </w:tc>
        <w:tc>
          <w:tcPr>
            <w:tcW w:w="20" w:type="dxa"/>
            <w:vAlign w:val="bottom"/>
          </w:tcPr>
          <w:p>
            <w:pPr>
              <w:spacing w:after="0"/>
              <w:rPr>
                <w:sz w:val="20"/>
                <w:szCs w:val="20"/>
                <w:color w:val="auto"/>
              </w:rPr>
            </w:pPr>
          </w:p>
        </w:tc>
      </w:tr>
      <w:tr>
        <w:trPr>
          <w:trHeight w:val="20"/>
        </w:trPr>
        <w:tc>
          <w:tcPr>
            <w:tcW w:w="20" w:type="dxa"/>
            <w:vAlign w:val="bottom"/>
          </w:tcPr>
          <w:p>
            <w:pPr>
              <w:spacing w:after="0" w:line="20" w:lineRule="exact"/>
              <w:rPr>
                <w:sz w:val="1"/>
                <w:szCs w:val="1"/>
                <w:color w:val="auto"/>
              </w:rPr>
            </w:pPr>
          </w:p>
        </w:tc>
        <w:tc>
          <w:tcPr>
            <w:tcW w:w="70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77"/>
        </w:trPr>
        <w:tc>
          <w:tcPr>
            <w:tcW w:w="20" w:type="dxa"/>
            <w:vAlign w:val="bottom"/>
          </w:tcPr>
          <w:p>
            <w:pPr>
              <w:spacing w:after="0"/>
              <w:rPr>
                <w:sz w:val="24"/>
                <w:szCs w:val="24"/>
                <w:color w:val="auto"/>
              </w:rPr>
            </w:pPr>
          </w:p>
        </w:tc>
        <w:tc>
          <w:tcPr>
            <w:tcW w:w="716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color w:val="auto"/>
              </w:rPr>
              <w:t>Comprehensive income (loss) per common share - basic and diluted</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1.22</w:t>
            </w: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(0.53)</w:t>
            </w:r>
          </w:p>
        </w:tc>
        <w:tc>
          <w:tcPr>
            <w:tcW w:w="20" w:type="dxa"/>
            <w:vAlign w:val="bottom"/>
          </w:tcPr>
          <w:p>
            <w:pPr>
              <w:spacing w:after="0"/>
              <w:rPr>
                <w:sz w:val="24"/>
                <w:szCs w:val="24"/>
                <w:color w:val="auto"/>
              </w:rPr>
            </w:pPr>
          </w:p>
        </w:tc>
      </w:tr>
      <w:tr>
        <w:trPr>
          <w:trHeight w:val="237"/>
        </w:trPr>
        <w:tc>
          <w:tcPr>
            <w:tcW w:w="20" w:type="dxa"/>
            <w:vAlign w:val="bottom"/>
          </w:tcPr>
          <w:p>
            <w:pPr>
              <w:spacing w:after="0"/>
              <w:rPr>
                <w:sz w:val="20"/>
                <w:szCs w:val="20"/>
                <w:color w:val="auto"/>
              </w:rPr>
            </w:pPr>
          </w:p>
        </w:tc>
        <w:tc>
          <w:tcPr>
            <w:tcW w:w="71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4"/>
                <w:szCs w:val="14"/>
                <w:color w:val="auto"/>
              </w:rPr>
              <w:t>Dividends declared per common share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0.54</w:t>
            </w: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center"/>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0.54</w:t>
            </w:r>
          </w:p>
        </w:tc>
        <w:tc>
          <w:tcPr>
            <w:tcW w:w="20" w:type="dxa"/>
            <w:vAlign w:val="bottom"/>
          </w:tcPr>
          <w:p>
            <w:pPr>
              <w:spacing w:after="0"/>
              <w:rPr>
                <w:sz w:val="20"/>
                <w:szCs w:val="20"/>
                <w:color w:val="auto"/>
              </w:rPr>
            </w:pPr>
          </w:p>
        </w:tc>
      </w:tr>
      <w:tr>
        <w:trPr>
          <w:trHeight w:val="20"/>
        </w:trPr>
        <w:tc>
          <w:tcPr>
            <w:tcW w:w="2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80"/>
        </w:trPr>
        <w:tc>
          <w:tcPr>
            <w:tcW w:w="20" w:type="dxa"/>
            <w:vAlign w:val="bottom"/>
          </w:tcPr>
          <w:p>
            <w:pPr>
              <w:spacing w:after="0"/>
              <w:rPr>
                <w:sz w:val="24"/>
                <w:szCs w:val="24"/>
                <w:color w:val="auto"/>
              </w:rPr>
            </w:pPr>
          </w:p>
        </w:tc>
        <w:tc>
          <w:tcPr>
            <w:tcW w:w="7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95"/>
              </w:rPr>
              <w:t>Three Months Ended March 31,</w:t>
            </w:r>
          </w:p>
        </w:tc>
        <w:tc>
          <w:tcPr>
            <w:tcW w:w="20" w:type="dxa"/>
            <w:vAlign w:val="bottom"/>
            <w:tcBorders>
              <w:bottom w:val="single" w:sz="8" w:color="auto"/>
            </w:tcBorders>
          </w:tcPr>
          <w:p>
            <w:pPr>
              <w:spacing w:after="0"/>
              <w:rPr>
                <w:sz w:val="24"/>
                <w:szCs w:val="24"/>
                <w:color w:val="auto"/>
              </w:rPr>
            </w:pPr>
          </w:p>
        </w:tc>
      </w:tr>
      <w:tr>
        <w:trPr>
          <w:trHeight w:val="264"/>
        </w:trPr>
        <w:tc>
          <w:tcPr>
            <w:tcW w:w="20" w:type="dxa"/>
            <w:vAlign w:val="bottom"/>
            <w:tcBorders>
              <w:bottom w:val="single" w:sz="8" w:color="auto"/>
            </w:tcBorders>
          </w:tcPr>
          <w:p>
            <w:pPr>
              <w:spacing w:after="0"/>
              <w:rPr>
                <w:sz w:val="22"/>
                <w:szCs w:val="22"/>
                <w:color w:val="auto"/>
              </w:rPr>
            </w:pPr>
          </w:p>
        </w:tc>
        <w:tc>
          <w:tcPr>
            <w:tcW w:w="70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Other Data (Unaudited) *</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2018</w:t>
            </w:r>
          </w:p>
        </w:tc>
        <w:tc>
          <w:tcPr>
            <w:tcW w:w="20" w:type="dxa"/>
            <w:vAlign w:val="bottom"/>
            <w:tcBorders>
              <w:bottom w:val="single" w:sz="8" w:color="auto"/>
            </w:tcBorders>
          </w:tcPr>
          <w:p>
            <w:pPr>
              <w:spacing w:after="0"/>
              <w:rPr>
                <w:sz w:val="22"/>
                <w:szCs w:val="22"/>
                <w:color w:val="auto"/>
              </w:rPr>
            </w:pPr>
          </w:p>
        </w:tc>
      </w:tr>
      <w:tr>
        <w:trPr>
          <w:trHeight w:val="256"/>
        </w:trPr>
        <w:tc>
          <w:tcPr>
            <w:tcW w:w="20" w:type="dxa"/>
            <w:vAlign w:val="bottom"/>
            <w:shd w:val="clear" w:color="auto" w:fill="CCEEFF"/>
          </w:tcPr>
          <w:p>
            <w:pPr>
              <w:spacing w:after="0"/>
              <w:rPr>
                <w:sz w:val="22"/>
                <w:szCs w:val="22"/>
                <w:color w:val="auto"/>
              </w:rPr>
            </w:pPr>
          </w:p>
        </w:tc>
        <w:tc>
          <w:tcPr>
            <w:tcW w:w="71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Average investment securities - at par</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87,021</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80" w:type="dxa"/>
            <w:vAlign w:val="bottom"/>
            <w:shd w:val="clear" w:color="auto" w:fill="CCEEFF"/>
          </w:tcPr>
          <w:p>
            <w:pPr>
              <w:jc w:val="center"/>
              <w:ind w:right="119"/>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53,986</w:t>
            </w:r>
          </w:p>
        </w:tc>
        <w:tc>
          <w:tcPr>
            <w:tcW w:w="20" w:type="dxa"/>
            <w:vAlign w:val="bottom"/>
            <w:shd w:val="clear" w:color="auto" w:fill="CCEEFF"/>
          </w:tcPr>
          <w:p>
            <w:pPr>
              <w:spacing w:after="0"/>
              <w:rPr>
                <w:sz w:val="22"/>
                <w:szCs w:val="22"/>
                <w:color w:val="auto"/>
              </w:rPr>
            </w:pPr>
          </w:p>
        </w:tc>
      </w:tr>
      <w:tr>
        <w:trPr>
          <w:trHeight w:val="264"/>
        </w:trPr>
        <w:tc>
          <w:tcPr>
            <w:tcW w:w="20" w:type="dxa"/>
            <w:vAlign w:val="bottom"/>
          </w:tcPr>
          <w:p>
            <w:pPr>
              <w:spacing w:after="0"/>
              <w:rPr>
                <w:sz w:val="22"/>
                <w:szCs w:val="22"/>
                <w:color w:val="auto"/>
              </w:rPr>
            </w:pPr>
          </w:p>
        </w:tc>
        <w:tc>
          <w:tcPr>
            <w:tcW w:w="7160" w:type="dxa"/>
            <w:vAlign w:val="bottom"/>
            <w:gridSpan w:val="3"/>
          </w:tcPr>
          <w:p>
            <w:pPr>
              <w:spacing w:after="0"/>
              <w:rPr>
                <w:sz w:val="20"/>
                <w:szCs w:val="20"/>
                <w:color w:val="auto"/>
              </w:rPr>
            </w:pPr>
            <w:r>
              <w:rPr>
                <w:rFonts w:ascii="Arial" w:cs="Arial" w:eastAsia="Arial" w:hAnsi="Arial"/>
                <w:sz w:val="14"/>
                <w:szCs w:val="14"/>
                <w:color w:val="auto"/>
              </w:rPr>
              <w:t>Average investment securities - at cost</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80"/>
              <w:spacing w:after="0"/>
              <w:rPr>
                <w:sz w:val="20"/>
                <w:szCs w:val="20"/>
                <w:color w:val="auto"/>
              </w:rPr>
            </w:pPr>
            <w:r>
              <w:rPr>
                <w:rFonts w:ascii="Arial" w:cs="Arial" w:eastAsia="Arial" w:hAnsi="Arial"/>
                <w:sz w:val="16"/>
                <w:szCs w:val="16"/>
                <w:color w:val="auto"/>
              </w:rPr>
              <w:t>89,952</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jc w:val="center"/>
              <w:ind w:right="1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56,573</w:t>
            </w:r>
          </w:p>
        </w:tc>
        <w:tc>
          <w:tcPr>
            <w:tcW w:w="20" w:type="dxa"/>
            <w:vAlign w:val="bottom"/>
          </w:tcPr>
          <w:p>
            <w:pPr>
              <w:spacing w:after="0"/>
              <w:rPr>
                <w:sz w:val="22"/>
                <w:szCs w:val="22"/>
                <w:color w:val="auto"/>
              </w:rPr>
            </w:pPr>
          </w:p>
        </w:tc>
      </w:tr>
      <w:tr>
        <w:trPr>
          <w:trHeight w:val="276"/>
        </w:trPr>
        <w:tc>
          <w:tcPr>
            <w:tcW w:w="20" w:type="dxa"/>
            <w:vAlign w:val="bottom"/>
            <w:shd w:val="clear" w:color="auto" w:fill="CCEEFF"/>
          </w:tcPr>
          <w:p>
            <w:pPr>
              <w:spacing w:after="0"/>
              <w:rPr>
                <w:sz w:val="24"/>
                <w:szCs w:val="24"/>
                <w:color w:val="auto"/>
              </w:rPr>
            </w:pPr>
          </w:p>
        </w:tc>
        <w:tc>
          <w:tcPr>
            <w:tcW w:w="71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Average net TBA portfolio - at cost</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8,002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80" w:type="dxa"/>
            <w:vAlign w:val="bottom"/>
            <w:shd w:val="clear" w:color="auto" w:fill="CCEEFF"/>
          </w:tcPr>
          <w:p>
            <w:pPr>
              <w:jc w:val="center"/>
              <w:ind w:right="119"/>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15,585</w:t>
            </w:r>
          </w:p>
        </w:tc>
        <w:tc>
          <w:tcPr>
            <w:tcW w:w="20" w:type="dxa"/>
            <w:vAlign w:val="bottom"/>
            <w:shd w:val="clear" w:color="auto" w:fill="CCEEFF"/>
          </w:tcPr>
          <w:p>
            <w:pPr>
              <w:spacing w:after="0"/>
              <w:rPr>
                <w:sz w:val="24"/>
                <w:szCs w:val="24"/>
                <w:color w:val="auto"/>
              </w:rPr>
            </w:pPr>
          </w:p>
        </w:tc>
      </w:tr>
      <w:tr>
        <w:trPr>
          <w:trHeight w:val="264"/>
        </w:trPr>
        <w:tc>
          <w:tcPr>
            <w:tcW w:w="20" w:type="dxa"/>
            <w:vAlign w:val="bottom"/>
          </w:tcPr>
          <w:p>
            <w:pPr>
              <w:spacing w:after="0"/>
              <w:rPr>
                <w:sz w:val="22"/>
                <w:szCs w:val="22"/>
                <w:color w:val="auto"/>
              </w:rPr>
            </w:pPr>
          </w:p>
        </w:tc>
        <w:tc>
          <w:tcPr>
            <w:tcW w:w="7160" w:type="dxa"/>
            <w:vAlign w:val="bottom"/>
            <w:gridSpan w:val="3"/>
          </w:tcPr>
          <w:p>
            <w:pPr>
              <w:spacing w:after="0"/>
              <w:rPr>
                <w:sz w:val="20"/>
                <w:szCs w:val="20"/>
                <w:color w:val="auto"/>
              </w:rPr>
            </w:pPr>
            <w:r>
              <w:rPr>
                <w:rFonts w:ascii="Arial" w:cs="Arial" w:eastAsia="Arial" w:hAnsi="Arial"/>
                <w:sz w:val="14"/>
                <w:szCs w:val="14"/>
                <w:color w:val="auto"/>
              </w:rPr>
              <w:t>Average total assets - at fair value</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80"/>
              <w:spacing w:after="0"/>
              <w:rPr>
                <w:sz w:val="20"/>
                <w:szCs w:val="20"/>
                <w:color w:val="auto"/>
              </w:rPr>
            </w:pPr>
            <w:r>
              <w:rPr>
                <w:rFonts w:ascii="Arial" w:cs="Arial" w:eastAsia="Arial" w:hAnsi="Arial"/>
                <w:sz w:val="16"/>
                <w:szCs w:val="16"/>
                <w:color w:val="auto"/>
              </w:rPr>
              <w:t>114,994</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jc w:val="center"/>
              <w:ind w:right="1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68,781</w:t>
            </w:r>
          </w:p>
        </w:tc>
        <w:tc>
          <w:tcPr>
            <w:tcW w:w="20" w:type="dxa"/>
            <w:vAlign w:val="bottom"/>
          </w:tcPr>
          <w:p>
            <w:pPr>
              <w:spacing w:after="0"/>
              <w:rPr>
                <w:sz w:val="22"/>
                <w:szCs w:val="22"/>
                <w:color w:val="auto"/>
              </w:rPr>
            </w:pPr>
          </w:p>
        </w:tc>
      </w:tr>
      <w:tr>
        <w:trPr>
          <w:trHeight w:val="276"/>
        </w:trPr>
        <w:tc>
          <w:tcPr>
            <w:tcW w:w="20" w:type="dxa"/>
            <w:vAlign w:val="bottom"/>
            <w:shd w:val="clear" w:color="auto" w:fill="CCEEFF"/>
          </w:tcPr>
          <w:p>
            <w:pPr>
              <w:spacing w:after="0"/>
              <w:rPr>
                <w:sz w:val="24"/>
                <w:szCs w:val="24"/>
                <w:color w:val="auto"/>
              </w:rPr>
            </w:pPr>
          </w:p>
        </w:tc>
        <w:tc>
          <w:tcPr>
            <w:tcW w:w="71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 xml:space="preserve">Average Agency repurchase agreements and other debt outstanding </w:t>
            </w:r>
            <w:r>
              <w:rPr>
                <w:rFonts w:ascii="Arial" w:cs="Arial" w:eastAsia="Arial" w:hAnsi="Arial"/>
                <w:sz w:val="8"/>
                <w:szCs w:val="8"/>
                <w:color w:val="auto"/>
              </w:rPr>
              <w:t>3</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82,070</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80" w:type="dxa"/>
            <w:vAlign w:val="bottom"/>
            <w:shd w:val="clear" w:color="auto" w:fill="CCEEFF"/>
          </w:tcPr>
          <w:p>
            <w:pPr>
              <w:jc w:val="center"/>
              <w:ind w:right="119"/>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49,567</w:t>
            </w:r>
          </w:p>
        </w:tc>
        <w:tc>
          <w:tcPr>
            <w:tcW w:w="20" w:type="dxa"/>
            <w:vAlign w:val="bottom"/>
            <w:shd w:val="clear" w:color="auto" w:fill="CCEEFF"/>
          </w:tcPr>
          <w:p>
            <w:pPr>
              <w:spacing w:after="0"/>
              <w:rPr>
                <w:sz w:val="24"/>
                <w:szCs w:val="24"/>
                <w:color w:val="auto"/>
              </w:rPr>
            </w:pPr>
          </w:p>
        </w:tc>
      </w:tr>
      <w:tr>
        <w:trPr>
          <w:trHeight w:val="264"/>
        </w:trPr>
        <w:tc>
          <w:tcPr>
            <w:tcW w:w="20" w:type="dxa"/>
            <w:vAlign w:val="bottom"/>
          </w:tcPr>
          <w:p>
            <w:pPr>
              <w:spacing w:after="0"/>
              <w:rPr>
                <w:sz w:val="22"/>
                <w:szCs w:val="22"/>
                <w:color w:val="auto"/>
              </w:rPr>
            </w:pPr>
          </w:p>
        </w:tc>
        <w:tc>
          <w:tcPr>
            <w:tcW w:w="7160" w:type="dxa"/>
            <w:vAlign w:val="bottom"/>
            <w:gridSpan w:val="3"/>
          </w:tcPr>
          <w:p>
            <w:pPr>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8"/>
                <w:szCs w:val="8"/>
                <w:color w:val="auto"/>
              </w:rPr>
              <w:t>4</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80"/>
              <w:spacing w:after="0"/>
              <w:rPr>
                <w:sz w:val="20"/>
                <w:szCs w:val="20"/>
                <w:color w:val="auto"/>
              </w:rPr>
            </w:pPr>
            <w:r>
              <w:rPr>
                <w:rFonts w:ascii="Arial" w:cs="Arial" w:eastAsia="Arial" w:hAnsi="Arial"/>
                <w:sz w:val="16"/>
                <w:szCs w:val="16"/>
                <w:color w:val="auto"/>
              </w:rPr>
              <w:t>10,186</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jc w:val="center"/>
              <w:ind w:right="1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8,535</w:t>
            </w:r>
          </w:p>
        </w:tc>
        <w:tc>
          <w:tcPr>
            <w:tcW w:w="20" w:type="dxa"/>
            <w:vAlign w:val="bottom"/>
          </w:tcPr>
          <w:p>
            <w:pPr>
              <w:spacing w:after="0"/>
              <w:rPr>
                <w:sz w:val="22"/>
                <w:szCs w:val="22"/>
                <w:color w:val="auto"/>
              </w:rPr>
            </w:pPr>
          </w:p>
        </w:tc>
      </w:tr>
      <w:tr>
        <w:trPr>
          <w:trHeight w:val="276"/>
        </w:trPr>
        <w:tc>
          <w:tcPr>
            <w:tcW w:w="20" w:type="dxa"/>
            <w:vAlign w:val="bottom"/>
            <w:shd w:val="clear" w:color="auto" w:fill="CCEEFF"/>
          </w:tcPr>
          <w:p>
            <w:pPr>
              <w:spacing w:after="0"/>
              <w:rPr>
                <w:sz w:val="24"/>
                <w:szCs w:val="24"/>
                <w:color w:val="auto"/>
              </w:rPr>
            </w:pPr>
          </w:p>
        </w:tc>
        <w:tc>
          <w:tcPr>
            <w:tcW w:w="71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 xml:space="preserve">Average tangible net book value "at risk" leverage </w:t>
            </w:r>
            <w:r>
              <w:rPr>
                <w:rFonts w:ascii="Arial" w:cs="Arial" w:eastAsia="Arial" w:hAnsi="Arial"/>
                <w:sz w:val="8"/>
                <w:szCs w:val="8"/>
                <w:color w:val="auto"/>
              </w:rPr>
              <w:t>5</w:t>
            </w: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9.3:1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8.2:1</w:t>
            </w:r>
          </w:p>
        </w:tc>
        <w:tc>
          <w:tcPr>
            <w:tcW w:w="20" w:type="dxa"/>
            <w:vAlign w:val="bottom"/>
            <w:shd w:val="clear" w:color="auto" w:fill="CCEEFF"/>
          </w:tcPr>
          <w:p>
            <w:pPr>
              <w:spacing w:after="0"/>
              <w:rPr>
                <w:sz w:val="24"/>
                <w:szCs w:val="24"/>
                <w:color w:val="auto"/>
              </w:rPr>
            </w:pPr>
          </w:p>
        </w:tc>
      </w:tr>
      <w:tr>
        <w:trPr>
          <w:trHeight w:val="264"/>
        </w:trPr>
        <w:tc>
          <w:tcPr>
            <w:tcW w:w="20" w:type="dxa"/>
            <w:vAlign w:val="bottom"/>
          </w:tcPr>
          <w:p>
            <w:pPr>
              <w:spacing w:after="0"/>
              <w:rPr>
                <w:sz w:val="22"/>
                <w:szCs w:val="22"/>
                <w:color w:val="auto"/>
              </w:rPr>
            </w:pPr>
          </w:p>
        </w:tc>
        <w:tc>
          <w:tcPr>
            <w:tcW w:w="7160" w:type="dxa"/>
            <w:vAlign w:val="bottom"/>
            <w:gridSpan w:val="3"/>
          </w:tcPr>
          <w:p>
            <w:pPr>
              <w:spacing w:after="0"/>
              <w:rPr>
                <w:sz w:val="20"/>
                <w:szCs w:val="20"/>
                <w:color w:val="auto"/>
              </w:rPr>
            </w:pPr>
            <w:r>
              <w:rPr>
                <w:rFonts w:ascii="Arial" w:cs="Arial" w:eastAsia="Arial" w:hAnsi="Arial"/>
                <w:sz w:val="14"/>
                <w:szCs w:val="14"/>
                <w:color w:val="auto"/>
              </w:rPr>
              <w:t xml:space="preserve">Tangible net book value "at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8"/>
                <w:szCs w:val="8"/>
                <w:color w:val="auto"/>
              </w:rPr>
              <w:t>6</w:t>
            </w:r>
          </w:p>
        </w:tc>
        <w:tc>
          <w:tcPr>
            <w:tcW w:w="140" w:type="dxa"/>
            <w:vAlign w:val="bottom"/>
          </w:tcPr>
          <w:p>
            <w:pPr>
              <w:spacing w:after="0"/>
              <w:rPr>
                <w:sz w:val="22"/>
                <w:szCs w:val="22"/>
                <w:color w:val="auto"/>
              </w:rPr>
            </w:pPr>
          </w:p>
        </w:tc>
        <w:tc>
          <w:tcPr>
            <w:tcW w:w="1120" w:type="dxa"/>
            <w:vAlign w:val="bottom"/>
          </w:tcPr>
          <w:p>
            <w:pPr>
              <w:jc w:val="right"/>
              <w:ind w:right="80"/>
              <w:spacing w:after="0"/>
              <w:rPr>
                <w:sz w:val="20"/>
                <w:szCs w:val="20"/>
                <w:color w:val="auto"/>
              </w:rPr>
            </w:pPr>
            <w:r>
              <w:rPr>
                <w:rFonts w:ascii="Arial" w:cs="Arial" w:eastAsia="Arial" w:hAnsi="Arial"/>
                <w:sz w:val="16"/>
                <w:szCs w:val="16"/>
                <w:color w:val="auto"/>
              </w:rPr>
              <w:t>9.4:1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8.2:1</w:t>
            </w:r>
          </w:p>
        </w:tc>
        <w:tc>
          <w:tcPr>
            <w:tcW w:w="20" w:type="dxa"/>
            <w:vAlign w:val="bottom"/>
          </w:tcPr>
          <w:p>
            <w:pPr>
              <w:spacing w:after="0"/>
              <w:rPr>
                <w:sz w:val="22"/>
                <w:szCs w:val="22"/>
                <w:color w:val="auto"/>
              </w:rPr>
            </w:pPr>
          </w:p>
        </w:tc>
      </w:tr>
      <w:tr>
        <w:trPr>
          <w:trHeight w:val="276"/>
        </w:trPr>
        <w:tc>
          <w:tcPr>
            <w:tcW w:w="20" w:type="dxa"/>
            <w:vAlign w:val="bottom"/>
            <w:shd w:val="clear" w:color="auto" w:fill="CCEEFF"/>
          </w:tcPr>
          <w:p>
            <w:pPr>
              <w:spacing w:after="0"/>
              <w:rPr>
                <w:sz w:val="24"/>
                <w:szCs w:val="24"/>
                <w:color w:val="auto"/>
              </w:rPr>
            </w:pPr>
          </w:p>
        </w:tc>
        <w:tc>
          <w:tcPr>
            <w:tcW w:w="71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 xml:space="preserve">Economic return on tangible common equity </w:t>
            </w:r>
            <w:r>
              <w:rPr>
                <w:rFonts w:ascii="Arial" w:cs="Arial" w:eastAsia="Arial" w:hAnsi="Arial"/>
                <w:sz w:val="8"/>
                <w:szCs w:val="8"/>
                <w:color w:val="auto"/>
              </w:rPr>
              <w:t>7</w:t>
            </w: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w:t>
            </w:r>
          </w:p>
        </w:tc>
        <w:tc>
          <w:tcPr>
            <w:tcW w:w="20" w:type="dxa"/>
            <w:vAlign w:val="bottom"/>
            <w:shd w:val="clear" w:color="auto" w:fill="CCEEFF"/>
          </w:tcPr>
          <w:p>
            <w:pPr>
              <w:spacing w:after="0"/>
              <w:rPr>
                <w:sz w:val="24"/>
                <w:szCs w:val="24"/>
                <w:color w:val="auto"/>
              </w:rPr>
            </w:pPr>
          </w:p>
        </w:tc>
      </w:tr>
      <w:tr>
        <w:trPr>
          <w:trHeight w:val="264"/>
        </w:trPr>
        <w:tc>
          <w:tcPr>
            <w:tcW w:w="20" w:type="dxa"/>
            <w:vAlign w:val="bottom"/>
          </w:tcPr>
          <w:p>
            <w:pPr>
              <w:spacing w:after="0"/>
              <w:rPr>
                <w:sz w:val="22"/>
                <w:szCs w:val="22"/>
                <w:color w:val="auto"/>
              </w:rPr>
            </w:pPr>
          </w:p>
        </w:tc>
        <w:tc>
          <w:tcPr>
            <w:tcW w:w="7160" w:type="dxa"/>
            <w:vAlign w:val="bottom"/>
            <w:gridSpan w:val="3"/>
          </w:tcPr>
          <w:p>
            <w:pPr>
              <w:spacing w:after="0"/>
              <w:rPr>
                <w:sz w:val="20"/>
                <w:szCs w:val="20"/>
                <w:color w:val="auto"/>
              </w:rPr>
            </w:pPr>
            <w:r>
              <w:rPr>
                <w:rFonts w:ascii="Arial" w:cs="Arial" w:eastAsia="Arial" w:hAnsi="Arial"/>
                <w:sz w:val="14"/>
                <w:szCs w:val="14"/>
                <w:color w:val="auto"/>
              </w:rPr>
              <w:t>Expenses % of average total assets</w:t>
            </w:r>
          </w:p>
        </w:tc>
        <w:tc>
          <w:tcPr>
            <w:tcW w:w="1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0.07%</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0.10 %</w:t>
            </w:r>
          </w:p>
        </w:tc>
        <w:tc>
          <w:tcPr>
            <w:tcW w:w="20" w:type="dxa"/>
            <w:vAlign w:val="bottom"/>
          </w:tcPr>
          <w:p>
            <w:pPr>
              <w:spacing w:after="0"/>
              <w:rPr>
                <w:sz w:val="22"/>
                <w:szCs w:val="22"/>
                <w:color w:val="auto"/>
              </w:rPr>
            </w:pPr>
          </w:p>
        </w:tc>
      </w:tr>
      <w:tr>
        <w:trPr>
          <w:trHeight w:val="276"/>
        </w:trPr>
        <w:tc>
          <w:tcPr>
            <w:tcW w:w="20" w:type="dxa"/>
            <w:vAlign w:val="bottom"/>
            <w:shd w:val="clear" w:color="auto" w:fill="CCEEFF"/>
          </w:tcPr>
          <w:p>
            <w:pPr>
              <w:spacing w:after="0"/>
              <w:rPr>
                <w:sz w:val="24"/>
                <w:szCs w:val="24"/>
                <w:color w:val="auto"/>
              </w:rPr>
            </w:pPr>
          </w:p>
        </w:tc>
        <w:tc>
          <w:tcPr>
            <w:tcW w:w="71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Expenses % of average assets, including average net TBA position</w:t>
            </w: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0.06%</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0.09 %</w:t>
            </w:r>
          </w:p>
        </w:tc>
        <w:tc>
          <w:tcPr>
            <w:tcW w:w="20" w:type="dxa"/>
            <w:vAlign w:val="bottom"/>
            <w:shd w:val="clear" w:color="auto" w:fill="CCEEFF"/>
          </w:tcPr>
          <w:p>
            <w:pPr>
              <w:spacing w:after="0"/>
              <w:rPr>
                <w:sz w:val="24"/>
                <w:szCs w:val="24"/>
                <w:color w:val="auto"/>
              </w:rPr>
            </w:pPr>
          </w:p>
        </w:tc>
      </w:tr>
      <w:tr>
        <w:trPr>
          <w:trHeight w:val="258"/>
        </w:trPr>
        <w:tc>
          <w:tcPr>
            <w:tcW w:w="20" w:type="dxa"/>
            <w:vAlign w:val="bottom"/>
          </w:tcPr>
          <w:p>
            <w:pPr>
              <w:spacing w:after="0"/>
              <w:rPr>
                <w:sz w:val="22"/>
                <w:szCs w:val="22"/>
                <w:color w:val="auto"/>
              </w:rPr>
            </w:pPr>
          </w:p>
        </w:tc>
        <w:tc>
          <w:tcPr>
            <w:tcW w:w="7160" w:type="dxa"/>
            <w:vAlign w:val="bottom"/>
            <w:gridSpan w:val="3"/>
          </w:tcPr>
          <w:p>
            <w:pPr>
              <w:spacing w:after="0"/>
              <w:rPr>
                <w:sz w:val="20"/>
                <w:szCs w:val="20"/>
                <w:color w:val="auto"/>
              </w:rPr>
            </w:pPr>
            <w:r>
              <w:rPr>
                <w:rFonts w:ascii="Arial" w:cs="Arial" w:eastAsia="Arial" w:hAnsi="Arial"/>
                <w:sz w:val="14"/>
                <w:szCs w:val="14"/>
                <w:color w:val="auto"/>
              </w:rPr>
              <w:t>Expenses % of average stockholders' equity</w:t>
            </w:r>
          </w:p>
        </w:tc>
        <w:tc>
          <w:tcPr>
            <w:tcW w:w="1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0.75%</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0.84 %</w:t>
            </w:r>
          </w:p>
        </w:tc>
        <w:tc>
          <w:tcPr>
            <w:tcW w:w="20" w:type="dxa"/>
            <w:vAlign w:val="bottom"/>
          </w:tcPr>
          <w:p>
            <w:pPr>
              <w:spacing w:after="0"/>
              <w:rPr>
                <w:sz w:val="22"/>
                <w:szCs w:val="22"/>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340"/>
        <w:spacing w:after="0"/>
        <w:rPr>
          <w:sz w:val="20"/>
          <w:szCs w:val="20"/>
          <w:color w:val="auto"/>
        </w:rPr>
      </w:pPr>
      <w:r>
        <w:rPr>
          <w:rFonts w:ascii="Arial" w:cs="Arial" w:eastAsia="Arial" w:hAnsi="Arial"/>
          <w:sz w:val="14"/>
          <w:szCs w:val="14"/>
          <w:color w:val="auto"/>
        </w:rPr>
        <w:t>* Except as noted below, average numbers for each period are weighted based on days on our books and records.</w:t>
      </w:r>
    </w:p>
    <w:p>
      <w:pPr>
        <w:spacing w:after="0" w:line="23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640"/>
          </w:cols>
          <w:pgMar w:left="240" w:top="806" w:right="1019" w:bottom="1440" w:gutter="0" w:footer="0" w:header="0"/>
        </w:sectPr>
      </w:pPr>
    </w:p>
    <w:bookmarkStart w:id="32" w:name="page33"/>
    <w:bookmarkEnd w:id="32"/>
    <w:p>
      <w:pPr>
        <w:ind w:left="980" w:hanging="648"/>
        <w:spacing w:after="0" w:line="250" w:lineRule="auto"/>
        <w:tabs>
          <w:tab w:leader="none" w:pos="656" w:val="left"/>
        </w:tabs>
        <w:numPr>
          <w:ilvl w:val="0"/>
          <w:numId w:val="28"/>
        </w:numPr>
        <w:rPr>
          <w:rFonts w:ascii="Arial" w:cs="Arial" w:eastAsia="Arial" w:hAnsi="Arial"/>
          <w:sz w:val="14"/>
          <w:szCs w:val="14"/>
          <w:color w:val="auto"/>
        </w:rPr>
      </w:pPr>
      <w:r>
        <w:rPr>
          <w:rFonts w:ascii="Arial" w:cs="Arial" w:eastAsia="Arial" w:hAnsi="Arial"/>
          <w:sz w:val="14"/>
          <w:szCs w:val="14"/>
          <w:color w:val="auto"/>
        </w:rPr>
        <w:t>Net book value per common share is calculated as total stockholders' equity, less preferred stock liquidation preference, divided by number of common shares outstanding as of period end.</w:t>
      </w: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Tangible net book value per common share excludes goodwill.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 excludes U.S. Treasury repo agreements and TBA contracts.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Average stockholders' equity calculated as average month-ended stockholders' equity during the period.</w:t>
      </w:r>
    </w:p>
    <w:p>
      <w:pPr>
        <w:spacing w:after="0" w:line="1" w:lineRule="exact"/>
        <w:rPr>
          <w:rFonts w:ascii="Arial" w:cs="Arial" w:eastAsia="Arial" w:hAnsi="Arial"/>
          <w:sz w:val="14"/>
          <w:szCs w:val="14"/>
          <w:color w:val="auto"/>
        </w:rPr>
      </w:pPr>
    </w:p>
    <w:p>
      <w:pPr>
        <w:ind w:left="980" w:right="20" w:hanging="648"/>
        <w:spacing w:after="0" w:line="260" w:lineRule="auto"/>
        <w:tabs>
          <w:tab w:leader="none" w:pos="656" w:val="left"/>
        </w:tabs>
        <w:numPr>
          <w:ilvl w:val="0"/>
          <w:numId w:val="28"/>
        </w:numPr>
        <w:rPr>
          <w:rFonts w:ascii="Arial" w:cs="Arial" w:eastAsia="Arial" w:hAnsi="Arial"/>
          <w:sz w:val="13"/>
          <w:szCs w:val="13"/>
          <w:color w:val="auto"/>
        </w:rPr>
      </w:pPr>
      <w:r>
        <w:rPr>
          <w:rFonts w:ascii="Arial" w:cs="Arial" w:eastAsia="Arial" w:hAnsi="Arial"/>
          <w:sz w:val="13"/>
          <w:szCs w:val="13"/>
          <w:color w:val="auto"/>
        </w:rPr>
        <w:t>Average tangible net book value "at risk" leverage is calculated by dividing the sum of daily weighted average mortgage borrowings outstanding (Agency repo, other debt and TBA securities (at cost)) for the period by the sum of average stockholders' equity adjusted to exclude goodwill for the period. Leverage excludes U.S. Treasury repurchase agreements.</w:t>
      </w:r>
    </w:p>
    <w:p>
      <w:pPr>
        <w:ind w:left="980" w:right="20" w:hanging="648"/>
        <w:spacing w:after="0" w:line="241" w:lineRule="auto"/>
        <w:tabs>
          <w:tab w:leader="none" w:pos="656" w:val="left"/>
        </w:tabs>
        <w:numPr>
          <w:ilvl w:val="0"/>
          <w:numId w:val="28"/>
        </w:numPr>
        <w:rPr>
          <w:rFonts w:ascii="Arial" w:cs="Arial" w:eastAsia="Arial" w:hAnsi="Arial"/>
          <w:sz w:val="14"/>
          <w:szCs w:val="14"/>
          <w:color w:val="auto"/>
        </w:rPr>
      </w:pPr>
      <w:r>
        <w:rPr>
          <w:rFonts w:ascii="Arial" w:cs="Arial" w:eastAsia="Arial" w:hAnsi="Arial"/>
          <w:sz w:val="14"/>
          <w:szCs w:val="14"/>
          <w:color w:val="auto"/>
        </w:rPr>
        <w:t>"At risk" leverage as of period end is calculated by dividing the sum of mortgage borrowings outstanding and receivable/payable for unsettled investment securities as of period end (at cost) by the sum of total stockholders' equity adjusted to exclude goodwill as of period end. Leverage excludes U.S. Treasury repurchase agreements.</w:t>
      </w:r>
    </w:p>
    <w:p>
      <w:pPr>
        <w:ind w:left="980" w:right="20" w:hanging="648"/>
        <w:spacing w:after="0" w:line="255" w:lineRule="auto"/>
        <w:tabs>
          <w:tab w:leader="none" w:pos="656" w:val="left"/>
        </w:tabs>
        <w:numPr>
          <w:ilvl w:val="0"/>
          <w:numId w:val="28"/>
        </w:numPr>
        <w:rPr>
          <w:rFonts w:ascii="Arial" w:cs="Arial" w:eastAsia="Arial" w:hAnsi="Arial"/>
          <w:sz w:val="14"/>
          <w:szCs w:val="14"/>
          <w:color w:val="auto"/>
        </w:rPr>
      </w:pPr>
      <w:r>
        <w:rPr>
          <w:rFonts w:ascii="Arial" w:cs="Arial" w:eastAsia="Arial" w:hAnsi="Arial"/>
          <w:sz w:val="14"/>
          <w:szCs w:val="14"/>
          <w:color w:val="auto"/>
        </w:rPr>
        <w:t>Economic return on tangible common equity represents the sum of the change in tangible net book value per common share and dividends declared on common stock during the period over beginning tangible net book value per common share.</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Income and Asset Yields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following table summarizes our economic interest income (a non-GAAP measure) for the three months ended March 31, 2019 and 2018, which includes the combination of interest income (a GAAP measure) on our holdings reported as investment securities on our consolidated balance sheets, adjusted to exclude estimated "catch-up" premium amortization adjustments due to changes in our CPR forecast, and implied interest income on our TBA securities (dollars in millions):</w:t>
      </w:r>
    </w:p>
    <w:p>
      <w:pPr>
        <w:spacing w:after="0" w:line="273" w:lineRule="exact"/>
        <w:rPr>
          <w:sz w:val="20"/>
          <w:szCs w:val="20"/>
          <w:color w:val="auto"/>
        </w:rPr>
      </w:pPr>
    </w:p>
    <w:tbl>
      <w:tblPr>
        <w:tblLayout w:type="fixed"/>
        <w:tblInd w:w="980" w:type="dxa"/>
        <w:tblCellMar>
          <w:top w:w="0" w:type="dxa"/>
          <w:left w:w="0" w:type="dxa"/>
          <w:bottom w:w="0" w:type="dxa"/>
          <w:right w:w="0" w:type="dxa"/>
        </w:tblCellMar>
      </w:tblPr>
      <w:tr>
        <w:trPr>
          <w:trHeight w:val="192"/>
        </w:trPr>
        <w:tc>
          <w:tcPr>
            <w:tcW w:w="54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7"/>
          </w:tcPr>
          <w:p>
            <w:pPr>
              <w:jc w:val="right"/>
              <w:ind w:right="280"/>
              <w:spacing w:after="0"/>
              <w:rPr>
                <w:sz w:val="20"/>
                <w:szCs w:val="20"/>
                <w:color w:val="auto"/>
              </w:rPr>
            </w:pPr>
            <w:r>
              <w:rPr>
                <w:rFonts w:ascii="Arial" w:cs="Arial" w:eastAsia="Arial" w:hAnsi="Arial"/>
                <w:sz w:val="14"/>
                <w:szCs w:val="14"/>
                <w:b w:val="1"/>
                <w:bCs w:val="1"/>
                <w:color w:val="auto"/>
                <w:w w:val="95"/>
              </w:rPr>
              <w:t>Three Months Ended March 31,</w:t>
            </w:r>
          </w:p>
        </w:tc>
        <w:tc>
          <w:tcPr>
            <w:tcW w:w="720" w:type="dxa"/>
            <w:vAlign w:val="bottom"/>
            <w:tcBorders>
              <w:bottom w:val="single" w:sz="8" w:color="auto"/>
            </w:tcBorders>
          </w:tcPr>
          <w:p>
            <w:pPr>
              <w:spacing w:after="0"/>
              <w:rPr>
                <w:sz w:val="16"/>
                <w:szCs w:val="16"/>
                <w:color w:val="auto"/>
              </w:rPr>
            </w:pPr>
          </w:p>
        </w:tc>
      </w:tr>
      <w:tr>
        <w:trPr>
          <w:trHeight w:val="264"/>
        </w:trPr>
        <w:tc>
          <w:tcPr>
            <w:tcW w:w="544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2019</w:t>
            </w:r>
          </w:p>
        </w:tc>
        <w:tc>
          <w:tcPr>
            <w:tcW w:w="72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2018</w:t>
            </w:r>
          </w:p>
        </w:tc>
        <w:tc>
          <w:tcPr>
            <w:tcW w:w="720" w:type="dxa"/>
            <w:vAlign w:val="bottom"/>
            <w:tcBorders>
              <w:bottom w:val="single" w:sz="8" w:color="auto"/>
            </w:tcBorders>
          </w:tcPr>
          <w:p>
            <w:pPr>
              <w:spacing w:after="0"/>
              <w:rPr>
                <w:sz w:val="22"/>
                <w:szCs w:val="22"/>
                <w:color w:val="auto"/>
              </w:rPr>
            </w:pPr>
          </w:p>
        </w:tc>
      </w:tr>
      <w:tr>
        <w:trPr>
          <w:trHeight w:val="263"/>
        </w:trPr>
        <w:tc>
          <w:tcPr>
            <w:tcW w:w="54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gridSpan w:val="3"/>
          </w:tcPr>
          <w:p>
            <w:pPr>
              <w:jc w:val="right"/>
              <w:ind w:right="468"/>
              <w:spacing w:after="0"/>
              <w:rPr>
                <w:sz w:val="20"/>
                <w:szCs w:val="20"/>
                <w:color w:val="auto"/>
              </w:rPr>
            </w:pPr>
            <w:r>
              <w:rPr>
                <w:rFonts w:ascii="Arial" w:cs="Arial" w:eastAsia="Arial" w:hAnsi="Arial"/>
                <w:sz w:val="14"/>
                <w:szCs w:val="14"/>
                <w:b w:val="1"/>
                <w:bCs w:val="1"/>
                <w:color w:val="auto"/>
                <w:w w:val="98"/>
              </w:rPr>
              <w:t>Amount</w:t>
            </w:r>
          </w:p>
        </w:tc>
        <w:tc>
          <w:tcPr>
            <w:tcW w:w="820" w:type="dxa"/>
            <w:vAlign w:val="bottom"/>
            <w:gridSpan w:val="2"/>
          </w:tcPr>
          <w:p>
            <w:pPr>
              <w:ind w:left="80"/>
              <w:spacing w:after="0"/>
              <w:rPr>
                <w:sz w:val="20"/>
                <w:szCs w:val="20"/>
                <w:color w:val="auto"/>
              </w:rPr>
            </w:pPr>
            <w:r>
              <w:rPr>
                <w:rFonts w:ascii="Arial" w:cs="Arial" w:eastAsia="Arial" w:hAnsi="Arial"/>
                <w:sz w:val="14"/>
                <w:szCs w:val="14"/>
                <w:b w:val="1"/>
                <w:bCs w:val="1"/>
                <w:color w:val="auto"/>
              </w:rPr>
              <w:t>Yield</w:t>
            </w:r>
          </w:p>
        </w:tc>
        <w:tc>
          <w:tcPr>
            <w:tcW w:w="160" w:type="dxa"/>
            <w:vAlign w:val="bottom"/>
          </w:tcPr>
          <w:p>
            <w:pPr>
              <w:spacing w:after="0"/>
              <w:rPr>
                <w:sz w:val="22"/>
                <w:szCs w:val="22"/>
                <w:color w:val="auto"/>
              </w:rPr>
            </w:pPr>
          </w:p>
        </w:tc>
        <w:tc>
          <w:tcPr>
            <w:tcW w:w="1080" w:type="dxa"/>
            <w:vAlign w:val="bottom"/>
            <w:gridSpan w:val="3"/>
          </w:tcPr>
          <w:p>
            <w:pPr>
              <w:jc w:val="right"/>
              <w:ind w:right="520"/>
              <w:spacing w:after="0"/>
              <w:rPr>
                <w:sz w:val="20"/>
                <w:szCs w:val="20"/>
                <w:color w:val="auto"/>
              </w:rPr>
            </w:pPr>
            <w:r>
              <w:rPr>
                <w:rFonts w:ascii="Arial" w:cs="Arial" w:eastAsia="Arial" w:hAnsi="Arial"/>
                <w:sz w:val="14"/>
                <w:szCs w:val="14"/>
                <w:b w:val="1"/>
                <w:bCs w:val="1"/>
                <w:color w:val="auto"/>
              </w:rPr>
              <w:t>Amount</w:t>
            </w:r>
          </w:p>
        </w:tc>
        <w:tc>
          <w:tcPr>
            <w:tcW w:w="720" w:type="dxa"/>
            <w:vAlign w:val="bottom"/>
          </w:tcPr>
          <w:p>
            <w:pPr>
              <w:jc w:val="right"/>
              <w:ind w:right="228"/>
              <w:spacing w:after="0"/>
              <w:rPr>
                <w:sz w:val="20"/>
                <w:szCs w:val="20"/>
                <w:color w:val="auto"/>
              </w:rPr>
            </w:pPr>
            <w:r>
              <w:rPr>
                <w:rFonts w:ascii="Arial" w:cs="Arial" w:eastAsia="Arial" w:hAnsi="Arial"/>
                <w:sz w:val="14"/>
                <w:szCs w:val="14"/>
                <w:b w:val="1"/>
                <w:bCs w:val="1"/>
                <w:color w:val="auto"/>
              </w:rPr>
              <w:t>Yield</w:t>
            </w:r>
          </w:p>
        </w:tc>
      </w:tr>
      <w:tr>
        <w:trPr>
          <w:trHeight w:val="264"/>
        </w:trPr>
        <w:tc>
          <w:tcPr>
            <w:tcW w:w="5440" w:type="dxa"/>
            <w:vAlign w:val="bottom"/>
          </w:tcPr>
          <w:p>
            <w:pPr>
              <w:ind w:left="20"/>
              <w:spacing w:after="0"/>
              <w:rPr>
                <w:sz w:val="20"/>
                <w:szCs w:val="20"/>
                <w:color w:val="auto"/>
              </w:rPr>
            </w:pPr>
            <w:r>
              <w:rPr>
                <w:rFonts w:ascii="Arial" w:cs="Arial" w:eastAsia="Arial" w:hAnsi="Arial"/>
                <w:sz w:val="14"/>
                <w:szCs w:val="14"/>
                <w:color w:val="auto"/>
              </w:rPr>
              <w:t>Interest income:</w:t>
            </w:r>
          </w:p>
        </w:tc>
        <w:tc>
          <w:tcPr>
            <w:tcW w:w="16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r>
      <w:tr>
        <w:trPr>
          <w:trHeight w:val="276"/>
        </w:trPr>
        <w:tc>
          <w:tcPr>
            <w:tcW w:w="544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Cash/coupon interest income</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847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3.89 %</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500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3.70 %</w:t>
            </w:r>
          </w:p>
        </w:tc>
      </w:tr>
      <w:tr>
        <w:trPr>
          <w:trHeight w:val="264"/>
        </w:trPr>
        <w:tc>
          <w:tcPr>
            <w:tcW w:w="544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Net premium amortization</w:t>
            </w: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(142)</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(69)</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(0.65)%</w:t>
            </w:r>
          </w:p>
        </w:tc>
      </w:tr>
      <w:tr>
        <w:trPr>
          <w:trHeight w:val="256"/>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705</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3.14 %</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431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3.05 %</w:t>
            </w:r>
          </w:p>
        </w:tc>
      </w:tr>
      <w:tr>
        <w:trPr>
          <w:trHeight w:val="264"/>
        </w:trPr>
        <w:tc>
          <w:tcPr>
            <w:tcW w:w="544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w w:val="97"/>
              </w:rPr>
              <w:t>Estimated "catch-up" premium amortization cost (benefit) due to change in CPR forecast</w:t>
            </w: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39</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0.17 %</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(0.15)%</w:t>
            </w:r>
          </w:p>
        </w:tc>
      </w:tr>
      <w:tr>
        <w:trPr>
          <w:trHeight w:val="256"/>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744</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3.31 %</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410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2.90 %</w:t>
            </w:r>
          </w:p>
        </w:tc>
      </w:tr>
      <w:tr>
        <w:trPr>
          <w:trHeight w:val="264"/>
        </w:trPr>
        <w:tc>
          <w:tcPr>
            <w:tcW w:w="544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8"/>
                <w:szCs w:val="8"/>
                <w:color w:val="auto"/>
              </w:rPr>
              <w:t>1,2</w:t>
            </w: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71</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3.55 %</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120</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3.08 %</w:t>
            </w:r>
          </w:p>
        </w:tc>
      </w:tr>
      <w:tr>
        <w:trPr>
          <w:trHeight w:val="243"/>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 xml:space="preserve">Economic interest income, excluding "catch-up" amortization (non-GAAP measure) </w:t>
            </w:r>
            <w:r>
              <w:rPr>
                <w:rFonts w:ascii="Arial" w:cs="Arial" w:eastAsia="Arial" w:hAnsi="Arial"/>
                <w:sz w:val="8"/>
                <w:szCs w:val="8"/>
                <w:color w:val="auto"/>
              </w:rPr>
              <w:t>3</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815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3.33 %</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530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2.94 %</w:t>
            </w:r>
          </w:p>
        </w:tc>
      </w:tr>
      <w:tr>
        <w:trPr>
          <w:trHeight w:val="20"/>
        </w:trPr>
        <w:tc>
          <w:tcPr>
            <w:tcW w:w="54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64"/>
        </w:trPr>
        <w:tc>
          <w:tcPr>
            <w:tcW w:w="54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0"/>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actual portfolio CPR for investment securities held during the period</w:t>
            </w: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r>
      <w:tr>
        <w:trPr>
          <w:trHeight w:val="157"/>
        </w:trPr>
        <w:tc>
          <w:tcPr>
            <w:tcW w:w="5440" w:type="dxa"/>
            <w:vAlign w:val="bottom"/>
          </w:tcPr>
          <w:p>
            <w:pPr>
              <w:ind w:left="20"/>
              <w:spacing w:after="0" w:line="157" w:lineRule="exact"/>
              <w:rPr>
                <w:sz w:val="20"/>
                <w:szCs w:val="20"/>
                <w:color w:val="auto"/>
              </w:rPr>
            </w:pPr>
            <w:r>
              <w:rPr>
                <w:rFonts w:ascii="Arial" w:cs="Arial" w:eastAsia="Arial" w:hAnsi="Arial"/>
                <w:sz w:val="14"/>
                <w:szCs w:val="14"/>
                <w:color w:val="auto"/>
                <w:w w:val="97"/>
              </w:rPr>
              <w:t>Weighted average projected CPR for the remaining life of investment securities held as of</w:t>
            </w: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r>
      <w:tr>
        <w:trPr>
          <w:trHeight w:val="188"/>
        </w:trPr>
        <w:tc>
          <w:tcPr>
            <w:tcW w:w="5440" w:type="dxa"/>
            <w:vAlign w:val="bottom"/>
          </w:tcPr>
          <w:p>
            <w:pPr>
              <w:ind w:left="20"/>
              <w:spacing w:after="0"/>
              <w:rPr>
                <w:sz w:val="20"/>
                <w:szCs w:val="20"/>
                <w:color w:val="auto"/>
              </w:rPr>
            </w:pPr>
            <w:r>
              <w:rPr>
                <w:rFonts w:ascii="Arial" w:cs="Arial" w:eastAsia="Arial" w:hAnsi="Arial"/>
                <w:sz w:val="14"/>
                <w:szCs w:val="14"/>
                <w:color w:val="auto"/>
              </w:rPr>
              <w:t>period end</w:t>
            </w:r>
          </w:p>
        </w:tc>
        <w:tc>
          <w:tcPr>
            <w:tcW w:w="16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10.5%</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7.6%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spacing w:after="0"/>
              <w:rPr>
                <w:sz w:val="16"/>
                <w:szCs w:val="16"/>
                <w:color w:val="auto"/>
              </w:rPr>
            </w:pPr>
          </w:p>
        </w:tc>
      </w:tr>
      <w:tr>
        <w:trPr>
          <w:trHeight w:val="276"/>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8"/>
                <w:szCs w:val="8"/>
                <w:color w:val="auto"/>
              </w:rPr>
              <w:t>4</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4.06%</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r>
      <w:tr>
        <w:trPr>
          <w:trHeight w:val="258"/>
        </w:trPr>
        <w:tc>
          <w:tcPr>
            <w:tcW w:w="5440" w:type="dxa"/>
            <w:vAlign w:val="bottom"/>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6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2.41%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2.74%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r>
    </w:tbl>
    <w:p>
      <w:pPr>
        <w:ind w:left="6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Reported in gain (loss) on derivatives instruments and other securities, net in the accompanying consolidated statements of operations.</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 xml:space="preserve">Implied interest income from TBA dollar roll transactions is computed as the sum of (i) TBA dollar roll income and (ii) estimated TBA implied funding cost (see </w:t>
      </w:r>
      <w:r>
        <w:rPr>
          <w:rFonts w:ascii="Arial" w:cs="Arial" w:eastAsia="Arial" w:hAnsi="Arial"/>
          <w:sz w:val="14"/>
          <w:szCs w:val="14"/>
          <w:i w:val="1"/>
          <w:iCs w:val="1"/>
          <w:color w:val="auto"/>
        </w:rPr>
        <w:t>Economic Interest</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Expense and Aggregate Cost of Funds </w:t>
      </w:r>
      <w:r>
        <w:rPr>
          <w:rFonts w:ascii="Arial" w:cs="Arial" w:eastAsia="Arial" w:hAnsi="Arial"/>
          <w:sz w:val="14"/>
          <w:szCs w:val="14"/>
          <w:color w:val="auto"/>
        </w:rPr>
        <w:t>below). TBA dollar roll income represents the price differential, or "price drop," between the TBA price for current month settlement versus the</w:t>
      </w:r>
      <w:r>
        <w:rPr>
          <w:rFonts w:ascii="Arial" w:cs="Arial" w:eastAsia="Arial" w:hAnsi="Arial"/>
          <w:sz w:val="14"/>
          <w:szCs w:val="14"/>
          <w:i w:val="1"/>
          <w:iCs w:val="1"/>
          <w:color w:val="auto"/>
        </w:rPr>
        <w:t xml:space="preserve"> </w:t>
      </w:r>
      <w:r>
        <w:rPr>
          <w:rFonts w:ascii="Arial" w:cs="Arial" w:eastAsia="Arial" w:hAnsi="Arial"/>
          <w:sz w:val="14"/>
          <w:szCs w:val="14"/>
          <w:color w:val="auto"/>
        </w:rPr>
        <w:t>TBA price for forward 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9"/>
        </w:numPr>
        <w:rPr>
          <w:rFonts w:ascii="Arial" w:cs="Arial" w:eastAsia="Arial" w:hAnsi="Arial"/>
          <w:sz w:val="13"/>
          <w:szCs w:val="13"/>
          <w:color w:val="auto"/>
        </w:rPr>
      </w:pPr>
      <w:r>
        <w:rPr>
          <w:rFonts w:ascii="Arial" w:cs="Arial" w:eastAsia="Arial" w:hAnsi="Arial"/>
          <w:sz w:val="13"/>
          <w:szCs w:val="13"/>
          <w:color w:val="auto"/>
        </w:rPr>
        <w:t>The combined asset yield is calculated on a weighted average basis based on our average investment and TBA balances outstanding during the period and their respective yields.</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Source: Freddie Mac Primary Fixed Mortgage Rate Mortgage Market Survey</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principal elements impacting our economic interest income are the size of our average investment portfolio and the yield (actual and implied) on our securities. The following table includes a summary of the estimated impact of each of these elements on our economic interest income for the three months ended March 31, 2019, compared to the prior year period (in millions):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580" w:right="239" w:bottom="1440" w:gutter="0" w:footer="0" w:header="0"/>
        </w:sectPr>
      </w:pPr>
    </w:p>
    <w:bookmarkStart w:id="33" w:name="page34"/>
    <w:bookmarkEnd w:id="33"/>
    <w:p>
      <w:pPr>
        <w:jc w:val="center"/>
        <w:spacing w:after="0"/>
        <w:rPr>
          <w:sz w:val="20"/>
          <w:szCs w:val="20"/>
          <w:color w:val="auto"/>
        </w:rPr>
      </w:pPr>
      <w:r>
        <w:rPr>
          <w:rFonts w:ascii="Arial" w:cs="Arial" w:eastAsia="Arial" w:hAnsi="Arial"/>
          <w:sz w:val="14"/>
          <w:szCs w:val="14"/>
          <w:b w:val="1"/>
          <w:bCs w:val="1"/>
          <w:color w:val="auto"/>
        </w:rPr>
        <w:t>Impact of Changes in the Principal Elements Impacting Economic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Three Months Ended March 31, 2019 vs. March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4"/>
          </w:tcPr>
          <w:p>
            <w:pPr>
              <w:jc w:val="right"/>
              <w:ind w:right="628"/>
              <w:spacing w:after="0"/>
              <w:rPr>
                <w:sz w:val="20"/>
                <w:szCs w:val="20"/>
                <w:color w:val="auto"/>
              </w:rPr>
            </w:pPr>
            <w:r>
              <w:rPr>
                <w:rFonts w:ascii="Arial" w:cs="Arial" w:eastAsia="Arial" w:hAnsi="Arial"/>
                <w:sz w:val="14"/>
                <w:szCs w:val="14"/>
                <w:b w:val="1"/>
                <w:bCs w:val="1"/>
                <w:color w:val="auto"/>
              </w:rPr>
              <w:t>Due to Change in Average</w:t>
            </w:r>
          </w:p>
        </w:tc>
      </w:tr>
      <w:tr>
        <w:trPr>
          <w:trHeight w:val="153"/>
        </w:trPr>
        <w:tc>
          <w:tcPr>
            <w:tcW w:w="6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280" w:type="dxa"/>
            <w:vAlign w:val="bottom"/>
          </w:tcPr>
          <w:p>
            <w:pPr>
              <w:spacing w:after="0"/>
              <w:rPr>
                <w:sz w:val="13"/>
                <w:szCs w:val="13"/>
                <w:color w:val="auto"/>
              </w:rPr>
            </w:pPr>
          </w:p>
        </w:tc>
        <w:tc>
          <w:tcPr>
            <w:tcW w:w="1300" w:type="dxa"/>
            <w:vAlign w:val="bottom"/>
            <w:gridSpan w:val="2"/>
          </w:tcPr>
          <w:p>
            <w:pPr>
              <w:jc w:val="center"/>
              <w:ind w:right="400"/>
              <w:spacing w:after="0" w:line="153" w:lineRule="exact"/>
              <w:rPr>
                <w:sz w:val="20"/>
                <w:szCs w:val="20"/>
                <w:color w:val="auto"/>
              </w:rPr>
            </w:pPr>
            <w:r>
              <w:rPr>
                <w:rFonts w:ascii="Arial" w:cs="Arial" w:eastAsia="Arial" w:hAnsi="Arial"/>
                <w:sz w:val="14"/>
                <w:szCs w:val="14"/>
                <w:b w:val="1"/>
                <w:bCs w:val="1"/>
                <w:color w:val="auto"/>
                <w:w w:val="93"/>
              </w:rPr>
              <w:t>Portfolio</w:t>
            </w:r>
          </w:p>
        </w:tc>
        <w:tc>
          <w:tcPr>
            <w:tcW w:w="340" w:type="dxa"/>
            <w:vAlign w:val="bottom"/>
          </w:tcPr>
          <w:p>
            <w:pPr>
              <w:spacing w:after="0"/>
              <w:rPr>
                <w:sz w:val="13"/>
                <w:szCs w:val="13"/>
                <w:color w:val="auto"/>
              </w:rPr>
            </w:pPr>
          </w:p>
        </w:tc>
        <w:tc>
          <w:tcPr>
            <w:tcW w:w="1120" w:type="dxa"/>
            <w:vAlign w:val="bottom"/>
          </w:tcPr>
          <w:p>
            <w:pPr>
              <w:jc w:val="right"/>
              <w:ind w:right="488"/>
              <w:spacing w:after="0" w:line="153" w:lineRule="exact"/>
              <w:rPr>
                <w:sz w:val="20"/>
                <w:szCs w:val="20"/>
                <w:color w:val="auto"/>
              </w:rPr>
            </w:pPr>
            <w:r>
              <w:rPr>
                <w:rFonts w:ascii="Arial" w:cs="Arial" w:eastAsia="Arial" w:hAnsi="Arial"/>
                <w:sz w:val="14"/>
                <w:szCs w:val="14"/>
                <w:b w:val="1"/>
                <w:bCs w:val="1"/>
                <w:color w:val="auto"/>
              </w:rPr>
              <w:t>Asset</w:t>
            </w:r>
          </w:p>
        </w:tc>
      </w:tr>
      <w:tr>
        <w:trPr>
          <w:trHeight w:val="192"/>
        </w:trPr>
        <w:tc>
          <w:tcPr>
            <w:tcW w:w="6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(Decrease)</w:t>
            </w:r>
          </w:p>
        </w:tc>
        <w:tc>
          <w:tcPr>
            <w:tcW w:w="280" w:type="dxa"/>
            <w:vAlign w:val="bottom"/>
          </w:tcPr>
          <w:p>
            <w:pPr>
              <w:spacing w:after="0"/>
              <w:rPr>
                <w:sz w:val="16"/>
                <w:szCs w:val="16"/>
                <w:color w:val="auto"/>
              </w:rPr>
            </w:pPr>
          </w:p>
        </w:tc>
        <w:tc>
          <w:tcPr>
            <w:tcW w:w="13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5"/>
              </w:rPr>
              <w:t>Size</w:t>
            </w:r>
          </w:p>
        </w:tc>
        <w:tc>
          <w:tcPr>
            <w:tcW w:w="340" w:type="dxa"/>
            <w:vAlign w:val="bottom"/>
          </w:tcPr>
          <w:p>
            <w:pPr>
              <w:spacing w:after="0"/>
              <w:rPr>
                <w:sz w:val="16"/>
                <w:szCs w:val="16"/>
                <w:color w:val="auto"/>
              </w:rPr>
            </w:pPr>
          </w:p>
        </w:tc>
        <w:tc>
          <w:tcPr>
            <w:tcW w:w="1120" w:type="dxa"/>
            <w:vAlign w:val="bottom"/>
          </w:tcPr>
          <w:p>
            <w:pPr>
              <w:jc w:val="right"/>
              <w:ind w:right="488"/>
              <w:spacing w:after="0"/>
              <w:rPr>
                <w:sz w:val="20"/>
                <w:szCs w:val="20"/>
                <w:color w:val="auto"/>
              </w:rPr>
            </w:pPr>
            <w:r>
              <w:rPr>
                <w:rFonts w:ascii="Arial" w:cs="Arial" w:eastAsia="Arial" w:hAnsi="Arial"/>
                <w:sz w:val="14"/>
                <w:szCs w:val="14"/>
                <w:b w:val="1"/>
                <w:bCs w:val="1"/>
                <w:color w:val="auto"/>
              </w:rPr>
              <w:t>Yield</w:t>
            </w:r>
          </w:p>
        </w:tc>
      </w:tr>
      <w:tr>
        <w:trPr>
          <w:trHeight w:val="250"/>
        </w:trPr>
        <w:tc>
          <w:tcPr>
            <w:tcW w:w="6760" w:type="dxa"/>
            <w:vAlign w:val="bottom"/>
          </w:tcPr>
          <w:p>
            <w:pPr>
              <w:ind w:left="40"/>
              <w:spacing w:after="0"/>
              <w:rPr>
                <w:sz w:val="20"/>
                <w:szCs w:val="20"/>
                <w:color w:val="auto"/>
              </w:rPr>
            </w:pPr>
            <w:r>
              <w:rPr>
                <w:rFonts w:ascii="Arial" w:cs="Arial" w:eastAsia="Arial" w:hAnsi="Arial"/>
                <w:sz w:val="14"/>
                <w:szCs w:val="14"/>
                <w:color w:val="auto"/>
              </w:rPr>
              <w:t>Interest Income (GAAP measure)</w:t>
            </w:r>
          </w:p>
        </w:tc>
        <w:tc>
          <w:tcPr>
            <w:tcW w:w="18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3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274</w:t>
            </w:r>
          </w:p>
        </w:tc>
        <w:tc>
          <w:tcPr>
            <w:tcW w:w="120" w:type="dxa"/>
            <w:vAlign w:val="bottom"/>
          </w:tcPr>
          <w:p>
            <w:pPr>
              <w:spacing w:after="0"/>
              <w:rPr>
                <w:sz w:val="21"/>
                <w:szCs w:val="21"/>
                <w:color w:val="auto"/>
              </w:rPr>
            </w:pPr>
          </w:p>
        </w:tc>
        <w:tc>
          <w:tcPr>
            <w:tcW w:w="280" w:type="dxa"/>
            <w:vAlign w:val="bottom"/>
            <w:tcBorders>
              <w:top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254</w:t>
            </w:r>
          </w:p>
        </w:tc>
        <w:tc>
          <w:tcPr>
            <w:tcW w:w="100" w:type="dxa"/>
            <w:vAlign w:val="bottom"/>
          </w:tcPr>
          <w:p>
            <w:pPr>
              <w:spacing w:after="0"/>
              <w:rPr>
                <w:sz w:val="21"/>
                <w:szCs w:val="21"/>
                <w:color w:val="auto"/>
              </w:rPr>
            </w:pPr>
          </w:p>
        </w:tc>
        <w:tc>
          <w:tcPr>
            <w:tcW w:w="34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20</w:t>
            </w:r>
          </w:p>
        </w:tc>
      </w:tr>
      <w:tr>
        <w:trPr>
          <w:trHeight w:val="270"/>
        </w:trPr>
        <w:tc>
          <w:tcPr>
            <w:tcW w:w="6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80" w:type="dxa"/>
            <w:vAlign w:val="bottom"/>
            <w:shd w:val="clear" w:color="auto" w:fill="CCEEFF"/>
          </w:tcPr>
          <w:p>
            <w:pPr>
              <w:spacing w:after="0"/>
              <w:rPr>
                <w:sz w:val="23"/>
                <w:szCs w:val="23"/>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60</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w:t>
            </w:r>
          </w:p>
        </w:tc>
      </w:tr>
      <w:tr>
        <w:trPr>
          <w:trHeight w:val="250"/>
        </w:trPr>
        <w:tc>
          <w:tcPr>
            <w:tcW w:w="6760" w:type="dxa"/>
            <w:vAlign w:val="bottom"/>
          </w:tcPr>
          <w:p>
            <w:pPr>
              <w:ind w:left="40"/>
              <w:spacing w:after="0"/>
              <w:rPr>
                <w:sz w:val="20"/>
                <w:szCs w:val="20"/>
                <w:color w:val="auto"/>
              </w:rPr>
            </w:pPr>
            <w:r>
              <w:rPr>
                <w:rFonts w:ascii="Arial" w:cs="Arial" w:eastAsia="Arial" w:hAnsi="Arial"/>
                <w:sz w:val="14"/>
                <w:szCs w:val="14"/>
                <w:color w:val="auto"/>
              </w:rPr>
              <w:t>Interest income, excluding "catch-up" premium amortization</w:t>
            </w:r>
          </w:p>
        </w:tc>
        <w:tc>
          <w:tcPr>
            <w:tcW w:w="180" w:type="dxa"/>
            <w:vAlign w:val="bottom"/>
            <w:tcBorders>
              <w:top w:val="single" w:sz="8" w:color="auto"/>
            </w:tcBorders>
          </w:tcPr>
          <w:p>
            <w:pPr>
              <w:spacing w:after="0"/>
              <w:rPr>
                <w:sz w:val="21"/>
                <w:szCs w:val="21"/>
                <w:color w:val="auto"/>
              </w:rPr>
            </w:pPr>
          </w:p>
        </w:tc>
        <w:tc>
          <w:tcPr>
            <w:tcW w:w="13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334</w:t>
            </w:r>
          </w:p>
        </w:tc>
        <w:tc>
          <w:tcPr>
            <w:tcW w:w="12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254</w:t>
            </w:r>
          </w:p>
        </w:tc>
        <w:tc>
          <w:tcPr>
            <w:tcW w:w="100" w:type="dxa"/>
            <w:vAlign w:val="bottom"/>
          </w:tcPr>
          <w:p>
            <w:pPr>
              <w:spacing w:after="0"/>
              <w:rPr>
                <w:sz w:val="21"/>
                <w:szCs w:val="21"/>
                <w:color w:val="auto"/>
              </w:rPr>
            </w:pPr>
          </w:p>
        </w:tc>
        <w:tc>
          <w:tcPr>
            <w:tcW w:w="340" w:type="dxa"/>
            <w:vAlign w:val="bottom"/>
            <w:tcBorders>
              <w:top w:val="single" w:sz="8" w:color="auto"/>
            </w:tcBorders>
          </w:tcPr>
          <w:p>
            <w:pPr>
              <w:spacing w:after="0"/>
              <w:rPr>
                <w:sz w:val="21"/>
                <w:szCs w:val="21"/>
                <w:color w:val="auto"/>
              </w:rPr>
            </w:pPr>
          </w:p>
        </w:tc>
        <w:tc>
          <w:tcPr>
            <w:tcW w:w="11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80</w:t>
            </w:r>
          </w:p>
        </w:tc>
      </w:tr>
      <w:tr>
        <w:trPr>
          <w:trHeight w:val="270"/>
        </w:trPr>
        <w:tc>
          <w:tcPr>
            <w:tcW w:w="6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TBA dollar roll income - implied interest income</w:t>
            </w:r>
          </w:p>
        </w:tc>
        <w:tc>
          <w:tcPr>
            <w:tcW w:w="180" w:type="dxa"/>
            <w:vAlign w:val="bottom"/>
            <w:tcBorders>
              <w:bottom w:val="single" w:sz="8" w:color="auto"/>
            </w:tcBorders>
            <w:shd w:val="clear" w:color="auto" w:fill="CCEEFF"/>
          </w:tcPr>
          <w:p>
            <w:pPr>
              <w:spacing w:after="0"/>
              <w:rPr>
                <w:sz w:val="23"/>
                <w:szCs w:val="23"/>
                <w:color w:val="auto"/>
              </w:rPr>
            </w:pPr>
          </w:p>
        </w:tc>
        <w:tc>
          <w:tcPr>
            <w:tcW w:w="13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(49)</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r>
      <w:tr>
        <w:trPr>
          <w:trHeight w:val="243"/>
        </w:trPr>
        <w:tc>
          <w:tcPr>
            <w:tcW w:w="6760" w:type="dxa"/>
            <w:vAlign w:val="bottom"/>
          </w:tcPr>
          <w:p>
            <w:pPr>
              <w:ind w:left="4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285</w:t>
            </w:r>
          </w:p>
        </w:tc>
        <w:tc>
          <w:tcPr>
            <w:tcW w:w="120" w:type="dxa"/>
            <w:vAlign w:val="bottom"/>
          </w:tcPr>
          <w:p>
            <w:pPr>
              <w:spacing w:after="0"/>
              <w:rPr>
                <w:sz w:val="21"/>
                <w:szCs w:val="21"/>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203</w:t>
            </w:r>
          </w:p>
        </w:tc>
        <w:tc>
          <w:tcPr>
            <w:tcW w:w="100" w:type="dxa"/>
            <w:vAlign w:val="bottom"/>
          </w:tcPr>
          <w:p>
            <w:pPr>
              <w:spacing w:after="0"/>
              <w:rPr>
                <w:sz w:val="21"/>
                <w:szCs w:val="21"/>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82</w:t>
            </w:r>
          </w:p>
        </w:tc>
      </w:tr>
      <w:tr>
        <w:trPr>
          <w:trHeight w:val="20"/>
        </w:trPr>
        <w:tc>
          <w:tcPr>
            <w:tcW w:w="67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average investment portfolio, inclusive of TBAs, increased 36% (at cost) for the three months ended March 31, 2019, compared to the prior year period, in line with the deployment of new equity capital and an increase in our tangible equity "at risk" leverage ratio. The increase in our average asset yield over the prior year period was largely due to changes in asset composition, as we increased our holdings of higher coupon, 30-year fixed rate securities relative to shorter duration assets.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Our primary measure of leverage is our tangible net book value "at risk" leverage ratio, which is measured as the sum of our Agency repurchase agreements, other debt used to fund our investment securities and net TBA position (at cost) (together referred to as "mortgage borrowings") and our net receivable/payable for unsettled investment securities, divided by our total stockholders' equity adjusted to exclude goodwill and other intangible asset.</w:t>
      </w:r>
    </w:p>
    <w:p>
      <w:pPr>
        <w:spacing w:after="0" w:line="93"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8"/>
          <w:szCs w:val="18"/>
          <w:i w:val="1"/>
          <w:iCs w:val="1"/>
          <w:color w:val="auto"/>
        </w:rPr>
        <w:t xml:space="preserve">Liquidity and Capital Resources </w:t>
      </w:r>
      <w:r>
        <w:rPr>
          <w:rFonts w:ascii="Arial" w:cs="Arial" w:eastAsia="Arial" w:hAnsi="Arial"/>
          <w:sz w:val="18"/>
          <w:szCs w:val="18"/>
          <w:color w:val="auto"/>
        </w:rPr>
        <w:t>for further discussion of TBA securities and dollar roll transactions). Repurchase agreements used to fund short-term</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investments in U.S. Treasury securities ("U.S. Treasury repo") are excluded from our measure of leverage due to the temporary and highly liquid nature of these investments.</w:t>
      </w:r>
    </w:p>
    <w:p>
      <w:pPr>
        <w:spacing w:after="0" w:line="13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tangible net book value "at risk" leverage increased to 9.4x as of March 31, 2019, compared to 9.0x as of December 31, 2018 and 8.2x as of March 31, 2018, in light of improved overall levered returns on Agency RMBS and the availability of suitable financing. The table below presents a summary of our leverage ratios for the periods listed (dollars in millions):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820" w:type="dxa"/>
            <w:vAlign w:val="bottom"/>
            <w:gridSpan w:val="9"/>
            <w:vMerge w:val="restart"/>
          </w:tcPr>
          <w:p>
            <w:pPr>
              <w:jc w:val="center"/>
              <w:ind w:right="80"/>
              <w:spacing w:after="0"/>
              <w:rPr>
                <w:sz w:val="20"/>
                <w:szCs w:val="20"/>
                <w:color w:val="auto"/>
              </w:rPr>
            </w:pPr>
            <w:r>
              <w:rPr>
                <w:rFonts w:ascii="Arial" w:cs="Arial" w:eastAsia="Arial" w:hAnsi="Arial"/>
                <w:sz w:val="13"/>
                <w:szCs w:val="13"/>
                <w:b w:val="1"/>
                <w:bCs w:val="1"/>
                <w:color w:val="auto"/>
                <w:w w:val="86"/>
              </w:rPr>
              <w:t>Agency Repurchase Agreements and Other Debt</w:t>
            </w:r>
          </w:p>
        </w:tc>
        <w:tc>
          <w:tcPr>
            <w:tcW w:w="120" w:type="dxa"/>
            <w:vAlign w:val="bottom"/>
          </w:tcPr>
          <w:p>
            <w:pPr>
              <w:spacing w:after="0"/>
              <w:rPr>
                <w:sz w:val="12"/>
                <w:szCs w:val="12"/>
                <w:color w:val="auto"/>
              </w:rPr>
            </w:pPr>
          </w:p>
        </w:tc>
        <w:tc>
          <w:tcPr>
            <w:tcW w:w="1540" w:type="dxa"/>
            <w:vAlign w:val="bottom"/>
            <w:gridSpan w:val="4"/>
            <w:vMerge w:val="restart"/>
          </w:tcPr>
          <w:p>
            <w:pPr>
              <w:jc w:val="right"/>
              <w:ind w:right="272"/>
              <w:spacing w:after="0"/>
              <w:rPr>
                <w:sz w:val="20"/>
                <w:szCs w:val="20"/>
                <w:color w:val="auto"/>
              </w:rPr>
            </w:pPr>
            <w:r>
              <w:rPr>
                <w:rFonts w:ascii="Arial" w:cs="Arial" w:eastAsia="Arial" w:hAnsi="Arial"/>
                <w:sz w:val="13"/>
                <w:szCs w:val="13"/>
                <w:b w:val="1"/>
                <w:bCs w:val="1"/>
                <w:color w:val="auto"/>
              </w:rPr>
              <w:t>Net TBA Position</w:t>
            </w:r>
          </w:p>
        </w:tc>
        <w:tc>
          <w:tcPr>
            <w:tcW w:w="120" w:type="dxa"/>
            <w:vAlign w:val="bottom"/>
          </w:tcPr>
          <w:p>
            <w:pPr>
              <w:spacing w:after="0"/>
              <w:rPr>
                <w:sz w:val="12"/>
                <w:szCs w:val="12"/>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Average</w:t>
            </w: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27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20" w:type="dxa"/>
            <w:vAlign w:val="bottom"/>
            <w:gridSpan w:val="9"/>
            <w:vMerge w:val="continue"/>
          </w:tcPr>
          <w:p>
            <w:pPr>
              <w:spacing w:after="0"/>
              <w:rPr>
                <w:sz w:val="10"/>
                <w:szCs w:val="10"/>
                <w:color w:val="auto"/>
              </w:rPr>
            </w:pPr>
          </w:p>
        </w:tc>
        <w:tc>
          <w:tcPr>
            <w:tcW w:w="120" w:type="dxa"/>
            <w:vAlign w:val="bottom"/>
          </w:tcPr>
          <w:p>
            <w:pPr>
              <w:spacing w:after="0"/>
              <w:rPr>
                <w:sz w:val="10"/>
                <w:szCs w:val="10"/>
                <w:color w:val="auto"/>
              </w:rPr>
            </w:pPr>
          </w:p>
        </w:tc>
        <w:tc>
          <w:tcPr>
            <w:tcW w:w="1540" w:type="dxa"/>
            <w:vAlign w:val="bottom"/>
            <w:gridSpan w:val="4"/>
            <w:vMerge w:val="continue"/>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89"/>
              </w:rPr>
              <w:t>Tangible Net</w:t>
            </w:r>
          </w:p>
        </w:tc>
        <w:tc>
          <w:tcPr>
            <w:tcW w:w="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center"/>
              <w:ind w:right="35"/>
              <w:spacing w:after="0"/>
              <w:rPr>
                <w:sz w:val="20"/>
                <w:szCs w:val="20"/>
                <w:color w:val="auto"/>
              </w:rPr>
            </w:pPr>
            <w:r>
              <w:rPr>
                <w:rFonts w:ascii="Arial" w:cs="Arial" w:eastAsia="Arial" w:hAnsi="Arial"/>
                <w:sz w:val="9"/>
                <w:szCs w:val="9"/>
                <w:b w:val="1"/>
                <w:bCs w:val="1"/>
                <w:color w:val="auto"/>
                <w:w w:val="78"/>
              </w:rPr>
              <w:t>1</w:t>
            </w:r>
          </w:p>
        </w:tc>
        <w:tc>
          <w:tcPr>
            <w:tcW w:w="1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540" w:type="dxa"/>
            <w:vAlign w:val="bottom"/>
            <w:tcBorders>
              <w:bottom w:val="single" w:sz="8" w:color="auto"/>
            </w:tcBorders>
            <w:gridSpan w:val="4"/>
          </w:tcPr>
          <w:p>
            <w:pPr>
              <w:jc w:val="right"/>
              <w:ind w:right="372"/>
              <w:spacing w:after="0" w:line="135" w:lineRule="exact"/>
              <w:rPr>
                <w:sz w:val="20"/>
                <w:szCs w:val="20"/>
                <w:color w:val="auto"/>
              </w:rPr>
            </w:pPr>
            <w:r>
              <w:rPr>
                <w:rFonts w:ascii="Arial" w:cs="Arial" w:eastAsia="Arial" w:hAnsi="Arial"/>
                <w:sz w:val="13"/>
                <w:szCs w:val="13"/>
                <w:b w:val="1"/>
                <w:bCs w:val="1"/>
                <w:color w:val="auto"/>
              </w:rPr>
              <w:t xml:space="preserve">Long/(Short) </w:t>
            </w:r>
            <w:r>
              <w:rPr>
                <w:rFonts w:ascii="Arial" w:cs="Arial" w:eastAsia="Arial" w:hAnsi="Arial"/>
                <w:sz w:val="8"/>
                <w:szCs w:val="8"/>
                <w:b w:val="1"/>
                <w:bCs w:val="1"/>
                <w:color w:val="auto"/>
              </w:rPr>
              <w:t>2</w:t>
            </w:r>
          </w:p>
        </w:tc>
        <w:tc>
          <w:tcPr>
            <w:tcW w:w="120" w:type="dxa"/>
            <w:vAlign w:val="bottom"/>
          </w:tcPr>
          <w:p>
            <w:pPr>
              <w:spacing w:after="0"/>
              <w:rPr>
                <w:sz w:val="12"/>
                <w:szCs w:val="12"/>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7"/>
              </w:rPr>
              <w:t>Book Value</w:t>
            </w: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5"/>
              </w:rPr>
              <w:t>Average</w:t>
            </w: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7"/>
              </w:rPr>
              <w:t>Tangible Net</w:t>
            </w: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0"/>
        </w:trPr>
        <w:tc>
          <w:tcPr>
            <w:tcW w:w="27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gridSpan w:val="2"/>
          </w:tcPr>
          <w:p>
            <w:pPr>
              <w:jc w:val="center"/>
              <w:ind w:right="100"/>
              <w:spacing w:after="0" w:line="110" w:lineRule="exact"/>
              <w:rPr>
                <w:sz w:val="20"/>
                <w:szCs w:val="20"/>
                <w:color w:val="auto"/>
              </w:rPr>
            </w:pPr>
            <w:r>
              <w:rPr>
                <w:rFonts w:ascii="Arial" w:cs="Arial" w:eastAsia="Arial" w:hAnsi="Arial"/>
                <w:sz w:val="12"/>
                <w:szCs w:val="12"/>
                <w:b w:val="1"/>
                <w:bCs w:val="1"/>
                <w:color w:val="auto"/>
              </w:rPr>
              <w:t>"At Risk"</w:t>
            </w:r>
          </w:p>
        </w:tc>
        <w:tc>
          <w:tcPr>
            <w:tcW w:w="1020" w:type="dxa"/>
            <w:vAlign w:val="bottom"/>
            <w:gridSpan w:val="2"/>
          </w:tcPr>
          <w:p>
            <w:pPr>
              <w:jc w:val="center"/>
              <w:ind w:right="100"/>
              <w:spacing w:after="0" w:line="110" w:lineRule="exact"/>
              <w:rPr>
                <w:sz w:val="20"/>
                <w:szCs w:val="20"/>
                <w:color w:val="auto"/>
              </w:rPr>
            </w:pPr>
            <w:r>
              <w:rPr>
                <w:rFonts w:ascii="Arial" w:cs="Arial" w:eastAsia="Arial" w:hAnsi="Arial"/>
                <w:sz w:val="12"/>
                <w:szCs w:val="12"/>
                <w:b w:val="1"/>
                <w:bCs w:val="1"/>
                <w:color w:val="auto"/>
              </w:rPr>
              <w:t>"At Risk"</w:t>
            </w:r>
          </w:p>
        </w:tc>
        <w:tc>
          <w:tcPr>
            <w:tcW w:w="1020" w:type="dxa"/>
            <w:vAlign w:val="bottom"/>
            <w:gridSpan w:val="2"/>
          </w:tcPr>
          <w:p>
            <w:pPr>
              <w:jc w:val="center"/>
              <w:ind w:right="100"/>
              <w:spacing w:after="0" w:line="110" w:lineRule="exact"/>
              <w:rPr>
                <w:sz w:val="20"/>
                <w:szCs w:val="20"/>
                <w:color w:val="auto"/>
              </w:rPr>
            </w:pPr>
            <w:r>
              <w:rPr>
                <w:rFonts w:ascii="Arial" w:cs="Arial" w:eastAsia="Arial" w:hAnsi="Arial"/>
                <w:sz w:val="12"/>
                <w:szCs w:val="12"/>
                <w:b w:val="1"/>
                <w:bCs w:val="1"/>
                <w:color w:val="auto"/>
                <w:w w:val="96"/>
              </w:rPr>
              <w:t>Book Value "At</w:t>
            </w:r>
          </w:p>
        </w:tc>
        <w:tc>
          <w:tcPr>
            <w:tcW w:w="900" w:type="dxa"/>
            <w:vAlign w:val="bottom"/>
          </w:tcPr>
          <w:p>
            <w:pPr>
              <w:jc w:val="center"/>
              <w:spacing w:after="0" w:line="110" w:lineRule="exact"/>
              <w:rPr>
                <w:sz w:val="20"/>
                <w:szCs w:val="20"/>
                <w:color w:val="auto"/>
              </w:rPr>
            </w:pPr>
            <w:r>
              <w:rPr>
                <w:rFonts w:ascii="Arial" w:cs="Arial" w:eastAsia="Arial" w:hAnsi="Arial"/>
                <w:sz w:val="12"/>
                <w:szCs w:val="12"/>
                <w:b w:val="1"/>
                <w:bCs w:val="1"/>
                <w:color w:val="auto"/>
              </w:rPr>
              <w:t>"At Risk"</w:t>
            </w: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5"/>
              </w:rPr>
              <w:t>Average</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Leverage</w:t>
            </w:r>
          </w:p>
        </w:tc>
        <w:tc>
          <w:tcPr>
            <w:tcW w:w="1020" w:type="dxa"/>
            <w:vAlign w:val="bottom"/>
            <w:gridSpan w:val="2"/>
          </w:tcPr>
          <w:p>
            <w:pPr>
              <w:jc w:val="center"/>
              <w:ind w:right="80"/>
              <w:spacing w:after="0" w:line="135" w:lineRule="exact"/>
              <w:rPr>
                <w:sz w:val="20"/>
                <w:szCs w:val="20"/>
                <w:color w:val="auto"/>
              </w:rPr>
            </w:pPr>
            <w:r>
              <w:rPr>
                <w:rFonts w:ascii="Arial" w:cs="Arial" w:eastAsia="Arial" w:hAnsi="Arial"/>
                <w:sz w:val="13"/>
                <w:szCs w:val="13"/>
                <w:b w:val="1"/>
                <w:bCs w:val="1"/>
                <w:color w:val="auto"/>
                <w:w w:val="87"/>
              </w:rPr>
              <w:t>Leverage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Risk" Leverage</w:t>
            </w:r>
          </w:p>
        </w:tc>
        <w:tc>
          <w:tcPr>
            <w:tcW w:w="9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Leverage</w:t>
            </w: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gridSpan w:val="3"/>
          </w:tcPr>
          <w:p>
            <w:pPr>
              <w:ind w:left="20"/>
              <w:spacing w:after="0" w:line="135" w:lineRule="exact"/>
              <w:rPr>
                <w:sz w:val="20"/>
                <w:szCs w:val="20"/>
                <w:color w:val="auto"/>
              </w:rPr>
            </w:pPr>
            <w:r>
              <w:rPr>
                <w:rFonts w:ascii="Arial" w:cs="Arial" w:eastAsia="Arial" w:hAnsi="Arial"/>
                <w:sz w:val="13"/>
                <w:szCs w:val="13"/>
                <w:b w:val="1"/>
                <w:bCs w:val="1"/>
                <w:color w:val="auto"/>
              </w:rPr>
              <w:t>Average Daily</w:t>
            </w:r>
          </w:p>
        </w:tc>
        <w:tc>
          <w:tcPr>
            <w:tcW w:w="120" w:type="dxa"/>
            <w:vAlign w:val="bottom"/>
          </w:tcPr>
          <w:p>
            <w:pPr>
              <w:spacing w:after="0"/>
              <w:rPr>
                <w:sz w:val="11"/>
                <w:szCs w:val="11"/>
                <w:color w:val="auto"/>
              </w:rPr>
            </w:pPr>
          </w:p>
        </w:tc>
        <w:tc>
          <w:tcPr>
            <w:tcW w:w="8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Maximum</w:t>
            </w:r>
          </w:p>
        </w:tc>
        <w:tc>
          <w:tcPr>
            <w:tcW w:w="140" w:type="dxa"/>
            <w:vAlign w:val="bottom"/>
          </w:tcPr>
          <w:p>
            <w:pPr>
              <w:spacing w:after="0"/>
              <w:rPr>
                <w:sz w:val="11"/>
                <w:szCs w:val="11"/>
                <w:color w:val="auto"/>
              </w:rPr>
            </w:pPr>
          </w:p>
        </w:tc>
        <w:tc>
          <w:tcPr>
            <w:tcW w:w="80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Ending</w:t>
            </w:r>
          </w:p>
        </w:tc>
        <w:tc>
          <w:tcPr>
            <w:tcW w:w="120" w:type="dxa"/>
            <w:vAlign w:val="bottom"/>
          </w:tcPr>
          <w:p>
            <w:pPr>
              <w:spacing w:after="0"/>
              <w:rPr>
                <w:sz w:val="11"/>
                <w:szCs w:val="11"/>
                <w:color w:val="auto"/>
              </w:rPr>
            </w:pPr>
          </w:p>
        </w:tc>
        <w:tc>
          <w:tcPr>
            <w:tcW w:w="7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9"/>
              </w:rPr>
              <w:t>Daily</w:t>
            </w:r>
          </w:p>
        </w:tc>
        <w:tc>
          <w:tcPr>
            <w:tcW w:w="140" w:type="dxa"/>
            <w:vAlign w:val="bottom"/>
          </w:tcPr>
          <w:p>
            <w:pPr>
              <w:spacing w:after="0"/>
              <w:rPr>
                <w:sz w:val="11"/>
                <w:szCs w:val="11"/>
                <w:color w:val="auto"/>
              </w:rPr>
            </w:pPr>
          </w:p>
        </w:tc>
        <w:tc>
          <w:tcPr>
            <w:tcW w:w="640" w:type="dxa"/>
            <w:vAlign w:val="bottom"/>
          </w:tcPr>
          <w:p>
            <w:pPr>
              <w:jc w:val="right"/>
              <w:ind w:right="112"/>
              <w:spacing w:after="0" w:line="135" w:lineRule="exact"/>
              <w:rPr>
                <w:sz w:val="20"/>
                <w:szCs w:val="20"/>
                <w:color w:val="auto"/>
              </w:rPr>
            </w:pPr>
            <w:r>
              <w:rPr>
                <w:rFonts w:ascii="Arial" w:cs="Arial" w:eastAsia="Arial" w:hAnsi="Arial"/>
                <w:sz w:val="13"/>
                <w:szCs w:val="13"/>
                <w:b w:val="1"/>
                <w:bCs w:val="1"/>
                <w:color w:val="auto"/>
                <w:w w:val="99"/>
              </w:rPr>
              <w:t>Ending</w:t>
            </w:r>
          </w:p>
        </w:tc>
        <w:tc>
          <w:tcPr>
            <w:tcW w:w="120" w:type="dxa"/>
            <w:vAlign w:val="bottom"/>
          </w:tcPr>
          <w:p>
            <w:pPr>
              <w:spacing w:after="0"/>
              <w:rPr>
                <w:sz w:val="11"/>
                <w:szCs w:val="11"/>
                <w:color w:val="auto"/>
              </w:rPr>
            </w:pP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1"/>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78"/>
              </w:rPr>
              <w:t>as of</w:t>
            </w:r>
          </w:p>
        </w:tc>
        <w:tc>
          <w:tcPr>
            <w:tcW w:w="9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as of</w:t>
            </w:r>
          </w:p>
        </w:tc>
        <w:tc>
          <w:tcPr>
            <w:tcW w:w="0" w:type="dxa"/>
            <w:vAlign w:val="bottom"/>
          </w:tcPr>
          <w:p>
            <w:pPr>
              <w:spacing w:after="0"/>
              <w:rPr>
                <w:sz w:val="1"/>
                <w:szCs w:val="1"/>
                <w:color w:val="auto"/>
              </w:rPr>
            </w:pP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Quarter Ended</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w w:val="93"/>
              </w:rPr>
              <w:t>Amount</w:t>
            </w:r>
          </w:p>
        </w:tc>
        <w:tc>
          <w:tcPr>
            <w:tcW w:w="12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93"/>
              </w:rPr>
              <w:t>Daily Amount</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12"/>
              <w:spacing w:after="0"/>
              <w:rPr>
                <w:sz w:val="20"/>
                <w:szCs w:val="20"/>
                <w:color w:val="auto"/>
              </w:rPr>
            </w:pPr>
            <w:r>
              <w:rPr>
                <w:rFonts w:ascii="Arial" w:cs="Arial" w:eastAsia="Arial" w:hAnsi="Arial"/>
                <w:sz w:val="13"/>
                <w:szCs w:val="13"/>
                <w:b w:val="1"/>
                <w:bCs w:val="1"/>
                <w:color w:val="auto"/>
                <w:w w:val="97"/>
              </w:rPr>
              <w:t>Amount</w:t>
            </w: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center"/>
              <w:ind w:right="74"/>
              <w:spacing w:after="0"/>
              <w:rPr>
                <w:sz w:val="20"/>
                <w:szCs w:val="20"/>
                <w:color w:val="auto"/>
              </w:rPr>
            </w:pPr>
            <w:r>
              <w:rPr>
                <w:rFonts w:ascii="Arial" w:cs="Arial" w:eastAsia="Arial" w:hAnsi="Arial"/>
                <w:sz w:val="13"/>
                <w:szCs w:val="13"/>
                <w:b w:val="1"/>
                <w:bCs w:val="1"/>
                <w:color w:val="auto"/>
                <w:w w:val="89"/>
              </w:rPr>
              <w:t>Amount</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ind w:right="92"/>
              <w:spacing w:after="0"/>
              <w:rPr>
                <w:sz w:val="20"/>
                <w:szCs w:val="20"/>
                <w:color w:val="auto"/>
              </w:rPr>
            </w:pPr>
            <w:r>
              <w:rPr>
                <w:rFonts w:ascii="Arial" w:cs="Arial" w:eastAsia="Arial" w:hAnsi="Arial"/>
                <w:sz w:val="13"/>
                <w:szCs w:val="13"/>
                <w:b w:val="1"/>
                <w:bCs w:val="1"/>
                <w:color w:val="auto"/>
                <w:w w:val="93"/>
              </w:rPr>
              <w:t>Amount</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 xml:space="preserve">Period </w:t>
            </w:r>
            <w:r>
              <w:rPr>
                <w:rFonts w:ascii="Arial" w:cs="Arial" w:eastAsia="Arial" w:hAnsi="Arial"/>
                <w:sz w:val="8"/>
                <w:szCs w:val="8"/>
                <w:b w:val="1"/>
                <w:bCs w:val="1"/>
                <w:color w:val="auto"/>
                <w:w w:val="86"/>
              </w:rPr>
              <w:t>3</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4</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 xml:space="preserve">Period End </w:t>
            </w:r>
            <w:r>
              <w:rPr>
                <w:rFonts w:ascii="Arial" w:cs="Arial" w:eastAsia="Arial" w:hAnsi="Arial"/>
                <w:sz w:val="8"/>
                <w:szCs w:val="8"/>
                <w:b w:val="1"/>
                <w:bCs w:val="1"/>
                <w:color w:val="auto"/>
                <w:w w:val="88"/>
              </w:rPr>
              <w:t>3</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 xml:space="preserve">Period End </w:t>
            </w:r>
            <w:r>
              <w:rPr>
                <w:rFonts w:ascii="Arial" w:cs="Arial" w:eastAsia="Arial" w:hAnsi="Arial"/>
                <w:sz w:val="8"/>
                <w:szCs w:val="8"/>
                <w:b w:val="1"/>
                <w:bCs w:val="1"/>
                <w:color w:val="auto"/>
                <w:w w:val="91"/>
              </w:rPr>
              <w:t>5</w:t>
            </w:r>
          </w:p>
        </w:tc>
        <w:tc>
          <w:tcPr>
            <w:tcW w:w="0" w:type="dxa"/>
            <w:vAlign w:val="bottom"/>
          </w:tcPr>
          <w:p>
            <w:pPr>
              <w:spacing w:after="0"/>
              <w:rPr>
                <w:sz w:val="1"/>
                <w:szCs w:val="1"/>
                <w:color w:val="auto"/>
              </w:rPr>
            </w:pPr>
          </w:p>
        </w:tc>
      </w:tr>
      <w:tr>
        <w:trPr>
          <w:trHeight w:val="25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2019</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82,070</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55"/>
              <w:spacing w:after="0"/>
              <w:rPr>
                <w:sz w:val="20"/>
                <w:szCs w:val="20"/>
                <w:color w:val="auto"/>
              </w:rPr>
            </w:pPr>
            <w:r>
              <w:rPr>
                <w:rFonts w:ascii="Arial" w:cs="Arial" w:eastAsia="Arial" w:hAnsi="Arial"/>
                <w:sz w:val="14"/>
                <w:szCs w:val="14"/>
                <w:color w:val="auto"/>
              </w:rPr>
              <w:t>87,877</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86,590</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4"/>
              <w:spacing w:after="0"/>
              <w:rPr>
                <w:sz w:val="20"/>
                <w:szCs w:val="20"/>
                <w:color w:val="auto"/>
              </w:rPr>
            </w:pPr>
            <w:r>
              <w:rPr>
                <w:rFonts w:ascii="Arial" w:cs="Arial" w:eastAsia="Arial" w:hAnsi="Arial"/>
                <w:sz w:val="14"/>
                <w:szCs w:val="14"/>
                <w:color w:val="auto"/>
              </w:rPr>
              <w:t>8,002</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6,885</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9.3:1</w:t>
            </w:r>
          </w:p>
        </w:tc>
        <w:tc>
          <w:tcPr>
            <w:tcW w:w="10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8.8:1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9.4:1</w:t>
            </w:r>
          </w:p>
        </w:tc>
        <w:tc>
          <w:tcPr>
            <w:tcW w:w="12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9.0:1</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December 31, 2018</w:t>
            </w: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0"/>
              <w:spacing w:after="0"/>
              <w:rPr>
                <w:sz w:val="20"/>
                <w:szCs w:val="20"/>
                <w:color w:val="auto"/>
              </w:rPr>
            </w:pPr>
            <w:r>
              <w:rPr>
                <w:rFonts w:ascii="Arial" w:cs="Arial" w:eastAsia="Arial" w:hAnsi="Arial"/>
                <w:sz w:val="14"/>
                <w:szCs w:val="14"/>
                <w:color w:val="auto"/>
              </w:rPr>
              <w:t>68,499</w:t>
            </w:r>
          </w:p>
        </w:tc>
        <w:tc>
          <w:tcPr>
            <w:tcW w:w="120" w:type="dxa"/>
            <w:vAlign w:val="bottom"/>
          </w:tcPr>
          <w:p>
            <w:pPr>
              <w:spacing w:after="0"/>
              <w:rPr>
                <w:sz w:val="22"/>
                <w:szCs w:val="22"/>
                <w:color w:val="auto"/>
              </w:rPr>
            </w:pPr>
          </w:p>
        </w:tc>
        <w:tc>
          <w:tcPr>
            <w:tcW w:w="120" w:type="dxa"/>
            <w:vAlign w:val="bottom"/>
          </w:tcPr>
          <w:p>
            <w:pPr>
              <w:ind w:left="2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55"/>
              <w:spacing w:after="0"/>
              <w:rPr>
                <w:sz w:val="20"/>
                <w:szCs w:val="20"/>
                <w:color w:val="auto"/>
              </w:rPr>
            </w:pPr>
            <w:r>
              <w:rPr>
                <w:rFonts w:ascii="Arial" w:cs="Arial" w:eastAsia="Arial" w:hAnsi="Arial"/>
                <w:sz w:val="14"/>
                <w:szCs w:val="14"/>
                <w:color w:val="auto"/>
              </w:rPr>
              <w:t>77,442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2"/>
              <w:spacing w:after="0"/>
              <w:rPr>
                <w:sz w:val="20"/>
                <w:szCs w:val="20"/>
                <w:color w:val="auto"/>
              </w:rPr>
            </w:pPr>
            <w:r>
              <w:rPr>
                <w:rFonts w:ascii="Arial" w:cs="Arial" w:eastAsia="Arial" w:hAnsi="Arial"/>
                <w:sz w:val="14"/>
                <w:szCs w:val="14"/>
                <w:color w:val="auto"/>
              </w:rPr>
              <w:t>75,992</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4"/>
              <w:spacing w:after="0"/>
              <w:rPr>
                <w:sz w:val="20"/>
                <w:szCs w:val="20"/>
                <w:color w:val="auto"/>
              </w:rPr>
            </w:pPr>
            <w:r>
              <w:rPr>
                <w:rFonts w:ascii="Arial" w:cs="Arial" w:eastAsia="Arial" w:hAnsi="Arial"/>
                <w:sz w:val="14"/>
                <w:szCs w:val="14"/>
                <w:color w:val="auto"/>
              </w:rPr>
              <w:t>8,066</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32"/>
              <w:spacing w:after="0"/>
              <w:rPr>
                <w:sz w:val="20"/>
                <w:szCs w:val="20"/>
                <w:color w:val="auto"/>
              </w:rPr>
            </w:pPr>
            <w:r>
              <w:rPr>
                <w:rFonts w:ascii="Arial" w:cs="Arial" w:eastAsia="Arial" w:hAnsi="Arial"/>
                <w:sz w:val="14"/>
                <w:szCs w:val="14"/>
                <w:color w:val="auto"/>
              </w:rPr>
              <w:t>7,252</w:t>
            </w:r>
          </w:p>
        </w:tc>
        <w:tc>
          <w:tcPr>
            <w:tcW w:w="102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8.4:1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7.9:1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9.0:1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8.5:1</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2018</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49,567</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55"/>
              <w:spacing w:after="0"/>
              <w:rPr>
                <w:sz w:val="20"/>
                <w:szCs w:val="20"/>
                <w:color w:val="auto"/>
              </w:rPr>
            </w:pPr>
            <w:r>
              <w:rPr>
                <w:rFonts w:ascii="Arial" w:cs="Arial" w:eastAsia="Arial" w:hAnsi="Arial"/>
                <w:sz w:val="14"/>
                <w:szCs w:val="14"/>
                <w:color w:val="auto"/>
              </w:rPr>
              <w:t>50,645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49,292</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4"/>
              <w:spacing w:after="0"/>
              <w:rPr>
                <w:sz w:val="20"/>
                <w:szCs w:val="20"/>
                <w:color w:val="auto"/>
              </w:rPr>
            </w:pPr>
            <w:r>
              <w:rPr>
                <w:rFonts w:ascii="Arial" w:cs="Arial" w:eastAsia="Arial" w:hAnsi="Arial"/>
                <w:sz w:val="14"/>
                <w:szCs w:val="14"/>
                <w:color w:val="auto"/>
              </w:rPr>
              <w:t>15,585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13,529</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8.2:1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7.7:1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8.2:1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7.6:1</w:t>
            </w:r>
          </w:p>
        </w:tc>
        <w:tc>
          <w:tcPr>
            <w:tcW w:w="0" w:type="dxa"/>
            <w:vAlign w:val="bottom"/>
          </w:tcPr>
          <w:p>
            <w:pPr>
              <w:spacing w:after="0"/>
              <w:rPr>
                <w:sz w:val="1"/>
                <w:szCs w:val="1"/>
                <w:color w:val="auto"/>
              </w:rPr>
            </w:pPr>
          </w:p>
        </w:tc>
      </w:tr>
      <w:tr>
        <w:trPr>
          <w:trHeight w:val="115"/>
        </w:trPr>
        <w:tc>
          <w:tcPr>
            <w:tcW w:w="2740" w:type="dxa"/>
            <w:vAlign w:val="bottom"/>
          </w:tcPr>
          <w:p>
            <w:pPr>
              <w:spacing w:after="0" w:line="115" w:lineRule="exact"/>
              <w:rPr>
                <w:sz w:val="20"/>
                <w:szCs w:val="20"/>
                <w:color w:val="auto"/>
              </w:rPr>
            </w:pPr>
            <w:r>
              <w:rPr>
                <w:rFonts w:ascii="Arial" w:cs="Arial" w:eastAsia="Arial" w:hAnsi="Arial"/>
                <w:sz w:val="11"/>
                <w:szCs w:val="11"/>
                <w:color w:val="auto"/>
              </w:rPr>
              <w:t>________________________________</w:t>
            </w: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Amounts exclude U.S. Treasury repo agreements.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Tangible net book value "at risk" leverage includes the components of "at risk" leverage with stockholders' equity adjusted to exclude goodwill and other intangible assets, net.</w:t>
      </w:r>
    </w:p>
    <w:p>
      <w:pPr>
        <w:spacing w:after="0" w:line="12" w:lineRule="exact"/>
        <w:rPr>
          <w:rFonts w:ascii="Arial" w:cs="Arial" w:eastAsia="Arial" w:hAnsi="Arial"/>
          <w:sz w:val="13"/>
          <w:szCs w:val="13"/>
          <w:color w:val="auto"/>
        </w:rPr>
      </w:pPr>
    </w:p>
    <w:p>
      <w:pPr>
        <w:ind w:left="66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Average "at risk" leverage during the period was calculated by dividing the sum of our daily weighted average mortgage borrowings outstanding during the period by the sum of our average month-ended stockholders' equity less our average investment in REIT equity securities for the period.</w:t>
      </w:r>
    </w:p>
    <w:p>
      <w:pPr>
        <w:ind w:left="660" w:hanging="328"/>
        <w:spacing w:after="0" w:line="293" w:lineRule="auto"/>
        <w:tabs>
          <w:tab w:leader="none" w:pos="6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"At risk" leverage as of period end is calculated by dividing the sum of our mortgage borrowings outstanding and our receivable/payable for unsettled investment securities as of period end (at cost) by the sum of our total stockholders' equity less the fair value of investments in REIT equity securities at period end. Leverage excludes U.S. Treasury repo agreements.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Expense and Aggregate Cost of Funds</w:t>
      </w:r>
    </w:p>
    <w:p>
      <w:pPr>
        <w:spacing w:after="0" w:line="185"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following table summarizes our economic interest expense and aggregate cost of funds (non-GAAP measures) for the three months ended March 31, 2019 and 2018 (dollars in millions), which includes the combination of interest expense on Agency repurchase agreements and other debt (GAAP measure), implied interest expense on our TBA securities and interest rate swap periodic interest (income) cost:</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900" w:right="239" w:bottom="1440" w:gutter="0" w:footer="0" w:header="0"/>
        </w:sectPr>
      </w:pPr>
    </w:p>
    <w:bookmarkStart w:id="34" w:name="page35"/>
    <w:bookmarkEnd w:id="34"/>
    <w:tbl>
      <w:tblPr>
        <w:tblLayout w:type="fixed"/>
        <w:tblInd w:w="192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9"/>
          </w:tcPr>
          <w:p>
            <w:pPr>
              <w:ind w:left="540"/>
              <w:spacing w:after="0"/>
              <w:rPr>
                <w:sz w:val="20"/>
                <w:szCs w:val="20"/>
                <w:color w:val="auto"/>
              </w:rPr>
            </w:pPr>
            <w:r>
              <w:rPr>
                <w:rFonts w:ascii="Arial" w:cs="Arial" w:eastAsia="Arial" w:hAnsi="Arial"/>
                <w:sz w:val="14"/>
                <w:szCs w:val="14"/>
                <w:b w:val="1"/>
                <w:bCs w:val="1"/>
                <w:color w:val="auto"/>
                <w:w w:val="95"/>
              </w:rPr>
              <w:t>Three Months Ended March 31,</w:t>
            </w:r>
          </w:p>
        </w:tc>
        <w:tc>
          <w:tcPr>
            <w:tcW w:w="6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gridSpan w:val="3"/>
          </w:tcPr>
          <w:p>
            <w:pPr>
              <w:ind w:left="540"/>
              <w:spacing w:after="0"/>
              <w:rPr>
                <w:sz w:val="20"/>
                <w:szCs w:val="20"/>
                <w:color w:val="auto"/>
              </w:rPr>
            </w:pPr>
            <w:r>
              <w:rPr>
                <w:rFonts w:ascii="Arial" w:cs="Arial" w:eastAsia="Arial" w:hAnsi="Arial"/>
                <w:sz w:val="14"/>
                <w:szCs w:val="14"/>
                <w:b w:val="1"/>
                <w:bCs w:val="1"/>
                <w:color w:val="auto"/>
                <w:w w:val="96"/>
              </w:rPr>
              <w:t>2019</w:t>
            </w:r>
          </w:p>
        </w:tc>
        <w:tc>
          <w:tcPr>
            <w:tcW w:w="62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rPr>
              <w:t>2018</w:t>
            </w:r>
          </w:p>
        </w:tc>
        <w:tc>
          <w:tcPr>
            <w:tcW w:w="6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2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 xml:space="preserve">Economic Interest Expense and Aggregate Cost of Funds </w:t>
            </w:r>
            <w:r>
              <w:rPr>
                <w:rFonts w:ascii="Arial" w:cs="Arial" w:eastAsia="Arial" w:hAnsi="Arial"/>
                <w:sz w:val="8"/>
                <w:szCs w:val="8"/>
                <w:b w:val="1"/>
                <w:bCs w:val="1"/>
                <w:color w:val="auto"/>
              </w:rPr>
              <w:t>1</w:t>
            </w:r>
          </w:p>
        </w:tc>
        <w:tc>
          <w:tcPr>
            <w:tcW w:w="10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74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Cost of</w:t>
            </w:r>
          </w:p>
        </w:tc>
        <w:tc>
          <w:tcPr>
            <w:tcW w:w="100" w:type="dxa"/>
            <w:vAlign w:val="bottom"/>
          </w:tcPr>
          <w:p>
            <w:pPr>
              <w:spacing w:after="0"/>
              <w:rPr>
                <w:sz w:val="13"/>
                <w:szCs w:val="13"/>
                <w:color w:val="auto"/>
              </w:rPr>
            </w:pPr>
          </w:p>
        </w:tc>
        <w:tc>
          <w:tcPr>
            <w:tcW w:w="6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Amount</w:t>
            </w:r>
          </w:p>
        </w:tc>
        <w:tc>
          <w:tcPr>
            <w:tcW w:w="12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600" w:type="dxa"/>
            <w:vAlign w:val="bottom"/>
          </w:tcPr>
          <w:p>
            <w:pPr>
              <w:jc w:val="right"/>
              <w:ind w:right="68"/>
              <w:spacing w:after="0" w:line="153" w:lineRule="exact"/>
              <w:rPr>
                <w:sz w:val="20"/>
                <w:szCs w:val="20"/>
                <w:color w:val="auto"/>
              </w:rPr>
            </w:pPr>
            <w:r>
              <w:rPr>
                <w:rFonts w:ascii="Arial" w:cs="Arial" w:eastAsia="Arial" w:hAnsi="Arial"/>
                <w:sz w:val="14"/>
                <w:szCs w:val="14"/>
                <w:b w:val="1"/>
                <w:bCs w:val="1"/>
                <w:color w:val="auto"/>
                <w:w w:val="91"/>
              </w:rPr>
              <w:t>Cost of</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6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9"/>
              </w:rPr>
              <w:t>Funds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6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9"/>
              </w:rPr>
              <w:t>Funds</w:t>
            </w:r>
          </w:p>
        </w:tc>
        <w:tc>
          <w:tcPr>
            <w:tcW w:w="0" w:type="dxa"/>
            <w:vAlign w:val="bottom"/>
          </w:tcPr>
          <w:p>
            <w:pPr>
              <w:spacing w:after="0"/>
              <w:rPr>
                <w:sz w:val="1"/>
                <w:szCs w:val="1"/>
                <w:color w:val="auto"/>
              </w:rPr>
            </w:pPr>
          </w:p>
        </w:tc>
      </w:tr>
      <w:tr>
        <w:trPr>
          <w:trHeight w:val="156"/>
        </w:trPr>
        <w:tc>
          <w:tcPr>
            <w:tcW w:w="4340" w:type="dxa"/>
            <w:vAlign w:val="bottom"/>
            <w:gridSpan w:val="2"/>
            <w:shd w:val="clear" w:color="auto" w:fill="CCEEFF"/>
          </w:tcPr>
          <w:p>
            <w:pPr>
              <w:ind w:left="20"/>
              <w:spacing w:after="0" w:line="157" w:lineRule="exact"/>
              <w:rPr>
                <w:sz w:val="20"/>
                <w:szCs w:val="20"/>
                <w:color w:val="auto"/>
              </w:rPr>
            </w:pPr>
            <w:r>
              <w:rPr>
                <w:rFonts w:ascii="Arial" w:cs="Arial" w:eastAsia="Arial" w:hAnsi="Arial"/>
                <w:sz w:val="14"/>
                <w:szCs w:val="14"/>
                <w:color w:val="auto"/>
              </w:rPr>
              <w:t>Repurchase agreement and other debt - interest expense (GAAP</w:t>
            </w:r>
          </w:p>
        </w:tc>
        <w:tc>
          <w:tcPr>
            <w:tcW w:w="1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43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measure)</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c>
          <w:tcPr>
            <w:tcW w:w="0" w:type="dxa"/>
            <w:vAlign w:val="bottom"/>
          </w:tcPr>
          <w:p>
            <w:pPr>
              <w:spacing w:after="0"/>
              <w:rPr>
                <w:sz w:val="1"/>
                <w:szCs w:val="1"/>
                <w:color w:val="auto"/>
              </w:rPr>
            </w:pPr>
          </w:p>
        </w:tc>
      </w:tr>
      <w:tr>
        <w:trPr>
          <w:trHeight w:val="264"/>
        </w:trPr>
        <w:tc>
          <w:tcPr>
            <w:tcW w:w="43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 xml:space="preserve">TBA dollar roll income - implied interest expense </w:t>
            </w:r>
            <w:r>
              <w:rPr>
                <w:rFonts w:ascii="Arial" w:cs="Arial" w:eastAsia="Arial" w:hAnsi="Arial"/>
                <w:sz w:val="8"/>
                <w:szCs w:val="8"/>
                <w:color w:val="auto"/>
              </w:rPr>
              <w:t>2,3</w:t>
            </w: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52</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2.60 %</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1.49%</w:t>
            </w:r>
          </w:p>
        </w:tc>
        <w:tc>
          <w:tcPr>
            <w:tcW w:w="0" w:type="dxa"/>
            <w:vAlign w:val="bottom"/>
          </w:tcPr>
          <w:p>
            <w:pPr>
              <w:spacing w:after="0"/>
              <w:rPr>
                <w:sz w:val="1"/>
                <w:szCs w:val="1"/>
                <w:color w:val="auto"/>
              </w:rPr>
            </w:pPr>
          </w:p>
        </w:tc>
      </w:tr>
      <w:tr>
        <w:trPr>
          <w:trHeight w:val="256"/>
        </w:trPr>
        <w:tc>
          <w:tcPr>
            <w:tcW w:w="4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xml:space="preserve">Economic interest expense - before interest rate swap costs </w:t>
            </w:r>
            <w:r>
              <w:rPr>
                <w:rFonts w:ascii="Arial" w:cs="Arial" w:eastAsia="Arial" w:hAnsi="Arial"/>
                <w:sz w:val="8"/>
                <w:szCs w:val="8"/>
                <w:color w:val="auto"/>
              </w:rPr>
              <w:t>4</w:t>
            </w:r>
          </w:p>
        </w:tc>
        <w:tc>
          <w:tcPr>
            <w:tcW w:w="12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593</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2.64 %</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264"/>
        </w:trPr>
        <w:tc>
          <w:tcPr>
            <w:tcW w:w="43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 xml:space="preserve">Interest rate swap periodic interest (income) cost, net </w:t>
            </w:r>
            <w:r>
              <w:rPr>
                <w:rFonts w:ascii="Arial" w:cs="Arial" w:eastAsia="Arial" w:hAnsi="Arial"/>
                <w:sz w:val="8"/>
                <w:szCs w:val="8"/>
                <w:color w:val="auto"/>
              </w:rPr>
              <w:t>2,5</w:t>
            </w: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(0.37)%</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0.06%</w:t>
            </w:r>
          </w:p>
        </w:tc>
        <w:tc>
          <w:tcPr>
            <w:tcW w:w="0" w:type="dxa"/>
            <w:vAlign w:val="bottom"/>
          </w:tcPr>
          <w:p>
            <w:pPr>
              <w:spacing w:after="0"/>
              <w:rPr>
                <w:sz w:val="1"/>
                <w:szCs w:val="1"/>
                <w:color w:val="auto"/>
              </w:rPr>
            </w:pPr>
          </w:p>
        </w:tc>
      </w:tr>
      <w:tr>
        <w:trPr>
          <w:trHeight w:val="243"/>
        </w:trPr>
        <w:tc>
          <w:tcPr>
            <w:tcW w:w="4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 economic interest expense (non-GAAP measure)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510</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2.27 %</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273</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3975735</wp:posOffset>
            </wp:positionH>
            <wp:positionV relativeFrom="paragraph">
              <wp:posOffset>8890</wp:posOffset>
            </wp:positionV>
            <wp:extent cx="207518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ind w:left="40"/>
        <w:spacing w:after="0"/>
        <w:rPr>
          <w:sz w:val="20"/>
          <w:szCs w:val="20"/>
          <w:color w:val="auto"/>
        </w:rPr>
      </w:pPr>
      <w:r>
        <w:rPr>
          <w:rFonts w:ascii="Arial" w:cs="Arial" w:eastAsia="Arial" w:hAnsi="Arial"/>
          <w:sz w:val="11"/>
          <w:szCs w:val="11"/>
          <w:color w:val="auto"/>
        </w:rPr>
        <w:t>________________________________</w:t>
      </w:r>
    </w:p>
    <w:p>
      <w:pPr>
        <w:ind w:left="660" w:right="380" w:hanging="328"/>
        <w:spacing w:after="0" w:line="241" w:lineRule="auto"/>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Amounts exclude interest rate swap termination fees and variation margin settlements paid or received, forward starting swaps and the impact of other supplemental hedges, such as swaptions and U.S. Treasury positions.</w:t>
      </w:r>
    </w:p>
    <w:p>
      <w:pPr>
        <w:ind w:left="660" w:hanging="328"/>
        <w:spacing w:after="0"/>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 w:lineRule="exact"/>
        <w:rPr>
          <w:rFonts w:ascii="Arial" w:cs="Arial" w:eastAsia="Arial" w:hAnsi="Arial"/>
          <w:sz w:val="14"/>
          <w:szCs w:val="14"/>
          <w:color w:val="auto"/>
        </w:rPr>
      </w:pPr>
    </w:p>
    <w:p>
      <w:pPr>
        <w:jc w:val="both"/>
        <w:ind w:left="660" w:right="100" w:hanging="328"/>
        <w:spacing w:after="0" w:line="241" w:lineRule="auto"/>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The implied funding cost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for all TBA transactions is weighted based on our daily average TBA balance outstanding for the period.</w:t>
      </w:r>
    </w:p>
    <w:p>
      <w:pPr>
        <w:spacing w:after="0" w:line="1" w:lineRule="exact"/>
        <w:rPr>
          <w:rFonts w:ascii="Arial" w:cs="Arial" w:eastAsia="Arial" w:hAnsi="Arial"/>
          <w:sz w:val="14"/>
          <w:szCs w:val="14"/>
          <w:color w:val="auto"/>
        </w:rPr>
      </w:pPr>
    </w:p>
    <w:p>
      <w:pPr>
        <w:ind w:left="660" w:right="220" w:hanging="328"/>
        <w:spacing w:after="0" w:line="241" w:lineRule="auto"/>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60" w:hanging="328"/>
        <w:spacing w:after="0"/>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Interest rate swap periodic interest (income) cost is measured as a percent of average mortgage borrowings outstanding for the period.</w:t>
      </w:r>
    </w:p>
    <w:p>
      <w:pPr>
        <w:spacing w:after="0" w:line="21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principal elements impacting our economic interest expense are (i) the size of our average mortgage borrowings and interest rate swap portfolio outstanding during the period, (ii) the average interest rate (actual and implied) on our mortgage borrowings and (iii) the average net interest rate paid/received on our interest rate swaps. The following table includes a summary of the estimated impact of these elements on our economic interest expense for the three months ended March 31, 2019, compared to the prior year period (in millions):</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23495</wp:posOffset>
            </wp:positionV>
            <wp:extent cx="683514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35140" cy="8890"/>
                    </a:xfrm>
                    <a:prstGeom prst="rect">
                      <a:avLst/>
                    </a:prstGeom>
                    <a:noFill/>
                  </pic:spPr>
                </pic:pic>
              </a:graphicData>
            </a:graphic>
          </wp:anchor>
        </w:drawing>
      </w:r>
    </w:p>
    <w:p>
      <w:pPr>
        <w:spacing w:after="0" w:line="35"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Three Months Ended March 31, 2019 vs. March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23495</wp:posOffset>
            </wp:positionV>
            <wp:extent cx="683514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35140" cy="8890"/>
                    </a:xfrm>
                    <a:prstGeom prst="rect">
                      <a:avLst/>
                    </a:prstGeom>
                    <a:noFill/>
                  </pic:spPr>
                </pic:pic>
              </a:graphicData>
            </a:graphic>
          </wp:anchor>
        </w:drawing>
      </w:r>
    </w:p>
    <w:p>
      <w:pPr>
        <w:spacing w:after="0" w:line="103" w:lineRule="exact"/>
        <w:rPr>
          <w:sz w:val="20"/>
          <w:szCs w:val="20"/>
          <w:color w:val="auto"/>
        </w:rPr>
      </w:pPr>
    </w:p>
    <w:tbl>
      <w:tblPr>
        <w:tblLayout w:type="fixed"/>
        <w:tblInd w:w="340" w:type="dxa"/>
        <w:tblCellMar>
          <w:top w:w="0" w:type="dxa"/>
          <w:left w:w="0" w:type="dxa"/>
          <w:bottom w:w="0" w:type="dxa"/>
          <w:right w:w="0" w:type="dxa"/>
        </w:tblCellMar>
      </w:tblPr>
      <w:tr>
        <w:trPr>
          <w:trHeight w:val="192"/>
        </w:trPr>
        <w:tc>
          <w:tcPr>
            <w:tcW w:w="6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4"/>
          </w:tcPr>
          <w:p>
            <w:pPr>
              <w:jc w:val="right"/>
              <w:ind w:right="548"/>
              <w:spacing w:after="0"/>
              <w:rPr>
                <w:sz w:val="20"/>
                <w:szCs w:val="20"/>
                <w:color w:val="auto"/>
              </w:rPr>
            </w:pPr>
            <w:r>
              <w:rPr>
                <w:rFonts w:ascii="Arial" w:cs="Arial" w:eastAsia="Arial" w:hAnsi="Arial"/>
                <w:sz w:val="14"/>
                <w:szCs w:val="14"/>
                <w:b w:val="1"/>
                <w:bCs w:val="1"/>
                <w:color w:val="auto"/>
              </w:rPr>
              <w:t>Due to Change in Average</w:t>
            </w:r>
          </w:p>
        </w:tc>
      </w:tr>
      <w:tr>
        <w:trPr>
          <w:trHeight w:val="153"/>
        </w:trPr>
        <w:tc>
          <w:tcPr>
            <w:tcW w:w="6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6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Total Increase /</w:t>
            </w:r>
          </w:p>
        </w:tc>
        <w:tc>
          <w:tcPr>
            <w:tcW w:w="100" w:type="dxa"/>
            <w:vAlign w:val="bottom"/>
          </w:tcPr>
          <w:p>
            <w:pPr>
              <w:spacing w:after="0"/>
              <w:rPr>
                <w:sz w:val="13"/>
                <w:szCs w:val="13"/>
                <w:color w:val="auto"/>
              </w:rPr>
            </w:pPr>
          </w:p>
        </w:tc>
        <w:tc>
          <w:tcPr>
            <w:tcW w:w="13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Borrowing / Swap</w:t>
            </w:r>
          </w:p>
        </w:tc>
        <w:tc>
          <w:tcPr>
            <w:tcW w:w="120" w:type="dxa"/>
            <w:vAlign w:val="bottom"/>
          </w:tcPr>
          <w:p>
            <w:pPr>
              <w:spacing w:after="0"/>
              <w:rPr>
                <w:sz w:val="13"/>
                <w:szCs w:val="13"/>
                <w:color w:val="auto"/>
              </w:rPr>
            </w:pPr>
          </w:p>
        </w:tc>
        <w:tc>
          <w:tcPr>
            <w:tcW w:w="1260" w:type="dxa"/>
            <w:vAlign w:val="bottom"/>
          </w:tcPr>
          <w:p>
            <w:pPr>
              <w:jc w:val="right"/>
              <w:ind w:right="68"/>
              <w:spacing w:after="0" w:line="153" w:lineRule="exact"/>
              <w:rPr>
                <w:sz w:val="20"/>
                <w:szCs w:val="20"/>
                <w:color w:val="auto"/>
              </w:rPr>
            </w:pPr>
            <w:r>
              <w:rPr>
                <w:rFonts w:ascii="Arial" w:cs="Arial" w:eastAsia="Arial" w:hAnsi="Arial"/>
                <w:sz w:val="14"/>
                <w:szCs w:val="14"/>
                <w:b w:val="1"/>
                <w:bCs w:val="1"/>
                <w:color w:val="auto"/>
                <w:w w:val="92"/>
              </w:rPr>
              <w:t>Borrowing / Swap</w:t>
            </w:r>
          </w:p>
        </w:tc>
      </w:tr>
      <w:tr>
        <w:trPr>
          <w:trHeight w:val="192"/>
        </w:trPr>
        <w:tc>
          <w:tcPr>
            <w:tcW w:w="62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(Decrease)</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Balance</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Rate</w:t>
            </w:r>
          </w:p>
        </w:tc>
      </w:tr>
      <w:tr>
        <w:trPr>
          <w:trHeight w:val="256"/>
        </w:trPr>
        <w:tc>
          <w:tcPr>
            <w:tcW w:w="63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335</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138</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197</w:t>
            </w:r>
          </w:p>
        </w:tc>
      </w:tr>
      <w:tr>
        <w:trPr>
          <w:trHeight w:val="264"/>
        </w:trPr>
        <w:tc>
          <w:tcPr>
            <w:tcW w:w="6360" w:type="dxa"/>
            <w:vAlign w:val="bottom"/>
            <w:gridSpan w:val="2"/>
          </w:tcPr>
          <w:p>
            <w:pPr>
              <w:ind w:left="20"/>
              <w:spacing w:after="0"/>
              <w:rPr>
                <w:sz w:val="20"/>
                <w:szCs w:val="20"/>
                <w:color w:val="auto"/>
              </w:rPr>
            </w:pPr>
            <w:r>
              <w:rPr>
                <w:rFonts w:ascii="Arial" w:cs="Arial" w:eastAsia="Arial" w:hAnsi="Arial"/>
                <w:sz w:val="14"/>
                <w:szCs w:val="14"/>
                <w:color w:val="auto"/>
              </w:rPr>
              <w:t>TBA dollar roll income - implied interest expense</w:t>
            </w:r>
          </w:p>
        </w:tc>
        <w:tc>
          <w:tcPr>
            <w:tcW w:w="18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(28)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22</w:t>
            </w:r>
          </w:p>
        </w:tc>
      </w:tr>
      <w:tr>
        <w:trPr>
          <w:trHeight w:val="270"/>
        </w:trPr>
        <w:tc>
          <w:tcPr>
            <w:tcW w:w="63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Interest rate swap periodic interest income/cost</w:t>
            </w:r>
          </w:p>
        </w:tc>
        <w:tc>
          <w:tcPr>
            <w:tcW w:w="180" w:type="dxa"/>
            <w:vAlign w:val="bottom"/>
            <w:tcBorders>
              <w:bottom w:val="single" w:sz="8" w:color="auto"/>
            </w:tcBorders>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w:t>
            </w:r>
          </w:p>
        </w:tc>
      </w:tr>
      <w:tr>
        <w:trPr>
          <w:trHeight w:val="243"/>
        </w:trPr>
        <w:tc>
          <w:tcPr>
            <w:tcW w:w="6360" w:type="dxa"/>
            <w:vAlign w:val="bottom"/>
            <w:gridSpan w:val="2"/>
          </w:tcPr>
          <w:p>
            <w:pPr>
              <w:ind w:left="20"/>
              <w:spacing w:after="0"/>
              <w:rPr>
                <w:sz w:val="20"/>
                <w:szCs w:val="20"/>
                <w:color w:val="auto"/>
              </w:rPr>
            </w:pPr>
            <w:r>
              <w:rPr>
                <w:rFonts w:ascii="Arial" w:cs="Arial" w:eastAsia="Arial" w:hAnsi="Arial"/>
                <w:sz w:val="14"/>
                <w:szCs w:val="14"/>
                <w:color w:val="auto"/>
              </w:rPr>
              <w:t>Total change in economic interest expense</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2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237</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111</w:t>
            </w: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126</w:t>
            </w:r>
          </w:p>
        </w:tc>
      </w:tr>
      <w:tr>
        <w:trPr>
          <w:trHeight w:val="20"/>
        </w:trPr>
        <w:tc>
          <w:tcPr>
            <w:tcW w:w="6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average mortgage borrowings, inclusive of TBAs, increased by 38% for the three months ended March 31, 2019 compared to the prior year period as a function of our higher asset base. The increase in the average interest rate (actual and implied) on our mortgage borrowings was largely a function of increases in the Federal Funds rate during fiscal year 2018. The decrease in our periodic swap costs was due to the receive-floating rate leg of our interest rate swaps resetting to higher prevailing three-month LIBOR rates.</w:t>
      </w:r>
    </w:p>
    <w:p>
      <w:pPr>
        <w:spacing w:after="0" w:line="133"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table below presents a summary of the ratio of our average interest rates swaps outstanding, excluding forward starting swaps, to our average mortgage borrowings for the three months ended March 31, 2019 and 2018 (dollars in millions):</w:t>
      </w:r>
    </w:p>
    <w:p>
      <w:pPr>
        <w:spacing w:after="0" w:line="176"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7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4"/>
          </w:tcPr>
          <w:p>
            <w:pPr>
              <w:jc w:val="right"/>
              <w:ind w:right="148"/>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73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8"/>
              </w:rPr>
              <w:t>Average Ratio of Interest Rate Swaps (Excluding Forward Starting Swaps) to Mortgage Borrowings Outstanding</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c>
          <w:tcPr>
            <w:tcW w:w="18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r>
      <w:tr>
        <w:trPr>
          <w:trHeight w:val="256"/>
        </w:trPr>
        <w:tc>
          <w:tcPr>
            <w:tcW w:w="75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Agency repo and other debt outstanding</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82,070</w:t>
            </w:r>
          </w:p>
        </w:tc>
        <w:tc>
          <w:tcPr>
            <w:tcW w:w="18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49,567</w:t>
            </w:r>
          </w:p>
        </w:tc>
      </w:tr>
      <w:tr>
        <w:trPr>
          <w:trHeight w:val="264"/>
        </w:trPr>
        <w:tc>
          <w:tcPr>
            <w:tcW w:w="750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net TBA portfolio outstanding - at cost</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8,002</w:t>
            </w:r>
          </w:p>
        </w:tc>
        <w:tc>
          <w:tcPr>
            <w:tcW w:w="18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15,585</w:t>
            </w:r>
          </w:p>
        </w:tc>
      </w:tr>
      <w:tr>
        <w:trPr>
          <w:trHeight w:val="256"/>
        </w:trPr>
        <w:tc>
          <w:tcPr>
            <w:tcW w:w="75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mortgage borrowings outstanding</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90,072</w:t>
            </w:r>
          </w:p>
        </w:tc>
        <w:tc>
          <w:tcPr>
            <w:tcW w:w="18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65,152</w:t>
            </w:r>
          </w:p>
        </w:tc>
      </w:tr>
      <w:tr>
        <w:trPr>
          <w:trHeight w:val="264"/>
        </w:trPr>
        <w:tc>
          <w:tcPr>
            <w:tcW w:w="7500" w:type="dxa"/>
            <w:vAlign w:val="bottom"/>
            <w:gridSpan w:val="2"/>
          </w:tcPr>
          <w:p>
            <w:pPr>
              <w:ind w:left="40"/>
              <w:spacing w:after="0"/>
              <w:rPr>
                <w:sz w:val="20"/>
                <w:szCs w:val="20"/>
                <w:color w:val="auto"/>
              </w:rPr>
            </w:pPr>
            <w:r>
              <w:rPr>
                <w:rFonts w:ascii="Arial" w:cs="Arial" w:eastAsia="Arial" w:hAnsi="Arial"/>
                <w:sz w:val="14"/>
                <w:szCs w:val="14"/>
                <w:color w:val="auto"/>
              </w:rPr>
              <w:t>Average notional amount of interest rate swaps outstanding (excluding forward starting swaps)</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45,158</w:t>
            </w:r>
          </w:p>
        </w:tc>
        <w:tc>
          <w:tcPr>
            <w:tcW w:w="180" w:type="dxa"/>
            <w:vAlign w:val="bottom"/>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41,021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425450</wp:posOffset>
            </wp:positionH>
            <wp:positionV relativeFrom="paragraph">
              <wp:posOffset>-8255</wp:posOffset>
            </wp:positionV>
            <wp:extent cx="640588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405880" cy="171450"/>
                    </a:xfrm>
                    <a:prstGeom prst="rect">
                      <a:avLst/>
                    </a:prstGeom>
                    <a:noFill/>
                  </pic:spPr>
                </pic:pic>
              </a:graphicData>
            </a:graphic>
          </wp:anchor>
        </w:drawing>
      </w:r>
    </w:p>
    <w:p>
      <w:pPr>
        <w:spacing w:after="0" w:line="29" w:lineRule="exact"/>
        <w:rPr>
          <w:sz w:val="20"/>
          <w:szCs w:val="20"/>
          <w:color w:val="auto"/>
        </w:rPr>
      </w:pPr>
    </w:p>
    <w:tbl>
      <w:tblPr>
        <w:tblLayout w:type="fixed"/>
        <w:tblInd w:w="660" w:type="dxa"/>
        <w:tblCellMar>
          <w:top w:w="0" w:type="dxa"/>
          <w:left w:w="0" w:type="dxa"/>
          <w:bottom w:w="0" w:type="dxa"/>
          <w:right w:w="0" w:type="dxa"/>
        </w:tblCellMar>
      </w:tblPr>
      <w:tr>
        <w:trPr>
          <w:trHeight w:val="194"/>
        </w:trPr>
        <w:tc>
          <w:tcPr>
            <w:tcW w:w="7500" w:type="dxa"/>
            <w:vAlign w:val="bottom"/>
          </w:tcPr>
          <w:p>
            <w:pPr>
              <w:ind w:left="40"/>
              <w:spacing w:after="0"/>
              <w:rPr>
                <w:sz w:val="20"/>
                <w:szCs w:val="20"/>
                <w:color w:val="auto"/>
              </w:rPr>
            </w:pPr>
            <w:r>
              <w:rPr>
                <w:rFonts w:ascii="Arial" w:cs="Arial" w:eastAsia="Arial" w:hAnsi="Arial"/>
                <w:sz w:val="14"/>
                <w:szCs w:val="14"/>
                <w:color w:val="auto"/>
              </w:rPr>
              <w:t>Ratio of average interest rate swaps to mortgage borrowings outstanding</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50 %</w:t>
            </w:r>
          </w:p>
        </w:tc>
        <w:tc>
          <w:tcPr>
            <w:tcW w:w="180" w:type="dxa"/>
            <w:vAlign w:val="bottom"/>
          </w:tcPr>
          <w:p>
            <w:pPr>
              <w:spacing w:after="0"/>
              <w:rPr>
                <w:sz w:val="16"/>
                <w:szCs w:val="16"/>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63 %</w:t>
            </w:r>
          </w:p>
        </w:tc>
      </w:tr>
      <w:tr>
        <w:trPr>
          <w:trHeight w:val="20"/>
        </w:trPr>
        <w:tc>
          <w:tcPr>
            <w:tcW w:w="75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278"/>
        </w:trPr>
        <w:tc>
          <w:tcPr>
            <w:tcW w:w="75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70"/>
        </w:trPr>
        <w:tc>
          <w:tcPr>
            <w:tcW w:w="7500" w:type="dxa"/>
            <w:vAlign w:val="bottom"/>
            <w:shd w:val="clear" w:color="auto" w:fill="CCEEFF"/>
          </w:tcPr>
          <w:p>
            <w:pPr>
              <w:ind w:left="40"/>
              <w:spacing w:after="0"/>
              <w:rPr>
                <w:sz w:val="20"/>
                <w:szCs w:val="20"/>
                <w:color w:val="auto"/>
              </w:rPr>
            </w:pPr>
            <w:r>
              <w:rPr>
                <w:rFonts w:ascii="Arial" w:cs="Arial" w:eastAsia="Arial" w:hAnsi="Arial"/>
                <w:sz w:val="14"/>
                <w:szCs w:val="14"/>
                <w:color w:val="auto"/>
              </w:rPr>
              <w:t>Average interest rate swap pay-fixed rate (excluding forward starting swaps)</w:t>
            </w: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1.97 %</w:t>
            </w:r>
          </w:p>
        </w:tc>
        <w:tc>
          <w:tcPr>
            <w:tcW w:w="180" w:type="dxa"/>
            <w:vAlign w:val="bottom"/>
            <w:shd w:val="clear" w:color="auto" w:fill="CCEEFF"/>
          </w:tcPr>
          <w:p>
            <w:pPr>
              <w:spacing w:after="0"/>
              <w:rPr>
                <w:sz w:val="23"/>
                <w:szCs w:val="23"/>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1.72 %</w:t>
            </w:r>
          </w:p>
        </w:tc>
      </w:tr>
      <w:tr>
        <w:trPr>
          <w:trHeight w:val="264"/>
        </w:trPr>
        <w:tc>
          <w:tcPr>
            <w:tcW w:w="75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Average interest rate swap receive-floating rate</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(2.72)%</w:t>
            </w:r>
          </w:p>
        </w:tc>
        <w:tc>
          <w:tcPr>
            <w:tcW w:w="180" w:type="dxa"/>
            <w:vAlign w:val="bottom"/>
            <w:tcBorders>
              <w:bottom w:val="single" w:sz="8" w:color="CCEEFF"/>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(1.63)%</w:t>
            </w:r>
          </w:p>
        </w:tc>
      </w:tr>
      <w:tr>
        <w:trPr>
          <w:trHeight w:val="243"/>
        </w:trPr>
        <w:tc>
          <w:tcPr>
            <w:tcW w:w="7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Average interest rate swap net pay/(receive) rate</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0.09 %</w:t>
            </w:r>
          </w:p>
        </w:tc>
      </w:tr>
      <w:tr>
        <w:trPr>
          <w:trHeight w:val="20"/>
        </w:trPr>
        <w:tc>
          <w:tcPr>
            <w:tcW w:w="75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806" w:right="239" w:bottom="1440" w:gutter="0" w:footer="0" w:header="0"/>
        </w:sectPr>
      </w:pPr>
    </w:p>
    <w:bookmarkStart w:id="35" w:name="page36"/>
    <w:bookmarkEnd w:id="35"/>
    <w:p>
      <w:pPr>
        <w:jc w:val="both"/>
        <w:ind w:firstLine="432"/>
        <w:spacing w:after="0" w:line="259" w:lineRule="auto"/>
        <w:rPr>
          <w:sz w:val="20"/>
          <w:szCs w:val="20"/>
          <w:color w:val="auto"/>
        </w:rPr>
      </w:pPr>
      <w:r>
        <w:rPr>
          <w:rFonts w:ascii="Arial" w:cs="Arial" w:eastAsia="Arial" w:hAnsi="Arial"/>
          <w:sz w:val="18"/>
          <w:szCs w:val="18"/>
          <w:color w:val="auto"/>
        </w:rPr>
        <w:t>For the three months ended March 31, 2019 and 2018, we had an average forward starting swap balance of $5.9 billion and $3.4 billion, respectively. Forward starting interest rate swaps do not impact our economic interest expense and aggregate cost of funds until they commence accruing net interest settlements on their forward start dates. Including forward starting swaps, our average ratio of interest rate swaps outstanding to our average mortgage borrowings was 57% and 68% for the three months ended March 31, 2019 and 2018, respectively.</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Spread</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presents a summary of our net interest spread (including the impact of TBA dollar roll income, interest rate swaps and excluding "catch-up" premium amortization) for the three months ended March 31, 2019 and 2018:</w:t>
      </w:r>
    </w:p>
    <w:p>
      <w:pPr>
        <w:spacing w:after="0" w:line="258" w:lineRule="exact"/>
        <w:rPr>
          <w:sz w:val="20"/>
          <w:szCs w:val="20"/>
          <w:color w:val="auto"/>
        </w:rPr>
      </w:pPr>
    </w:p>
    <w:tbl>
      <w:tblPr>
        <w:tblLayout w:type="fixed"/>
        <w:tblInd w:w="158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80" w:type="dxa"/>
            <w:vAlign w:val="bottom"/>
            <w:gridSpan w:val="4"/>
          </w:tcPr>
          <w:p>
            <w:pPr>
              <w:jc w:val="center"/>
              <w:spacing w:after="0"/>
              <w:rPr>
                <w:sz w:val="20"/>
                <w:szCs w:val="20"/>
                <w:color w:val="auto"/>
              </w:rPr>
            </w:pPr>
            <w:r>
              <w:rPr>
                <w:rFonts w:ascii="Arial" w:cs="Arial" w:eastAsia="Arial" w:hAnsi="Arial"/>
                <w:sz w:val="14"/>
                <w:szCs w:val="14"/>
                <w:b w:val="1"/>
                <w:bCs w:val="1"/>
                <w:color w:val="auto"/>
                <w:w w:val="95"/>
              </w:rPr>
              <w:t>Three Months Ended March</w:t>
            </w:r>
          </w:p>
        </w:tc>
      </w:tr>
      <w:tr>
        <w:trPr>
          <w:trHeight w:val="192"/>
        </w:trPr>
        <w:tc>
          <w:tcPr>
            <w:tcW w:w="6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4"/>
                <w:szCs w:val="14"/>
                <w:b w:val="1"/>
                <w:bCs w:val="1"/>
                <w:color w:val="auto"/>
              </w:rPr>
              <w:t>31,</w:t>
            </w:r>
          </w:p>
        </w:tc>
        <w:tc>
          <w:tcPr>
            <w:tcW w:w="740" w:type="dxa"/>
            <w:vAlign w:val="bottom"/>
            <w:tcBorders>
              <w:bottom w:val="single" w:sz="8" w:color="auto"/>
            </w:tcBorders>
          </w:tcPr>
          <w:p>
            <w:pPr>
              <w:spacing w:after="0"/>
              <w:rPr>
                <w:sz w:val="16"/>
                <w:szCs w:val="16"/>
                <w:color w:val="auto"/>
              </w:rPr>
            </w:pPr>
          </w:p>
        </w:tc>
      </w:tr>
      <w:tr>
        <w:trPr>
          <w:trHeight w:val="264"/>
        </w:trPr>
        <w:tc>
          <w:tcPr>
            <w:tcW w:w="61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 and TBA Securities - Net Interest Spread</w:t>
            </w:r>
          </w:p>
        </w:tc>
        <w:tc>
          <w:tcPr>
            <w:tcW w:w="10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r>
      <w:tr>
        <w:trPr>
          <w:trHeight w:val="256"/>
        </w:trPr>
        <w:tc>
          <w:tcPr>
            <w:tcW w:w="6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asset yield, excluding "catch-up" premium amortization</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3.33 %</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2.94 %</w:t>
            </w:r>
          </w:p>
        </w:tc>
      </w:tr>
      <w:tr>
        <w:trPr>
          <w:trHeight w:val="264"/>
        </w:trPr>
        <w:tc>
          <w:tcPr>
            <w:tcW w:w="62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aggregate cost of funds</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(2.27)%</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(1.68)%</w:t>
            </w:r>
          </w:p>
        </w:tc>
      </w:tr>
      <w:tr>
        <w:trPr>
          <w:trHeight w:val="243"/>
        </w:trPr>
        <w:tc>
          <w:tcPr>
            <w:tcW w:w="6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Average net interest spread, excluding "catch-up" premium amortization</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1.06 %</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1.26 %</w:t>
            </w:r>
          </w:p>
        </w:tc>
      </w:tr>
      <w:tr>
        <w:trPr>
          <w:trHeight w:val="20"/>
        </w:trPr>
        <w:tc>
          <w:tcPr>
            <w:tcW w:w="6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following table presents a summary of our net spread and dollar roll income, excluding estimated "catch-up" premium amortization, per diluted common share (a non-GAAP financial measure) and a reconciliation to our net interest income (the most comparable GAAP financial measure) for the three months ended March 31, 2019 and 2018 (dollars in millions):</w:t>
      </w:r>
    </w:p>
    <w:p>
      <w:pPr>
        <w:spacing w:after="0" w:line="200" w:lineRule="exact"/>
        <w:rPr>
          <w:sz w:val="20"/>
          <w:szCs w:val="20"/>
          <w:color w:val="auto"/>
        </w:rPr>
      </w:pPr>
    </w:p>
    <w:p>
      <w:pPr>
        <w:jc w:val="center"/>
        <w:ind w:left="6500"/>
        <w:spacing w:after="0"/>
        <w:rPr>
          <w:sz w:val="20"/>
          <w:szCs w:val="20"/>
          <w:color w:val="auto"/>
        </w:rPr>
      </w:pPr>
      <w:r>
        <w:rPr>
          <w:rFonts w:ascii="Arial" w:cs="Arial" w:eastAsia="Arial" w:hAnsi="Arial"/>
          <w:sz w:val="14"/>
          <w:szCs w:val="14"/>
          <w:b w:val="1"/>
          <w:bCs w:val="1"/>
          <w:color w:val="auto"/>
        </w:rPr>
        <w:t>Three Months Ended March</w:t>
      </w:r>
    </w:p>
    <w:p>
      <w:pPr>
        <w:spacing w:after="0" w:line="4" w:lineRule="exact"/>
        <w:rPr>
          <w:sz w:val="20"/>
          <w:szCs w:val="20"/>
          <w:color w:val="auto"/>
        </w:rPr>
      </w:pPr>
    </w:p>
    <w:p>
      <w:pPr>
        <w:jc w:val="center"/>
        <w:ind w:left="6500"/>
        <w:spacing w:after="0"/>
        <w:rPr>
          <w:sz w:val="20"/>
          <w:szCs w:val="20"/>
          <w:color w:val="auto"/>
        </w:rPr>
      </w:pPr>
      <w:r>
        <w:rPr>
          <w:rFonts w:ascii="Arial" w:cs="Arial" w:eastAsia="Arial" w:hAnsi="Arial"/>
          <w:sz w:val="14"/>
          <w:szCs w:val="14"/>
          <w:b w:val="1"/>
          <w:bCs w:val="1"/>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5090795</wp:posOffset>
            </wp:positionH>
            <wp:positionV relativeFrom="paragraph">
              <wp:posOffset>13335</wp:posOffset>
            </wp:positionV>
            <wp:extent cx="118364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183640" cy="8890"/>
                    </a:xfrm>
                    <a:prstGeom prst="rect">
                      <a:avLst/>
                    </a:prstGeom>
                    <a:noFill/>
                  </pic:spPr>
                </pic:pic>
              </a:graphicData>
            </a:graphic>
          </wp:anchor>
        </w:drawing>
      </w:r>
    </w:p>
    <w:p>
      <w:pPr>
        <w:spacing w:after="0" w:line="87" w:lineRule="exact"/>
        <w:rPr>
          <w:sz w:val="20"/>
          <w:szCs w:val="20"/>
          <w:color w:val="auto"/>
        </w:rPr>
      </w:pPr>
    </w:p>
    <w:tbl>
      <w:tblPr>
        <w:tblLayout w:type="fixed"/>
        <w:tblInd w:w="1560" w:type="dxa"/>
        <w:tblCellMar>
          <w:top w:w="0" w:type="dxa"/>
          <w:left w:w="0" w:type="dxa"/>
          <w:bottom w:w="0" w:type="dxa"/>
          <w:right w:w="0" w:type="dxa"/>
        </w:tblCellMar>
      </w:tblPr>
      <w:tr>
        <w:trPr>
          <w:trHeight w:val="192"/>
        </w:trPr>
        <w:tc>
          <w:tcPr>
            <w:tcW w:w="64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6"/>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 (GAAP measure)</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225</w:t>
            </w:r>
          </w:p>
        </w:tc>
        <w:tc>
          <w:tcPr>
            <w:tcW w:w="0" w:type="dxa"/>
            <w:vAlign w:val="bottom"/>
          </w:tcPr>
          <w:p>
            <w:pPr>
              <w:spacing w:after="0"/>
              <w:rPr>
                <w:sz w:val="1"/>
                <w:szCs w:val="1"/>
                <w:color w:val="auto"/>
              </w:rPr>
            </w:pPr>
          </w:p>
        </w:tc>
      </w:tr>
      <w:tr>
        <w:trPr>
          <w:trHeight w:val="264"/>
        </w:trPr>
        <w:tc>
          <w:tcPr>
            <w:tcW w:w="6460" w:type="dxa"/>
            <w:vAlign w:val="bottom"/>
          </w:tcPr>
          <w:p>
            <w:pPr>
              <w:ind w:left="160"/>
              <w:spacing w:after="0"/>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8"/>
                <w:szCs w:val="8"/>
                <w:color w:val="auto"/>
              </w:rPr>
              <w:t>1</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276"/>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Interest rate swap periodic interest income (cost), net </w:t>
            </w:r>
            <w:r>
              <w:rPr>
                <w:rFonts w:ascii="Arial" w:cs="Arial" w:eastAsia="Arial" w:hAnsi="Arial"/>
                <w:sz w:val="8"/>
                <w:szCs w:val="8"/>
                <w:color w:val="auto"/>
              </w:rPr>
              <w:t>1</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64"/>
        </w:trPr>
        <w:tc>
          <w:tcPr>
            <w:tcW w:w="64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8"/>
                <w:szCs w:val="8"/>
                <w:color w:val="auto"/>
              </w:rPr>
              <w:t>1</w:t>
            </w: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6"/>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18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269</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279</w:t>
            </w:r>
          </w:p>
        </w:tc>
        <w:tc>
          <w:tcPr>
            <w:tcW w:w="0" w:type="dxa"/>
            <w:vAlign w:val="bottom"/>
          </w:tcPr>
          <w:p>
            <w:pPr>
              <w:spacing w:after="0"/>
              <w:rPr>
                <w:sz w:val="1"/>
                <w:szCs w:val="1"/>
                <w:color w:val="auto"/>
              </w:rPr>
            </w:pPr>
          </w:p>
        </w:tc>
      </w:tr>
      <w:tr>
        <w:trPr>
          <w:trHeight w:val="264"/>
        </w:trPr>
        <w:tc>
          <w:tcPr>
            <w:tcW w:w="6460" w:type="dxa"/>
            <w:vAlign w:val="bottom"/>
          </w:tcPr>
          <w:p>
            <w:pPr>
              <w:ind w:left="20"/>
              <w:spacing w:after="0"/>
              <w:rPr>
                <w:sz w:val="20"/>
                <w:szCs w:val="20"/>
                <w:color w:val="auto"/>
              </w:rPr>
            </w:pPr>
            <w:r>
              <w:rPr>
                <w:rFonts w:ascii="Arial" w:cs="Arial" w:eastAsia="Arial" w:hAnsi="Arial"/>
                <w:sz w:val="14"/>
                <w:szCs w:val="14"/>
                <w:color w:val="auto"/>
              </w:rPr>
              <w:t>Other operating income (expense):</w:t>
            </w: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Management fee income</w:t>
            </w:r>
          </w:p>
        </w:tc>
        <w:tc>
          <w:tcPr>
            <w:tcW w:w="18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64"/>
        </w:trPr>
        <w:tc>
          <w:tcPr>
            <w:tcW w:w="64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Operating expenses</w:t>
            </w: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250"/>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other operating income (expense), net</w:t>
            </w:r>
          </w:p>
        </w:tc>
        <w:tc>
          <w:tcPr>
            <w:tcW w:w="18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50"/>
        </w:trPr>
        <w:tc>
          <w:tcPr>
            <w:tcW w:w="6460" w:type="dxa"/>
            <w:vAlign w:val="bottom"/>
          </w:tcPr>
          <w:p>
            <w:pPr>
              <w:ind w:left="20"/>
              <w:spacing w:after="0"/>
              <w:rPr>
                <w:sz w:val="20"/>
                <w:szCs w:val="20"/>
                <w:color w:val="auto"/>
              </w:rPr>
            </w:pPr>
            <w:r>
              <w:rPr>
                <w:rFonts w:ascii="Arial" w:cs="Arial" w:eastAsia="Arial" w:hAnsi="Arial"/>
                <w:sz w:val="14"/>
                <w:szCs w:val="14"/>
                <w:color w:val="auto"/>
              </w:rPr>
              <w:t>Net spread and dollar roll income</w:t>
            </w:r>
          </w:p>
        </w:tc>
        <w:tc>
          <w:tcPr>
            <w:tcW w:w="180" w:type="dxa"/>
            <w:vAlign w:val="bottom"/>
          </w:tcPr>
          <w:p>
            <w:pPr>
              <w:spacing w:after="0"/>
              <w:rPr>
                <w:sz w:val="21"/>
                <w:szCs w:val="21"/>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250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265</w:t>
            </w:r>
          </w:p>
        </w:tc>
        <w:tc>
          <w:tcPr>
            <w:tcW w:w="0" w:type="dxa"/>
            <w:vAlign w:val="bottom"/>
          </w:tcPr>
          <w:p>
            <w:pPr>
              <w:spacing w:after="0"/>
              <w:rPr>
                <w:sz w:val="1"/>
                <w:szCs w:val="1"/>
                <w:color w:val="auto"/>
              </w:rPr>
            </w:pPr>
          </w:p>
        </w:tc>
      </w:tr>
      <w:tr>
        <w:trPr>
          <w:trHeight w:val="270"/>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Dividend on preferred stock</w:t>
            </w:r>
          </w:p>
        </w:tc>
        <w:tc>
          <w:tcPr>
            <w:tcW w:w="18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50"/>
        </w:trPr>
        <w:tc>
          <w:tcPr>
            <w:tcW w:w="6460" w:type="dxa"/>
            <w:vAlign w:val="bottom"/>
          </w:tcPr>
          <w:p>
            <w:pPr>
              <w:ind w:left="20"/>
              <w:spacing w:after="0"/>
              <w:rPr>
                <w:sz w:val="20"/>
                <w:szCs w:val="20"/>
                <w:color w:val="auto"/>
              </w:rPr>
            </w:pPr>
            <w:r>
              <w:rPr>
                <w:rFonts w:ascii="Arial" w:cs="Arial" w:eastAsia="Arial" w:hAnsi="Arial"/>
                <w:sz w:val="14"/>
                <w:szCs w:val="14"/>
                <w:color w:val="auto"/>
              </w:rPr>
              <w:t>Net spread and dollar roll income available to common stockholders (non-GAAP measure)</w:t>
            </w:r>
          </w:p>
        </w:tc>
        <w:tc>
          <w:tcPr>
            <w:tcW w:w="180" w:type="dxa"/>
            <w:vAlign w:val="bottom"/>
          </w:tcPr>
          <w:p>
            <w:pPr>
              <w:spacing w:after="0"/>
              <w:rPr>
                <w:sz w:val="21"/>
                <w:szCs w:val="21"/>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240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256</w:t>
            </w:r>
          </w:p>
        </w:tc>
        <w:tc>
          <w:tcPr>
            <w:tcW w:w="0" w:type="dxa"/>
            <w:vAlign w:val="bottom"/>
          </w:tcPr>
          <w:p>
            <w:pPr>
              <w:spacing w:after="0"/>
              <w:rPr>
                <w:sz w:val="1"/>
                <w:szCs w:val="1"/>
                <w:color w:val="auto"/>
              </w:rPr>
            </w:pPr>
          </w:p>
        </w:tc>
      </w:tr>
      <w:tr>
        <w:trPr>
          <w:trHeight w:val="276"/>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Estimated "catch-up" premium amortization (benefit) cost due to change in CPR forecast</w:t>
            </w:r>
          </w:p>
        </w:tc>
        <w:tc>
          <w:tcPr>
            <w:tcW w:w="180" w:type="dxa"/>
            <w:vAlign w:val="bottom"/>
            <w:tcBorders>
              <w:bottom w:val="single" w:sz="8" w:color="auto"/>
            </w:tcBorders>
            <w:shd w:val="clear" w:color="auto" w:fill="CCEEFF"/>
          </w:tcPr>
          <w:p>
            <w:pPr>
              <w:spacing w:after="0"/>
              <w:rPr>
                <w:sz w:val="24"/>
                <w:szCs w:val="24"/>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37"/>
        </w:trPr>
        <w:tc>
          <w:tcPr>
            <w:tcW w:w="6460" w:type="dxa"/>
            <w:vAlign w:val="bottom"/>
          </w:tcPr>
          <w:p>
            <w:pPr>
              <w:ind w:left="20"/>
              <w:spacing w:after="0" w:line="137" w:lineRule="exact"/>
              <w:rPr>
                <w:sz w:val="20"/>
                <w:szCs w:val="20"/>
                <w:color w:val="auto"/>
              </w:rPr>
            </w:pPr>
            <w:r>
              <w:rPr>
                <w:rFonts w:ascii="Arial" w:cs="Arial" w:eastAsia="Arial" w:hAnsi="Arial"/>
                <w:sz w:val="14"/>
                <w:szCs w:val="14"/>
                <w:color w:val="auto"/>
              </w:rPr>
              <w:t>Net spread and dollar roll income, excluding "catch-up" premium amortization, available to common</w:t>
            </w:r>
          </w:p>
        </w:tc>
        <w:tc>
          <w:tcPr>
            <w:tcW w:w="180" w:type="dxa"/>
            <w:vAlign w:val="bottom"/>
            <w:vMerge w:val="restart"/>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vMerge w:val="restart"/>
          </w:tcPr>
          <w:p>
            <w:pPr>
              <w:jc w:val="right"/>
              <w:ind w:right="28"/>
              <w:spacing w:after="0"/>
              <w:rPr>
                <w:sz w:val="20"/>
                <w:szCs w:val="20"/>
                <w:color w:val="auto"/>
              </w:rPr>
            </w:pPr>
            <w:r>
              <w:rPr>
                <w:rFonts w:ascii="Arial" w:cs="Arial" w:eastAsia="Arial" w:hAnsi="Arial"/>
                <w:sz w:val="14"/>
                <w:szCs w:val="14"/>
                <w:color w:val="auto"/>
              </w:rPr>
              <w:t>279</w:t>
            </w:r>
          </w:p>
        </w:tc>
        <w:tc>
          <w:tcPr>
            <w:tcW w:w="100" w:type="dxa"/>
            <w:vAlign w:val="bottom"/>
          </w:tcPr>
          <w:p>
            <w:pPr>
              <w:spacing w:after="0"/>
              <w:rPr>
                <w:sz w:val="11"/>
                <w:szCs w:val="11"/>
                <w:color w:val="auto"/>
              </w:rPr>
            </w:pPr>
          </w:p>
        </w:tc>
        <w:tc>
          <w:tcPr>
            <w:tcW w:w="20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vMerge w:val="restart"/>
          </w:tcPr>
          <w:p>
            <w:pPr>
              <w:jc w:val="right"/>
              <w:ind w:right="8"/>
              <w:spacing w:after="0"/>
              <w:rPr>
                <w:sz w:val="20"/>
                <w:szCs w:val="20"/>
                <w:color w:val="auto"/>
              </w:rPr>
            </w:pPr>
            <w:r>
              <w:rPr>
                <w:rFonts w:ascii="Arial" w:cs="Arial" w:eastAsia="Arial" w:hAnsi="Arial"/>
                <w:sz w:val="14"/>
                <w:szCs w:val="14"/>
                <w:color w:val="auto"/>
              </w:rPr>
              <w:t>235</w:t>
            </w:r>
          </w:p>
        </w:tc>
        <w:tc>
          <w:tcPr>
            <w:tcW w:w="0" w:type="dxa"/>
            <w:vAlign w:val="bottom"/>
          </w:tcPr>
          <w:p>
            <w:pPr>
              <w:spacing w:after="0"/>
              <w:rPr>
                <w:sz w:val="1"/>
                <w:szCs w:val="1"/>
                <w:color w:val="auto"/>
              </w:rPr>
            </w:pPr>
          </w:p>
        </w:tc>
      </w:tr>
      <w:tr>
        <w:trPr>
          <w:trHeight w:val="221"/>
        </w:trPr>
        <w:tc>
          <w:tcPr>
            <w:tcW w:w="64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stockholders (non-GAAP measure)</w:t>
            </w:r>
          </w:p>
        </w:tc>
        <w:tc>
          <w:tcPr>
            <w:tcW w:w="180" w:type="dxa"/>
            <w:vAlign w:val="bottom"/>
            <w:tcBorders>
              <w:bottom w:val="single" w:sz="8" w:color="auto"/>
            </w:tcBorders>
            <w:vMerge w:val="continue"/>
          </w:tcPr>
          <w:p>
            <w:pPr>
              <w:spacing w:after="0"/>
              <w:rPr>
                <w:sz w:val="19"/>
                <w:szCs w:val="19"/>
                <w:color w:val="auto"/>
              </w:rPr>
            </w:pPr>
          </w:p>
        </w:tc>
        <w:tc>
          <w:tcPr>
            <w:tcW w:w="70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vMerge w:val="continue"/>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646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97"/>
        </w:trPr>
        <w:tc>
          <w:tcPr>
            <w:tcW w:w="64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536.7</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391.3</w:t>
            </w:r>
          </w:p>
        </w:tc>
        <w:tc>
          <w:tcPr>
            <w:tcW w:w="0" w:type="dxa"/>
            <w:vAlign w:val="bottom"/>
          </w:tcPr>
          <w:p>
            <w:pPr>
              <w:spacing w:after="0"/>
              <w:rPr>
                <w:sz w:val="1"/>
                <w:szCs w:val="1"/>
                <w:color w:val="auto"/>
              </w:rPr>
            </w:pPr>
          </w:p>
        </w:tc>
      </w:tr>
      <w:tr>
        <w:trPr>
          <w:trHeight w:val="210"/>
        </w:trPr>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537.2</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391.5</w:t>
            </w:r>
          </w:p>
        </w:tc>
        <w:tc>
          <w:tcPr>
            <w:tcW w:w="0" w:type="dxa"/>
            <w:vAlign w:val="bottom"/>
          </w:tcPr>
          <w:p>
            <w:pPr>
              <w:spacing w:after="0"/>
              <w:rPr>
                <w:sz w:val="1"/>
                <w:szCs w:val="1"/>
                <w:color w:val="auto"/>
              </w:rPr>
            </w:pPr>
          </w:p>
        </w:tc>
      </w:tr>
      <w:tr>
        <w:trPr>
          <w:trHeight w:val="20"/>
        </w:trPr>
        <w:tc>
          <w:tcPr>
            <w:tcW w:w="6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4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0.45</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0.65</w:t>
            </w:r>
          </w:p>
        </w:tc>
        <w:tc>
          <w:tcPr>
            <w:tcW w:w="0" w:type="dxa"/>
            <w:vAlign w:val="bottom"/>
          </w:tcPr>
          <w:p>
            <w:pPr>
              <w:spacing w:after="0"/>
              <w:rPr>
                <w:sz w:val="1"/>
                <w:szCs w:val="1"/>
                <w:color w:val="auto"/>
              </w:rPr>
            </w:pPr>
          </w:p>
        </w:tc>
      </w:tr>
      <w:tr>
        <w:trPr>
          <w:trHeight w:val="210"/>
        </w:trPr>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diluted</w:t>
            </w: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0.45</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0.65</w:t>
            </w:r>
          </w:p>
        </w:tc>
        <w:tc>
          <w:tcPr>
            <w:tcW w:w="0" w:type="dxa"/>
            <w:vAlign w:val="bottom"/>
          </w:tcPr>
          <w:p>
            <w:pPr>
              <w:spacing w:after="0"/>
              <w:rPr>
                <w:sz w:val="1"/>
                <w:szCs w:val="1"/>
                <w:color w:val="auto"/>
              </w:rPr>
            </w:pPr>
          </w:p>
        </w:tc>
      </w:tr>
      <w:tr>
        <w:trPr>
          <w:trHeight w:val="20"/>
        </w:trPr>
        <w:tc>
          <w:tcPr>
            <w:tcW w:w="6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4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w w:val="99"/>
              </w:rPr>
              <w:t>Net spread and dollar roll income, excluding "catch-up" premium amortization, per common share - basic</w:t>
            </w: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0.52</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0.60</w:t>
            </w:r>
          </w:p>
        </w:tc>
        <w:tc>
          <w:tcPr>
            <w:tcW w:w="0" w:type="dxa"/>
            <w:vAlign w:val="bottom"/>
          </w:tcPr>
          <w:p>
            <w:pPr>
              <w:spacing w:after="0"/>
              <w:rPr>
                <w:sz w:val="1"/>
                <w:szCs w:val="1"/>
                <w:color w:val="auto"/>
              </w:rPr>
            </w:pPr>
          </w:p>
        </w:tc>
      </w:tr>
      <w:tr>
        <w:trPr>
          <w:trHeight w:val="210"/>
        </w:trPr>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w w:val="97"/>
              </w:rPr>
              <w:t>Net spread and dollar roll income, excluding "catch-up" premium amortization, per common share - diluted</w:t>
            </w: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0.52</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0.60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5090795</wp:posOffset>
            </wp:positionH>
            <wp:positionV relativeFrom="paragraph">
              <wp:posOffset>8890</wp:posOffset>
            </wp:positionV>
            <wp:extent cx="118364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83640" cy="8890"/>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Investment Securities, Net</w:t>
      </w:r>
    </w:p>
    <w:p>
      <w:pPr>
        <w:spacing w:after="0" w:line="171" w:lineRule="exact"/>
        <w:rPr>
          <w:sz w:val="20"/>
          <w:szCs w:val="20"/>
          <w:color w:val="auto"/>
        </w:rPr>
      </w:pPr>
    </w:p>
    <w:p>
      <w:pPr>
        <w:jc w:val="both"/>
        <w:ind w:firstLine="486"/>
        <w:spacing w:after="0" w:line="279" w:lineRule="auto"/>
        <w:rPr>
          <w:sz w:val="20"/>
          <w:szCs w:val="20"/>
          <w:color w:val="auto"/>
        </w:rPr>
      </w:pPr>
      <w:r>
        <w:rPr>
          <w:rFonts w:ascii="Arial" w:cs="Arial" w:eastAsia="Arial" w:hAnsi="Arial"/>
          <w:sz w:val="17"/>
          <w:szCs w:val="17"/>
          <w:color w:val="auto"/>
        </w:rPr>
        <w:t>During the three months ended March 31, 2019, the average fair value of our investment portfolio increased 169 basis points to 100.2% of the weighted average cost basis as of March 31, 2019 due to the decline in long-term interest rates and the outperformance of specified Agency RMBS with favorable prepayment characteristics. During the prior year period, the average fair value of our investment portfolio declined 200 basis points to 97.3% of the weighted average cost basis as of March 31, 2018, due to higher interest rates and lower pay-up values for specified Agency RMBS.</w:t>
      </w:r>
    </w:p>
    <w:p>
      <w:pPr>
        <w:sectPr>
          <w:pgSz w:w="11900" w:h="16838" w:orient="portrait"/>
          <w:cols w:equalWidth="0" w:num="1">
            <w:col w:w="11420"/>
          </w:cols>
          <w:pgMar w:left="240" w:top="746" w:right="239" w:bottom="1440" w:gutter="0" w:footer="0" w:header="0"/>
        </w:sectPr>
      </w:pP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ectPr>
          <w:pgSz w:w="11900" w:h="16838" w:orient="portrait"/>
          <w:cols w:equalWidth="0" w:num="1">
            <w:col w:w="11420"/>
          </w:cols>
          <w:pgMar w:left="240" w:top="746" w:right="239" w:bottom="1440" w:gutter="0" w:footer="0" w:header="0"/>
          <w:type w:val="continuous"/>
        </w:sectPr>
      </w:pPr>
    </w:p>
    <w:bookmarkStart w:id="36" w:name="page37"/>
    <w:bookmarkEnd w:id="36"/>
    <w:p>
      <w:pPr>
        <w:ind w:left="500"/>
        <w:spacing w:after="0"/>
        <w:rPr>
          <w:sz w:val="20"/>
          <w:szCs w:val="20"/>
          <w:color w:val="auto"/>
        </w:rPr>
      </w:pPr>
      <w:r>
        <w:rPr>
          <w:rFonts w:ascii="Arial" w:cs="Arial" w:eastAsia="Arial" w:hAnsi="Arial"/>
          <w:sz w:val="16"/>
          <w:szCs w:val="16"/>
          <w:color w:val="auto"/>
        </w:rPr>
        <w:t>The following table is a summary of our net gain (loss) on investment securities for the three months ended March 31, 2019 and 2018 (in millions):</w:t>
      </w:r>
    </w:p>
    <w:p>
      <w:pPr>
        <w:spacing w:after="0" w:line="253" w:lineRule="exact"/>
        <w:rPr>
          <w:sz w:val="20"/>
          <w:szCs w:val="20"/>
          <w:color w:val="auto"/>
        </w:rPr>
      </w:pPr>
    </w:p>
    <w:tbl>
      <w:tblPr>
        <w:tblLayout w:type="fixed"/>
        <w:tblInd w:w="620" w:type="dxa"/>
        <w:tblCellMar>
          <w:top w:w="0" w:type="dxa"/>
          <w:left w:w="0" w:type="dxa"/>
          <w:bottom w:w="0" w:type="dxa"/>
          <w:right w:w="0" w:type="dxa"/>
        </w:tblCellMar>
      </w:tblPr>
      <w:tr>
        <w:trPr>
          <w:trHeight w:val="192"/>
        </w:trPr>
        <w:tc>
          <w:tcPr>
            <w:tcW w:w="7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b w:val="1"/>
                <w:bCs w:val="1"/>
                <w:color w:val="auto"/>
                <w:w w:val="98"/>
              </w:rPr>
              <w:t>Three Months Ended March 31,</w:t>
            </w:r>
          </w:p>
        </w:tc>
      </w:tr>
      <w:tr>
        <w:trPr>
          <w:trHeight w:val="264"/>
        </w:trPr>
        <w:tc>
          <w:tcPr>
            <w:tcW w:w="77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 xml:space="preserve">Gain (Loss) on Investment Securities, Net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r>
      <w:tr>
        <w:trPr>
          <w:trHeight w:val="256"/>
        </w:trPr>
        <w:tc>
          <w:tcPr>
            <w:tcW w:w="78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Gain (loss) on sale of investment securities, net</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r>
      <w:tr>
        <w:trPr>
          <w:trHeight w:val="264"/>
        </w:trPr>
        <w:tc>
          <w:tcPr>
            <w:tcW w:w="7860" w:type="dxa"/>
            <w:vAlign w:val="bottom"/>
            <w:gridSpan w:val="2"/>
          </w:tcPr>
          <w:p>
            <w:pPr>
              <w:ind w:left="20"/>
              <w:spacing w:after="0"/>
              <w:rPr>
                <w:sz w:val="20"/>
                <w:szCs w:val="20"/>
                <w:color w:val="auto"/>
              </w:rPr>
            </w:pPr>
            <w:r>
              <w:rPr>
                <w:rFonts w:ascii="Arial" w:cs="Arial" w:eastAsia="Arial" w:hAnsi="Arial"/>
                <w:sz w:val="14"/>
                <w:szCs w:val="14"/>
                <w:color w:val="auto"/>
              </w:rPr>
              <w:t xml:space="preserve">Unrealized gain (loss) on investment securities measured at fair value through net income, net </w:t>
            </w:r>
            <w:r>
              <w:rPr>
                <w:rFonts w:ascii="Arial" w:cs="Arial" w:eastAsia="Arial" w:hAnsi="Arial"/>
                <w:sz w:val="8"/>
                <w:szCs w:val="8"/>
                <w:color w:val="auto"/>
              </w:rPr>
              <w:t>2</w:t>
            </w:r>
          </w:p>
        </w:tc>
        <w:tc>
          <w:tcPr>
            <w:tcW w:w="18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1,060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(523)</w:t>
            </w:r>
          </w:p>
        </w:tc>
      </w:tr>
      <w:tr>
        <w:trPr>
          <w:trHeight w:val="270"/>
        </w:trPr>
        <w:tc>
          <w:tcPr>
            <w:tcW w:w="78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Unrealized gain (loss) on investment securities measured at fair value through other comprehensive income, net</w:t>
            </w:r>
          </w:p>
        </w:tc>
        <w:tc>
          <w:tcPr>
            <w:tcW w:w="18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400</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(621)</w:t>
            </w:r>
          </w:p>
        </w:tc>
      </w:tr>
      <w:tr>
        <w:trPr>
          <w:trHeight w:val="244"/>
        </w:trPr>
        <w:tc>
          <w:tcPr>
            <w:tcW w:w="7860" w:type="dxa"/>
            <w:vAlign w:val="bottom"/>
            <w:gridSpan w:val="2"/>
          </w:tcPr>
          <w:p>
            <w:pPr>
              <w:ind w:left="20"/>
              <w:spacing w:after="0"/>
              <w:rPr>
                <w:sz w:val="20"/>
                <w:szCs w:val="20"/>
                <w:color w:val="auto"/>
              </w:rPr>
            </w:pPr>
            <w:r>
              <w:rPr>
                <w:rFonts w:ascii="Arial" w:cs="Arial" w:eastAsia="Arial" w:hAnsi="Arial"/>
                <w:sz w:val="14"/>
                <w:szCs w:val="14"/>
                <w:color w:val="auto"/>
              </w:rPr>
              <w:t>Total gain (loss) on investment securities, net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1,520</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(1,146)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5390515</wp:posOffset>
            </wp:positionH>
            <wp:positionV relativeFrom="paragraph">
              <wp:posOffset>0</wp:posOffset>
            </wp:positionV>
            <wp:extent cx="1475105"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475105" cy="2603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980" w:right="20" w:hanging="648"/>
        <w:spacing w:after="0" w:line="241" w:lineRule="auto"/>
        <w:tabs>
          <w:tab w:leader="none" w:pos="656" w:val="left"/>
        </w:tabs>
        <w:numPr>
          <w:ilvl w:val="0"/>
          <w:numId w:val="33"/>
        </w:numPr>
        <w:rPr>
          <w:rFonts w:ascii="Arial" w:cs="Arial" w:eastAsia="Arial" w:hAnsi="Arial"/>
          <w:sz w:val="14"/>
          <w:szCs w:val="14"/>
          <w:color w:val="auto"/>
        </w:rPr>
      </w:pPr>
      <w:r>
        <w:rPr>
          <w:rFonts w:ascii="Arial" w:cs="Arial" w:eastAsia="Arial" w:hAnsi="Arial"/>
          <w:sz w:val="14"/>
          <w:szCs w:val="14"/>
          <w:color w:val="auto"/>
        </w:rPr>
        <w:t>Amounts exclude gain (loss) on TBA securities, which are reported in gain (loss) on derivative instruments and other securities, net in our Consolidated Statements of Comprehensive Income.</w:t>
      </w:r>
    </w:p>
    <w:p>
      <w:pPr>
        <w:ind w:left="660" w:hanging="328"/>
        <w:spacing w:after="0"/>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Investment securities acquired after fiscal year 2016 are measured at fair value through net income (see Note 3 of our Consolidated Financial Statements in this Form 10-Q).</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table is a summary of our gain (loss) on derivative instruments and other securities, net for the three months ended March 31, 2019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2018 (in millions):</w:t>
      </w:r>
    </w:p>
    <w:p>
      <w:pPr>
        <w:spacing w:after="0" w:line="297" w:lineRule="exact"/>
        <w:rPr>
          <w:sz w:val="20"/>
          <w:szCs w:val="20"/>
          <w:color w:val="auto"/>
        </w:rPr>
      </w:pPr>
    </w:p>
    <w:tbl>
      <w:tblPr>
        <w:tblLayout w:type="fixed"/>
        <w:tblInd w:w="760" w:type="dxa"/>
        <w:tblCellMar>
          <w:top w:w="0" w:type="dxa"/>
          <w:left w:w="0" w:type="dxa"/>
          <w:bottom w:w="0" w:type="dxa"/>
          <w:right w:w="0" w:type="dxa"/>
        </w:tblCellMar>
      </w:tblPr>
      <w:tr>
        <w:trPr>
          <w:trHeight w:val="192"/>
        </w:trPr>
        <w:tc>
          <w:tcPr>
            <w:tcW w:w="76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120" w:type="dxa"/>
            <w:vAlign w:val="bottom"/>
            <w:tcBorders>
              <w:bottom w:val="single" w:sz="8" w:color="auto"/>
            </w:tcBorders>
            <w:gridSpan w:val="4"/>
          </w:tcPr>
          <w:p>
            <w:pPr>
              <w:jc w:val="right"/>
              <w:ind w:right="8"/>
              <w:spacing w:after="0"/>
              <w:rPr>
                <w:sz w:val="20"/>
                <w:szCs w:val="20"/>
                <w:color w:val="auto"/>
              </w:rPr>
            </w:pPr>
            <w:r>
              <w:rPr>
                <w:rFonts w:ascii="Arial" w:cs="Arial" w:eastAsia="Arial" w:hAnsi="Arial"/>
                <w:sz w:val="14"/>
                <w:szCs w:val="14"/>
                <w:b w:val="1"/>
                <w:bCs w:val="1"/>
                <w:color w:val="auto"/>
                <w:w w:val="97"/>
              </w:rPr>
              <w:t>Three Months Ended March 31,</w:t>
            </w:r>
          </w:p>
        </w:tc>
      </w:tr>
      <w:tr>
        <w:trPr>
          <w:trHeight w:val="264"/>
        </w:trPr>
        <w:tc>
          <w:tcPr>
            <w:tcW w:w="76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r>
      <w:tr>
        <w:trPr>
          <w:trHeight w:val="256"/>
        </w:trPr>
        <w:tc>
          <w:tcPr>
            <w:tcW w:w="76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swap periodic interest income (cost), net</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r>
      <w:tr>
        <w:trPr>
          <w:trHeight w:val="258"/>
        </w:trPr>
        <w:tc>
          <w:tcPr>
            <w:tcW w:w="7620" w:type="dxa"/>
            <w:vAlign w:val="bottom"/>
          </w:tcPr>
          <w:p>
            <w:pPr>
              <w:ind w:left="2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1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276"/>
        </w:trPr>
        <w:tc>
          <w:tcPr>
            <w:tcW w:w="762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TBA securities - dollar roll income, net</w:t>
            </w:r>
          </w:p>
        </w:tc>
        <w:tc>
          <w:tcPr>
            <w:tcW w:w="18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62</w:t>
            </w:r>
          </w:p>
        </w:tc>
      </w:tr>
      <w:tr>
        <w:trPr>
          <w:trHeight w:val="264"/>
        </w:trPr>
        <w:tc>
          <w:tcPr>
            <w:tcW w:w="7620" w:type="dxa"/>
            <w:vAlign w:val="bottom"/>
          </w:tcPr>
          <w:p>
            <w:pPr>
              <w:ind w:left="1180"/>
              <w:spacing w:after="0"/>
              <w:rPr>
                <w:sz w:val="20"/>
                <w:szCs w:val="20"/>
                <w:color w:val="auto"/>
              </w:rPr>
            </w:pPr>
            <w:r>
              <w:rPr>
                <w:rFonts w:ascii="Arial" w:cs="Arial" w:eastAsia="Arial" w:hAnsi="Arial"/>
                <w:sz w:val="14"/>
                <w:szCs w:val="14"/>
                <w:color w:val="auto"/>
              </w:rPr>
              <w:t>TBA securities - mark-to-market net gain (loss)</w:t>
            </w:r>
          </w:p>
        </w:tc>
        <w:tc>
          <w:tcPr>
            <w:tcW w:w="18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65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(432)</w:t>
            </w:r>
          </w:p>
        </w:tc>
      </w:tr>
      <w:tr>
        <w:trPr>
          <w:trHeight w:val="276"/>
        </w:trPr>
        <w:tc>
          <w:tcPr>
            <w:tcW w:w="762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Payer swaptions</w:t>
            </w:r>
          </w:p>
        </w:tc>
        <w:tc>
          <w:tcPr>
            <w:tcW w:w="18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w:t>
            </w:r>
          </w:p>
        </w:tc>
      </w:tr>
      <w:tr>
        <w:trPr>
          <w:trHeight w:val="264"/>
        </w:trPr>
        <w:tc>
          <w:tcPr>
            <w:tcW w:w="7620" w:type="dxa"/>
            <w:vAlign w:val="bottom"/>
          </w:tcPr>
          <w:p>
            <w:pPr>
              <w:ind w:left="1180"/>
              <w:spacing w:after="0"/>
              <w:rPr>
                <w:sz w:val="20"/>
                <w:szCs w:val="20"/>
                <w:color w:val="auto"/>
              </w:rPr>
            </w:pPr>
            <w:r>
              <w:rPr>
                <w:rFonts w:ascii="Arial" w:cs="Arial" w:eastAsia="Arial" w:hAnsi="Arial"/>
                <w:sz w:val="14"/>
                <w:szCs w:val="14"/>
                <w:color w:val="auto"/>
              </w:rPr>
              <w:t>U.S. Treasury securities - long position</w:t>
            </w:r>
          </w:p>
        </w:tc>
        <w:tc>
          <w:tcPr>
            <w:tcW w:w="180" w:type="dxa"/>
            <w:vAlign w:val="bottom"/>
          </w:tcPr>
          <w:p>
            <w:pPr>
              <w:spacing w:after="0"/>
              <w:rPr>
                <w:sz w:val="22"/>
                <w:szCs w:val="22"/>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762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U.S. Treasury securities - short position</w:t>
            </w:r>
          </w:p>
        </w:tc>
        <w:tc>
          <w:tcPr>
            <w:tcW w:w="18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r>
      <w:tr>
        <w:trPr>
          <w:trHeight w:val="264"/>
        </w:trPr>
        <w:tc>
          <w:tcPr>
            <w:tcW w:w="7620" w:type="dxa"/>
            <w:vAlign w:val="bottom"/>
          </w:tcPr>
          <w:p>
            <w:pPr>
              <w:ind w:left="1180"/>
              <w:spacing w:after="0"/>
              <w:rPr>
                <w:sz w:val="20"/>
                <w:szCs w:val="20"/>
                <w:color w:val="auto"/>
              </w:rPr>
            </w:pPr>
            <w:r>
              <w:rPr>
                <w:rFonts w:ascii="Arial" w:cs="Arial" w:eastAsia="Arial" w:hAnsi="Arial"/>
                <w:sz w:val="14"/>
                <w:szCs w:val="14"/>
                <w:color w:val="auto"/>
              </w:rPr>
              <w:t>U.S. Treasury futures - short position</w:t>
            </w: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110</w:t>
            </w:r>
          </w:p>
        </w:tc>
      </w:tr>
      <w:tr>
        <w:trPr>
          <w:trHeight w:val="276"/>
        </w:trPr>
        <w:tc>
          <w:tcPr>
            <w:tcW w:w="762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Interest rate swaps - termination fees and variation margin settlements, net</w:t>
            </w:r>
          </w:p>
        </w:tc>
        <w:tc>
          <w:tcPr>
            <w:tcW w:w="18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(699)</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582</w:t>
            </w:r>
          </w:p>
        </w:tc>
      </w:tr>
      <w:tr>
        <w:trPr>
          <w:trHeight w:val="264"/>
        </w:trPr>
        <w:tc>
          <w:tcPr>
            <w:tcW w:w="7620" w:type="dxa"/>
            <w:vAlign w:val="bottom"/>
            <w:tcBorders>
              <w:bottom w:val="single" w:sz="8" w:color="CCEEFF"/>
            </w:tcBorders>
          </w:tcPr>
          <w:p>
            <w:pPr>
              <w:ind w:left="1180"/>
              <w:spacing w:after="0"/>
              <w:rPr>
                <w:sz w:val="20"/>
                <w:szCs w:val="20"/>
                <w:color w:val="auto"/>
              </w:rPr>
            </w:pPr>
            <w:r>
              <w:rPr>
                <w:rFonts w:ascii="Arial" w:cs="Arial" w:eastAsia="Arial" w:hAnsi="Arial"/>
                <w:sz w:val="14"/>
                <w:szCs w:val="14"/>
                <w:color w:val="auto"/>
              </w:rPr>
              <w:t>Other</w:t>
            </w: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r>
      <w:tr>
        <w:trPr>
          <w:trHeight w:val="256"/>
        </w:trPr>
        <w:tc>
          <w:tcPr>
            <w:tcW w:w="76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18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(742)</w:t>
            </w:r>
          </w:p>
        </w:tc>
        <w:tc>
          <w:tcPr>
            <w:tcW w:w="100" w:type="dxa"/>
            <w:vAlign w:val="bottom"/>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332</w:t>
            </w:r>
          </w:p>
        </w:tc>
      </w:tr>
      <w:tr>
        <w:trPr>
          <w:trHeight w:val="258"/>
        </w:trPr>
        <w:tc>
          <w:tcPr>
            <w:tcW w:w="7620" w:type="dxa"/>
            <w:vAlign w:val="bottom"/>
          </w:tcPr>
          <w:p>
            <w:pPr>
              <w:ind w:left="20"/>
              <w:spacing w:after="0"/>
              <w:rPr>
                <w:sz w:val="20"/>
                <w:szCs w:val="20"/>
                <w:color w:val="auto"/>
              </w:rPr>
            </w:pPr>
            <w:r>
              <w:rPr>
                <w:rFonts w:ascii="Arial" w:cs="Arial" w:eastAsia="Arial" w:hAnsi="Arial"/>
                <w:sz w:val="14"/>
                <w:szCs w:val="14"/>
                <w:color w:val="auto"/>
              </w:rPr>
              <w:t>Unrealized gain (loss) on derivative instruments and other securities, net:</w:t>
            </w:r>
          </w:p>
        </w:tc>
        <w:tc>
          <w:tcPr>
            <w:tcW w:w="1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276"/>
        </w:trPr>
        <w:tc>
          <w:tcPr>
            <w:tcW w:w="762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TBA securities - mark-to-market net gain (loss)</w:t>
            </w:r>
          </w:p>
        </w:tc>
        <w:tc>
          <w:tcPr>
            <w:tcW w:w="18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w:t>
            </w:r>
          </w:p>
        </w:tc>
      </w:tr>
      <w:tr>
        <w:trPr>
          <w:trHeight w:val="264"/>
        </w:trPr>
        <w:tc>
          <w:tcPr>
            <w:tcW w:w="7620" w:type="dxa"/>
            <w:vAlign w:val="bottom"/>
          </w:tcPr>
          <w:p>
            <w:pPr>
              <w:ind w:left="1180"/>
              <w:spacing w:after="0"/>
              <w:rPr>
                <w:sz w:val="20"/>
                <w:szCs w:val="20"/>
                <w:color w:val="auto"/>
              </w:rPr>
            </w:pPr>
            <w:r>
              <w:rPr>
                <w:rFonts w:ascii="Arial" w:cs="Arial" w:eastAsia="Arial" w:hAnsi="Arial"/>
                <w:sz w:val="14"/>
                <w:szCs w:val="14"/>
                <w:color w:val="auto"/>
              </w:rPr>
              <w:t>Interest rate swaps</w:t>
            </w:r>
          </w:p>
        </w:tc>
        <w:tc>
          <w:tcPr>
            <w:tcW w:w="18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90</w:t>
            </w:r>
          </w:p>
        </w:tc>
      </w:tr>
      <w:tr>
        <w:trPr>
          <w:trHeight w:val="276"/>
        </w:trPr>
        <w:tc>
          <w:tcPr>
            <w:tcW w:w="762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Payer swaptions</w:t>
            </w:r>
          </w:p>
        </w:tc>
        <w:tc>
          <w:tcPr>
            <w:tcW w:w="18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w:t>
            </w:r>
          </w:p>
        </w:tc>
      </w:tr>
      <w:tr>
        <w:trPr>
          <w:trHeight w:val="264"/>
        </w:trPr>
        <w:tc>
          <w:tcPr>
            <w:tcW w:w="7620" w:type="dxa"/>
            <w:vAlign w:val="bottom"/>
          </w:tcPr>
          <w:p>
            <w:pPr>
              <w:ind w:left="1180"/>
              <w:spacing w:after="0"/>
              <w:rPr>
                <w:sz w:val="20"/>
                <w:szCs w:val="20"/>
                <w:color w:val="auto"/>
              </w:rPr>
            </w:pPr>
            <w:r>
              <w:rPr>
                <w:rFonts w:ascii="Arial" w:cs="Arial" w:eastAsia="Arial" w:hAnsi="Arial"/>
                <w:sz w:val="14"/>
                <w:szCs w:val="14"/>
                <w:color w:val="auto"/>
              </w:rPr>
              <w:t>U.S. Treasury securities - short position</w:t>
            </w: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(359)</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209</w:t>
            </w:r>
          </w:p>
        </w:tc>
      </w:tr>
      <w:tr>
        <w:trPr>
          <w:trHeight w:val="276"/>
        </w:trPr>
        <w:tc>
          <w:tcPr>
            <w:tcW w:w="7620" w:type="dxa"/>
            <w:vAlign w:val="bottom"/>
            <w:shd w:val="clear" w:color="auto" w:fill="CCEEFF"/>
          </w:tcPr>
          <w:p>
            <w:pPr>
              <w:ind w:left="1180"/>
              <w:spacing w:after="0"/>
              <w:rPr>
                <w:sz w:val="20"/>
                <w:szCs w:val="20"/>
                <w:color w:val="auto"/>
              </w:rPr>
            </w:pPr>
            <w:r>
              <w:rPr>
                <w:rFonts w:ascii="Arial" w:cs="Arial" w:eastAsia="Arial" w:hAnsi="Arial"/>
                <w:sz w:val="14"/>
                <w:szCs w:val="14"/>
                <w:color w:val="auto"/>
              </w:rPr>
              <w:t>U.S. Treasury futures - short position</w:t>
            </w:r>
          </w:p>
        </w:tc>
        <w:tc>
          <w:tcPr>
            <w:tcW w:w="18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w:t>
            </w:r>
          </w:p>
        </w:tc>
      </w:tr>
      <w:tr>
        <w:trPr>
          <w:trHeight w:val="264"/>
        </w:trPr>
        <w:tc>
          <w:tcPr>
            <w:tcW w:w="7620" w:type="dxa"/>
            <w:vAlign w:val="bottom"/>
            <w:tcBorders>
              <w:bottom w:val="single" w:sz="8" w:color="CCEEFF"/>
            </w:tcBorders>
          </w:tcPr>
          <w:p>
            <w:pPr>
              <w:ind w:left="1180"/>
              <w:spacing w:after="0"/>
              <w:rPr>
                <w:sz w:val="20"/>
                <w:szCs w:val="20"/>
                <w:color w:val="auto"/>
              </w:rPr>
            </w:pPr>
            <w:r>
              <w:rPr>
                <w:rFonts w:ascii="Arial" w:cs="Arial" w:eastAsia="Arial" w:hAnsi="Arial"/>
                <w:sz w:val="14"/>
                <w:szCs w:val="14"/>
                <w:color w:val="auto"/>
              </w:rPr>
              <w:t>Other</w:t>
            </w: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r>
      <w:tr>
        <w:trPr>
          <w:trHeight w:val="250"/>
        </w:trPr>
        <w:tc>
          <w:tcPr>
            <w:tcW w:w="76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unrealized gain (loss) on derivative instruments and other securities, net</w:t>
            </w:r>
          </w:p>
        </w:tc>
        <w:tc>
          <w:tcPr>
            <w:tcW w:w="18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(341)</w:t>
            </w:r>
          </w:p>
        </w:tc>
        <w:tc>
          <w:tcPr>
            <w:tcW w:w="10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415</w:t>
            </w:r>
          </w:p>
        </w:tc>
      </w:tr>
      <w:tr>
        <w:trPr>
          <w:trHeight w:val="243"/>
        </w:trPr>
        <w:tc>
          <w:tcPr>
            <w:tcW w:w="7620" w:type="dxa"/>
            <w:vAlign w:val="bottom"/>
          </w:tcPr>
          <w:p>
            <w:pPr>
              <w:ind w:left="2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(1,000)</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738</w:t>
            </w:r>
          </w:p>
        </w:tc>
      </w:tr>
      <w:tr>
        <w:trPr>
          <w:trHeight w:val="20"/>
        </w:trPr>
        <w:tc>
          <w:tcPr>
            <w:tcW w:w="76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3 and 6 of our Consolidated Financial Statements in this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Estimated Taxable Income</w:t>
      </w:r>
    </w:p>
    <w:p>
      <w:pPr>
        <w:spacing w:after="0" w:line="185"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For the three months ended March 31, 2019 and 2018, we had estimated taxable income available to common stockholders of $196 million and $80 million (or $0.36 and $0.20 per diluted common share), respectively. Income determined under GAAP differs from income determined under U.S. federal income tax rules because of both temporary and permanent differences in income and expense recognition. The primary differences are (i) unrealized gains and losses on derivative instruments and other securities marked-to-market in current income for GAAP purposes, but excluded from taxable income until realized or settled, (ii) timing differences, both temporary and potentially permanent, in the recognition of certain realized gains and losses and (iii) temporary differences related to the amortization of premiums and discounts on investments. Furthermore, our estimated taxable income is subject to potential adjustments up to the time of filing our appropriate tax returns, which occurs after the end of our</w:t>
      </w:r>
    </w:p>
    <w:p>
      <w:pPr>
        <w:sectPr>
          <w:pgSz w:w="11900" w:h="16838" w:orient="portrait"/>
          <w:cols w:equalWidth="0" w:num="1">
            <w:col w:w="11420"/>
          </w:cols>
          <w:pgMar w:left="240" w:top="746" w:right="239" w:bottom="1440" w:gutter="0" w:footer="0" w:header="0"/>
        </w:sect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ectPr>
          <w:pgSz w:w="11900" w:h="16838" w:orient="portrait"/>
          <w:cols w:equalWidth="0" w:num="1">
            <w:col w:w="11420"/>
          </w:cols>
          <w:pgMar w:left="240" w:top="746" w:right="239" w:bottom="1440" w:gutter="0" w:footer="0" w:header="0"/>
          <w:type w:val="continuous"/>
        </w:sectPr>
      </w:pPr>
    </w:p>
    <w:bookmarkStart w:id="37" w:name="page38"/>
    <w:bookmarkEnd w:id="37"/>
    <w:p>
      <w:pPr>
        <w:spacing w:after="0" w:line="277" w:lineRule="auto"/>
        <w:rPr>
          <w:sz w:val="20"/>
          <w:szCs w:val="20"/>
          <w:color w:val="auto"/>
        </w:rPr>
      </w:pPr>
      <w:r>
        <w:rPr>
          <w:rFonts w:ascii="Arial" w:cs="Arial" w:eastAsia="Arial" w:hAnsi="Arial"/>
          <w:sz w:val="18"/>
          <w:szCs w:val="18"/>
          <w:color w:val="auto"/>
        </w:rPr>
        <w:t>fiscal year. The following is a reconciliation of our GAAP net income to our estimated taxable income for the three months ended March 31, 2019 and 2018 (dollars in millions, except per share amounts):</w:t>
      </w:r>
    </w:p>
    <w:p>
      <w:pPr>
        <w:spacing w:after="0" w:line="257" w:lineRule="exact"/>
        <w:rPr>
          <w:sz w:val="20"/>
          <w:szCs w:val="20"/>
          <w:color w:val="auto"/>
        </w:rPr>
      </w:pPr>
    </w:p>
    <w:tbl>
      <w:tblPr>
        <w:tblLayout w:type="fixed"/>
        <w:tblInd w:w="720" w:type="dxa"/>
        <w:tblCellMar>
          <w:top w:w="0" w:type="dxa"/>
          <w:left w:w="0" w:type="dxa"/>
          <w:bottom w:w="0" w:type="dxa"/>
          <w:right w:w="0" w:type="dxa"/>
        </w:tblCellMar>
      </w:tblPr>
      <w:tr>
        <w:trPr>
          <w:trHeight w:val="192"/>
        </w:trPr>
        <w:tc>
          <w:tcPr>
            <w:tcW w:w="76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4"/>
          </w:tcPr>
          <w:p>
            <w:pPr>
              <w:jc w:val="right"/>
              <w:ind w:right="68"/>
              <w:spacing w:after="0"/>
              <w:rPr>
                <w:sz w:val="20"/>
                <w:szCs w:val="20"/>
                <w:color w:val="auto"/>
              </w:rPr>
            </w:pPr>
            <w:r>
              <w:rPr>
                <w:rFonts w:ascii="Arial" w:cs="Arial" w:eastAsia="Arial" w:hAnsi="Arial"/>
                <w:sz w:val="14"/>
                <w:szCs w:val="14"/>
                <w:b w:val="1"/>
                <w:bCs w:val="1"/>
                <w:color w:val="auto"/>
                <w:w w:val="96"/>
              </w:rPr>
              <w:t>Three Months Ended March 31,</w:t>
            </w:r>
          </w:p>
        </w:tc>
      </w:tr>
      <w:tr>
        <w:trPr>
          <w:trHeight w:val="264"/>
        </w:trPr>
        <w:tc>
          <w:tcPr>
            <w:tcW w:w="768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2018</w:t>
            </w:r>
          </w:p>
        </w:tc>
      </w:tr>
      <w:tr>
        <w:trPr>
          <w:trHeight w:val="256"/>
        </w:trPr>
        <w:tc>
          <w:tcPr>
            <w:tcW w:w="76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265</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424</w:t>
            </w:r>
          </w:p>
        </w:tc>
      </w:tr>
      <w:tr>
        <w:trPr>
          <w:trHeight w:val="264"/>
        </w:trPr>
        <w:tc>
          <w:tcPr>
            <w:tcW w:w="7680" w:type="dxa"/>
            <w:vAlign w:val="bottom"/>
          </w:tcPr>
          <w:p>
            <w:pPr>
              <w:ind w:left="40"/>
              <w:spacing w:after="0"/>
              <w:rPr>
                <w:sz w:val="20"/>
                <w:szCs w:val="20"/>
                <w:color w:val="auto"/>
              </w:rPr>
            </w:pPr>
            <w:r>
              <w:rPr>
                <w:rFonts w:ascii="Arial" w:cs="Arial" w:eastAsia="Arial" w:hAnsi="Arial"/>
                <w:sz w:val="14"/>
                <w:szCs w:val="14"/>
                <w:color w:val="auto"/>
              </w:rPr>
              <w:t>Estimated book to tax differences:</w:t>
            </w:r>
          </w:p>
        </w:tc>
        <w:tc>
          <w:tcPr>
            <w:tcW w:w="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40" w:type="dxa"/>
            <w:vAlign w:val="bottom"/>
          </w:tcPr>
          <w:p>
            <w:pPr>
              <w:spacing w:after="0"/>
              <w:rPr>
                <w:sz w:val="22"/>
                <w:szCs w:val="22"/>
                <w:color w:val="auto"/>
              </w:rPr>
            </w:pPr>
          </w:p>
        </w:tc>
      </w:tr>
      <w:tr>
        <w:trPr>
          <w:trHeight w:val="276"/>
        </w:trPr>
        <w:tc>
          <w:tcPr>
            <w:tcW w:w="7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14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r>
      <w:tr>
        <w:trPr>
          <w:trHeight w:val="264"/>
        </w:trPr>
        <w:tc>
          <w:tcPr>
            <w:tcW w:w="7680" w:type="dxa"/>
            <w:vAlign w:val="bottom"/>
          </w:tcPr>
          <w:p>
            <w:pPr>
              <w:ind w:left="160"/>
              <w:spacing w:after="0"/>
              <w:rPr>
                <w:sz w:val="20"/>
                <w:szCs w:val="20"/>
                <w:color w:val="auto"/>
              </w:rPr>
            </w:pPr>
            <w:r>
              <w:rPr>
                <w:rFonts w:ascii="Arial" w:cs="Arial" w:eastAsia="Arial" w:hAnsi="Arial"/>
                <w:sz w:val="14"/>
                <w:szCs w:val="14"/>
                <w:color w:val="auto"/>
              </w:rPr>
              <w:t>Realized gain/loss, net</w:t>
            </w:r>
          </w:p>
        </w:tc>
        <w:tc>
          <w:tcPr>
            <w:tcW w:w="14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627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(652)</w:t>
            </w:r>
          </w:p>
        </w:tc>
      </w:tr>
      <w:tr>
        <w:trPr>
          <w:trHeight w:val="276"/>
        </w:trPr>
        <w:tc>
          <w:tcPr>
            <w:tcW w:w="7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Net capital loss/(utilization of net capital loss carryforward)</w:t>
            </w:r>
          </w:p>
        </w:tc>
        <w:tc>
          <w:tcPr>
            <w:tcW w:w="14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245</w:t>
            </w:r>
          </w:p>
        </w:tc>
      </w:tr>
      <w:tr>
        <w:trPr>
          <w:trHeight w:val="264"/>
        </w:trPr>
        <w:tc>
          <w:tcPr>
            <w:tcW w:w="7680" w:type="dxa"/>
            <w:vAlign w:val="bottom"/>
          </w:tcPr>
          <w:p>
            <w:pPr>
              <w:ind w:left="160"/>
              <w:spacing w:after="0"/>
              <w:rPr>
                <w:sz w:val="20"/>
                <w:szCs w:val="20"/>
                <w:color w:val="auto"/>
              </w:rPr>
            </w:pPr>
            <w:r>
              <w:rPr>
                <w:rFonts w:ascii="Arial" w:cs="Arial" w:eastAsia="Arial" w:hAnsi="Arial"/>
                <w:sz w:val="14"/>
                <w:szCs w:val="14"/>
                <w:color w:val="auto"/>
              </w:rPr>
              <w:t>Unrealized (gain)/loss, net</w:t>
            </w:r>
          </w:p>
        </w:tc>
        <w:tc>
          <w:tcPr>
            <w:tcW w:w="14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(719)</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108</w:t>
            </w:r>
          </w:p>
        </w:tc>
      </w:tr>
      <w:tr>
        <w:trPr>
          <w:trHeight w:val="270"/>
        </w:trPr>
        <w:tc>
          <w:tcPr>
            <w:tcW w:w="7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4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r>
      <w:tr>
        <w:trPr>
          <w:trHeight w:val="250"/>
        </w:trPr>
        <w:tc>
          <w:tcPr>
            <w:tcW w:w="768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book to tax differences</w:t>
            </w:r>
          </w:p>
        </w:tc>
        <w:tc>
          <w:tcPr>
            <w:tcW w:w="14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(335)</w:t>
            </w:r>
          </w:p>
        </w:tc>
      </w:tr>
      <w:tr>
        <w:trPr>
          <w:trHeight w:val="256"/>
        </w:trPr>
        <w:tc>
          <w:tcPr>
            <w:tcW w:w="7680" w:type="dxa"/>
            <w:vAlign w:val="bottom"/>
            <w:shd w:val="clear" w:color="auto" w:fill="CCEEFF"/>
          </w:tcPr>
          <w:p>
            <w:pPr>
              <w:ind w:left="40"/>
              <w:spacing w:after="0"/>
              <w:rPr>
                <w:sz w:val="20"/>
                <w:szCs w:val="20"/>
                <w:color w:val="auto"/>
              </w:rPr>
            </w:pPr>
            <w:r>
              <w:rPr>
                <w:rFonts w:ascii="Arial" w:cs="Arial" w:eastAsia="Arial" w:hAnsi="Arial"/>
                <w:sz w:val="14"/>
                <w:szCs w:val="14"/>
                <w:color w:val="auto"/>
              </w:rPr>
              <w:t>Estimated REIT taxable income</w:t>
            </w:r>
          </w:p>
        </w:tc>
        <w:tc>
          <w:tcPr>
            <w:tcW w:w="14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206</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w:t>
            </w:r>
          </w:p>
        </w:tc>
      </w:tr>
      <w:tr>
        <w:trPr>
          <w:trHeight w:val="264"/>
        </w:trPr>
        <w:tc>
          <w:tcPr>
            <w:tcW w:w="768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4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w:t>
            </w:r>
          </w:p>
        </w:tc>
      </w:tr>
      <w:tr>
        <w:trPr>
          <w:trHeight w:val="243"/>
        </w:trPr>
        <w:tc>
          <w:tcPr>
            <w:tcW w:w="7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Estimated REIT taxable income available to common stockholders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80</w:t>
            </w:r>
          </w:p>
        </w:tc>
      </w:tr>
      <w:tr>
        <w:trPr>
          <w:trHeight w:val="20"/>
        </w:trPr>
        <w:tc>
          <w:tcPr>
            <w:tcW w:w="76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50"/>
        </w:trPr>
        <w:tc>
          <w:tcPr>
            <w:tcW w:w="76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14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536.7</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391.3</w:t>
            </w:r>
          </w:p>
        </w:tc>
      </w:tr>
      <w:tr>
        <w:trPr>
          <w:trHeight w:val="210"/>
        </w:trPr>
        <w:tc>
          <w:tcPr>
            <w:tcW w:w="7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diluted</w:t>
            </w: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537.2</w:t>
            </w: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391.5</w:t>
            </w:r>
          </w:p>
        </w:tc>
      </w:tr>
      <w:tr>
        <w:trPr>
          <w:trHeight w:val="20"/>
        </w:trPr>
        <w:tc>
          <w:tcPr>
            <w:tcW w:w="76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50"/>
        </w:trPr>
        <w:tc>
          <w:tcPr>
            <w:tcW w:w="76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Estimated REIT taxable income per common share - basic</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0.37</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0.20</w:t>
            </w:r>
          </w:p>
        </w:tc>
      </w:tr>
      <w:tr>
        <w:trPr>
          <w:trHeight w:val="210"/>
        </w:trPr>
        <w:tc>
          <w:tcPr>
            <w:tcW w:w="7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Estimated REIT taxable income per common share - diluted</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0.36</w:t>
            </w: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0.20</w:t>
            </w:r>
          </w:p>
        </w:tc>
      </w:tr>
      <w:tr>
        <w:trPr>
          <w:trHeight w:val="20"/>
        </w:trPr>
        <w:tc>
          <w:tcPr>
            <w:tcW w:w="76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64"/>
        </w:trPr>
        <w:tc>
          <w:tcPr>
            <w:tcW w:w="76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40" w:type="dxa"/>
            <w:vAlign w:val="bottom"/>
          </w:tcPr>
          <w:p>
            <w:pPr>
              <w:spacing w:after="0"/>
              <w:rPr>
                <w:sz w:val="22"/>
                <w:szCs w:val="22"/>
                <w:color w:val="auto"/>
              </w:rPr>
            </w:pPr>
          </w:p>
        </w:tc>
      </w:tr>
      <w:tr>
        <w:trPr>
          <w:trHeight w:val="270"/>
        </w:trPr>
        <w:tc>
          <w:tcPr>
            <w:tcW w:w="7680" w:type="dxa"/>
            <w:vAlign w:val="bottom"/>
            <w:shd w:val="clear" w:color="auto" w:fill="CCEEFF"/>
          </w:tcPr>
          <w:p>
            <w:pPr>
              <w:ind w:left="40"/>
              <w:spacing w:after="0"/>
              <w:rPr>
                <w:sz w:val="20"/>
                <w:szCs w:val="20"/>
                <w:color w:val="auto"/>
              </w:rPr>
            </w:pPr>
            <w:r>
              <w:rPr>
                <w:rFonts w:ascii="Arial" w:cs="Arial" w:eastAsia="Arial" w:hAnsi="Arial"/>
                <w:sz w:val="14"/>
                <w:szCs w:val="14"/>
                <w:color w:val="auto"/>
              </w:rPr>
              <w:t>Beginning cumulative non-deductible net capital loss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182</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357</w:t>
            </w:r>
          </w:p>
        </w:tc>
      </w:tr>
      <w:tr>
        <w:trPr>
          <w:trHeight w:val="264"/>
        </w:trPr>
        <w:tc>
          <w:tcPr>
            <w:tcW w:w="76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Increase (decrease) in net capital loss carryforward</w:t>
            </w:r>
          </w:p>
        </w:tc>
        <w:tc>
          <w:tcPr>
            <w:tcW w:w="14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245</w:t>
            </w:r>
          </w:p>
        </w:tc>
      </w:tr>
      <w:tr>
        <w:trPr>
          <w:trHeight w:val="250"/>
        </w:trPr>
        <w:tc>
          <w:tcPr>
            <w:tcW w:w="7680" w:type="dxa"/>
            <w:vAlign w:val="bottom"/>
            <w:shd w:val="clear" w:color="auto" w:fill="CCEEFF"/>
          </w:tcPr>
          <w:p>
            <w:pPr>
              <w:ind w:left="40"/>
              <w:spacing w:after="0"/>
              <w:rPr>
                <w:sz w:val="20"/>
                <w:szCs w:val="20"/>
                <w:color w:val="auto"/>
              </w:rPr>
            </w:pPr>
            <w:r>
              <w:rPr>
                <w:rFonts w:ascii="Arial" w:cs="Arial" w:eastAsia="Arial" w:hAnsi="Arial"/>
                <w:sz w:val="14"/>
                <w:szCs w:val="14"/>
                <w:color w:val="auto"/>
              </w:rPr>
              <w:t>Ending cumulative non-deductible net capital loss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170</w:t>
            </w:r>
          </w:p>
        </w:tc>
        <w:tc>
          <w:tcPr>
            <w:tcW w:w="12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602</w:t>
            </w:r>
          </w:p>
        </w:tc>
      </w:tr>
      <w:tr>
        <w:trPr>
          <w:trHeight w:val="243"/>
        </w:trPr>
        <w:tc>
          <w:tcPr>
            <w:tcW w:w="7680" w:type="dxa"/>
            <w:vAlign w:val="bottom"/>
          </w:tcPr>
          <w:p>
            <w:pPr>
              <w:ind w:left="40"/>
              <w:spacing w:after="0"/>
              <w:rPr>
                <w:sz w:val="20"/>
                <w:szCs w:val="20"/>
                <w:color w:val="auto"/>
              </w:rPr>
            </w:pPr>
            <w:r>
              <w:rPr>
                <w:rFonts w:ascii="Arial" w:cs="Arial" w:eastAsia="Arial" w:hAnsi="Arial"/>
                <w:sz w:val="14"/>
                <w:szCs w:val="14"/>
                <w:color w:val="auto"/>
              </w:rPr>
              <w:t>Ending cumulative non-deductible net capital loss per common share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0.32</w:t>
            </w:r>
          </w:p>
        </w:tc>
        <w:tc>
          <w:tcPr>
            <w:tcW w:w="120" w:type="dxa"/>
            <w:vAlign w:val="bottom"/>
          </w:tcPr>
          <w:p>
            <w:pPr>
              <w:spacing w:after="0"/>
              <w:rPr>
                <w:sz w:val="21"/>
                <w:szCs w:val="21"/>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1.54</w:t>
            </w:r>
          </w:p>
        </w:tc>
      </w:tr>
      <w:tr>
        <w:trPr>
          <w:trHeight w:val="20"/>
        </w:trPr>
        <w:tc>
          <w:tcPr>
            <w:tcW w:w="76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746" w:right="2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Our primary sources of funds are borrowings under master repurchase agreements, asset sales, receipts of monthly principal and interest payments on our investment portfolio and equity offerings. We may also enter into TBA contracts to acquire or dispose of Agency RMBS and TBA dollar roll transactions to finance Agency RMBS purchases. Because the level of our borrowings can be adjusted daily, the level of cash and cash equivalents carried on our balance sheet is significantly less important than the potential liquidity available under our borrowing arrangements. Our leverage will vary periodically depending on market conditions and our assessment of risks and returns. We generally would expect our leverage to be within six to twelve times the amount of our tangible stockholders' equity. However, under certain market conditions, we may operate at leverage levels outside of this range for extended periods of time.</w:t>
      </w:r>
    </w:p>
    <w:p>
      <w:pPr>
        <w:spacing w:after="0" w:line="111"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We currently believe that we have sufficient liquidity and capital resources available for the acquisition of additional investments, repayments on borrowings, maintenance of any margin requirements and the payment of cash dividends as required for our continued qualification as a REIT. We currently expect to distribute 100% of our taxable income so that we are not subject to U.S. federal and state corporate income taxes. Our REIT distribution requirement of at least 90% of our taxable income limits our ability to retain earnings and thereby replenish or increase capital from operations.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March 31, 2019 and December 31, 2018, our mortgage borrowings consisted of the following (dollars in millions):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ind w:left="620"/>
              <w:spacing w:after="0"/>
              <w:rPr>
                <w:sz w:val="20"/>
                <w:szCs w:val="20"/>
                <w:color w:val="auto"/>
              </w:rPr>
            </w:pPr>
            <w:r>
              <w:rPr>
                <w:rFonts w:ascii="Arial" w:cs="Arial" w:eastAsia="Arial" w:hAnsi="Arial"/>
                <w:sz w:val="14"/>
                <w:szCs w:val="14"/>
                <w:b w:val="1"/>
                <w:bCs w:val="1"/>
                <w:color w:val="auto"/>
                <w:w w:val="98"/>
              </w:rPr>
              <w:t>March 31, 2019</w:t>
            </w:r>
          </w:p>
        </w:tc>
        <w:tc>
          <w:tcPr>
            <w:tcW w:w="32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3"/>
          </w:tcPr>
          <w:p>
            <w:pPr>
              <w:ind w:left="520"/>
              <w:spacing w:after="0"/>
              <w:rPr>
                <w:sz w:val="20"/>
                <w:szCs w:val="20"/>
                <w:color w:val="auto"/>
              </w:rPr>
            </w:pPr>
            <w:r>
              <w:rPr>
                <w:rFonts w:ascii="Arial" w:cs="Arial" w:eastAsia="Arial" w:hAnsi="Arial"/>
                <w:sz w:val="14"/>
                <w:szCs w:val="14"/>
                <w:b w:val="1"/>
                <w:bCs w:val="1"/>
                <w:color w:val="auto"/>
                <w:w w:val="90"/>
              </w:rPr>
              <w:t>December 31, 2018</w:t>
            </w: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9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Mortgage Borrowings</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w:t>
            </w: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6"/>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Repurchase agreements </w:t>
            </w:r>
            <w:r>
              <w:rPr>
                <w:rFonts w:ascii="Arial" w:cs="Arial" w:eastAsia="Arial" w:hAnsi="Arial"/>
                <w:sz w:val="8"/>
                <w:szCs w:val="8"/>
                <w:color w:val="auto"/>
              </w:rPr>
              <w:t>1</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86,324</w:t>
            </w:r>
          </w:p>
        </w:tc>
        <w:tc>
          <w:tcPr>
            <w:tcW w:w="12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75,717</w:t>
            </w:r>
          </w:p>
        </w:tc>
        <w:tc>
          <w:tcPr>
            <w:tcW w:w="12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264"/>
        </w:trPr>
        <w:tc>
          <w:tcPr>
            <w:tcW w:w="6040" w:type="dxa"/>
            <w:vAlign w:val="bottom"/>
            <w:gridSpan w:val="2"/>
          </w:tcPr>
          <w:p>
            <w:pPr>
              <w:ind w:left="40"/>
              <w:spacing w:after="0"/>
              <w:rPr>
                <w:sz w:val="20"/>
                <w:szCs w:val="20"/>
                <w:color w:val="auto"/>
              </w:rPr>
            </w:pPr>
            <w:r>
              <w:rPr>
                <w:rFonts w:ascii="Arial" w:cs="Arial" w:eastAsia="Arial" w:hAnsi="Arial"/>
                <w:sz w:val="14"/>
                <w:szCs w:val="14"/>
                <w:color w:val="auto"/>
              </w:rPr>
              <w:t>Debt of consolidated variable interest entities, at fair value</w:t>
            </w: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266</w:t>
            </w:r>
          </w:p>
        </w:tc>
        <w:tc>
          <w:tcPr>
            <w:tcW w:w="1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275</w:t>
            </w:r>
          </w:p>
        </w:tc>
        <w:tc>
          <w:tcPr>
            <w:tcW w:w="1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6"/>
        </w:trPr>
        <w:tc>
          <w:tcPr>
            <w:tcW w:w="604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debt</w:t>
            </w:r>
          </w:p>
        </w:tc>
        <w:tc>
          <w:tcPr>
            <w:tcW w:w="24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86,590</w:t>
            </w:r>
          </w:p>
        </w:tc>
        <w:tc>
          <w:tcPr>
            <w:tcW w:w="120" w:type="dxa"/>
            <w:vAlign w:val="bottom"/>
            <w:tcBorders>
              <w:top w:val="single" w:sz="8" w:color="CCEEFF"/>
            </w:tcBorders>
            <w:shd w:val="clear" w:color="auto" w:fill="CCEEFF"/>
          </w:tcPr>
          <w:p>
            <w:pPr>
              <w:spacing w:after="0"/>
              <w:rPr>
                <w:sz w:val="22"/>
                <w:szCs w:val="22"/>
                <w:color w:val="auto"/>
              </w:rPr>
            </w:pPr>
          </w:p>
        </w:tc>
        <w:tc>
          <w:tcPr>
            <w:tcW w:w="500" w:type="dxa"/>
            <w:vAlign w:val="bottom"/>
            <w:tcBorders>
              <w:top w:val="single" w:sz="8" w:color="auto"/>
            </w:tcBorders>
            <w:shd w:val="clear" w:color="auto" w:fill="CCEEFF"/>
          </w:tcPr>
          <w:p>
            <w:pPr>
              <w:spacing w:after="0"/>
              <w:rPr>
                <w:sz w:val="22"/>
                <w:szCs w:val="22"/>
                <w:color w:val="auto"/>
              </w:rPr>
            </w:pPr>
          </w:p>
        </w:tc>
        <w:tc>
          <w:tcPr>
            <w:tcW w:w="320" w:type="dxa"/>
            <w:vAlign w:val="bottom"/>
            <w:tcBorders>
              <w:top w:val="single" w:sz="8" w:color="auto"/>
            </w:tcBorders>
            <w:shd w:val="clear" w:color="auto" w:fill="CCEEFF"/>
          </w:tcPr>
          <w:p>
            <w:pPr>
              <w:spacing w:after="0"/>
              <w:rPr>
                <w:sz w:val="22"/>
                <w:szCs w:val="22"/>
                <w:color w:val="auto"/>
              </w:rPr>
            </w:pP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75,992</w:t>
            </w:r>
          </w:p>
        </w:tc>
        <w:tc>
          <w:tcPr>
            <w:tcW w:w="120" w:type="dxa"/>
            <w:vAlign w:val="bottom"/>
            <w:tcBorders>
              <w:top w:val="single" w:sz="8" w:color="CCEEFF"/>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264"/>
        </w:trPr>
        <w:tc>
          <w:tcPr>
            <w:tcW w:w="60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Net TBA position, at cost</w:t>
            </w: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6,885</w:t>
            </w:r>
          </w:p>
        </w:tc>
        <w:tc>
          <w:tcPr>
            <w:tcW w:w="12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7,252</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43"/>
        </w:trPr>
        <w:tc>
          <w:tcPr>
            <w:tcW w:w="60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mortgage borrowings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93,475</w:t>
            </w:r>
          </w:p>
        </w:tc>
        <w:tc>
          <w:tcPr>
            <w:tcW w:w="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auto"/>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83,244</w:t>
            </w:r>
          </w:p>
        </w:tc>
        <w:tc>
          <w:tcPr>
            <w:tcW w:w="1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594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59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72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Amount excludes $361 million of repurchase agreements used to fund purchases of U.S. Treasury securities as of March 31, 2019.</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tangible net book value "at risk" leverage was 9.4x and 9.0x as of March 31, 2019 and December 31, 2018, respectively, measured as the sum of our total mortgage borrowings and net payable / (receivable) for unsettled investment securities, divided by the sum of our total stockholders' equity adjusted to exclude goodwill.</w:t>
      </w:r>
    </w:p>
    <w:p>
      <w:pPr>
        <w:spacing w:after="0" w:line="12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Repurchase Agreements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part of our investment strategy, we borrow against our investment portfolio pursuant to master repurchase agreements. We expect that the majority of our borrowings under repurchase agreements will have maturities ranging up to one year but may have terms ranging up to five years or longer. Borrowings with maturities greater than one year typically have floating rates of interest based on LIBOR plus or minus a fixed spread.</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March 31, 2019, we had $86.3 billion of repurchase agreements outstanding used to fund acquisitions of investment securities with a weighted average interest rate of 2.82% and a weighted average remaining days-to-maturity of 81 days, compared $75.7 billion, 2.79% and 49 days, respectively, as of December 31, 2018.</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To limit our counterparty exposure, we diversify our funding across multiple counterparties and by counterparty region. As of March 31, 2019, we had master repurchase agreements with 47 financial institutions located throughout North America, Europe and Asia, including counterparties accessed through our wholly-owned captive broker-dealer subsidiary, Bethesda Securities, LLC ("BES"). BES has direct access to bilateral and triparty funding, including the General Collateral Finance Repo service offered by the Fixed Income Clearing Corporation, or "FICC," which provides us greater depth and diversity of funding at favorable terms relative to traditional bilateral repurchase agreement funding. As of March 31, 2019, $35.6 billion of our repurchase agreement funding was sourced through BES.</w:t>
      </w:r>
    </w:p>
    <w:p>
      <w:pPr>
        <w:spacing w:after="0" w:line="139"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The table below includes a summary of our Agency RMBS repurchase agreement funding by number of repo counterparties and counterparty region as of March 31, 2019. For further details regarding our borrowings under repurchase agreements as of March 31, 2019, please refer to Notes 5 and 7 to our Consolidated Financial Statements in this Form 10-Q.</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742" w:right="239" w:bottom="1440" w:gutter="0" w:footer="0" w:header="0"/>
        </w:sectPr>
      </w:pPr>
    </w:p>
    <w:bookmarkStart w:id="39" w:name="page40"/>
    <w:bookmarkEnd w:id="39"/>
    <w:tbl>
      <w:tblPr>
        <w:tblLayout w:type="fixed"/>
        <w:tblInd w:w="2720" w:type="dxa"/>
        <w:tblCellMar>
          <w:top w:w="0" w:type="dxa"/>
          <w:left w:w="0" w:type="dxa"/>
          <w:bottom w:w="0" w:type="dxa"/>
          <w:right w:w="0" w:type="dxa"/>
        </w:tblCellMar>
      </w:tblPr>
      <w:tr>
        <w:trPr>
          <w:trHeight w:val="192"/>
        </w:trPr>
        <w:tc>
          <w:tcPr>
            <w:tcW w:w="2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40" w:type="dxa"/>
            <w:vAlign w:val="bottom"/>
            <w:tcBorders>
              <w:bottom w:val="single" w:sz="8" w:color="auto"/>
            </w:tcBorders>
            <w:gridSpan w:val="3"/>
          </w:tcPr>
          <w:p>
            <w:pPr>
              <w:ind w:left="1000"/>
              <w:spacing w:after="0"/>
              <w:rPr>
                <w:sz w:val="20"/>
                <w:szCs w:val="20"/>
                <w:color w:val="auto"/>
              </w:rPr>
            </w:pPr>
            <w:r>
              <w:rPr>
                <w:rFonts w:ascii="Arial" w:cs="Arial" w:eastAsia="Arial" w:hAnsi="Arial"/>
                <w:sz w:val="14"/>
                <w:szCs w:val="14"/>
                <w:b w:val="1"/>
                <w:bCs w:val="1"/>
                <w:color w:val="auto"/>
              </w:rPr>
              <w:t>March 31, 2019</w:t>
            </w:r>
          </w:p>
        </w:tc>
        <w:tc>
          <w:tcPr>
            <w:tcW w:w="0" w:type="dxa"/>
            <w:vAlign w:val="bottom"/>
          </w:tcPr>
          <w:p>
            <w:pPr>
              <w:spacing w:after="0"/>
              <w:rPr>
                <w:sz w:val="1"/>
                <w:szCs w:val="1"/>
                <w:color w:val="auto"/>
              </w:rPr>
            </w:pPr>
          </w:p>
        </w:tc>
      </w:tr>
      <w:tr>
        <w:trPr>
          <w:trHeight w:val="152"/>
        </w:trPr>
        <w:tc>
          <w:tcPr>
            <w:tcW w:w="2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Number of Counter-</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Percent of</w:t>
            </w:r>
          </w:p>
        </w:tc>
        <w:tc>
          <w:tcPr>
            <w:tcW w:w="0" w:type="dxa"/>
            <w:vAlign w:val="bottom"/>
          </w:tcPr>
          <w:p>
            <w:pPr>
              <w:spacing w:after="0"/>
              <w:rPr>
                <w:sz w:val="1"/>
                <w:szCs w:val="1"/>
                <w:color w:val="auto"/>
              </w:rPr>
            </w:pPr>
          </w:p>
        </w:tc>
      </w:tr>
      <w:tr>
        <w:trPr>
          <w:trHeight w:val="149"/>
        </w:trPr>
        <w:tc>
          <w:tcPr>
            <w:tcW w:w="2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Counter-Party Region</w:t>
            </w:r>
          </w:p>
        </w:tc>
        <w:tc>
          <w:tcPr>
            <w:tcW w:w="100" w:type="dxa"/>
            <w:vAlign w:val="bottom"/>
            <w:vMerge w:val="restart"/>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Repurchase</w:t>
            </w:r>
          </w:p>
        </w:tc>
        <w:tc>
          <w:tcPr>
            <w:tcW w:w="0" w:type="dxa"/>
            <w:vAlign w:val="bottom"/>
          </w:tcPr>
          <w:p>
            <w:pPr>
              <w:spacing w:after="0"/>
              <w:rPr>
                <w:sz w:val="1"/>
                <w:szCs w:val="1"/>
                <w:color w:val="auto"/>
              </w:rPr>
            </w:pPr>
          </w:p>
        </w:tc>
      </w:tr>
      <w:tr>
        <w:trPr>
          <w:trHeight w:val="192"/>
        </w:trPr>
        <w:tc>
          <w:tcPr>
            <w:tcW w:w="2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Parties</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Agreement Funding</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America:</w:t>
            </w:r>
          </w:p>
        </w:tc>
        <w:tc>
          <w:tcPr>
            <w:tcW w:w="14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040" w:type="dxa"/>
            <w:vAlign w:val="bottom"/>
            <w:gridSpan w:val="2"/>
          </w:tcPr>
          <w:p>
            <w:pPr>
              <w:ind w:left="160"/>
              <w:spacing w:after="0"/>
              <w:rPr>
                <w:sz w:val="20"/>
                <w:szCs w:val="20"/>
                <w:color w:val="auto"/>
              </w:rPr>
            </w:pPr>
            <w:r>
              <w:rPr>
                <w:rFonts w:ascii="Arial" w:cs="Arial" w:eastAsia="Arial" w:hAnsi="Arial"/>
                <w:sz w:val="14"/>
                <w:szCs w:val="14"/>
                <w:color w:val="auto"/>
              </w:rPr>
              <w:t>FICC</w:t>
            </w:r>
          </w:p>
        </w:tc>
        <w:tc>
          <w:tcPr>
            <w:tcW w:w="1420" w:type="dxa"/>
            <w:vAlign w:val="bottom"/>
          </w:tcPr>
          <w:p>
            <w:pPr>
              <w:jc w:val="center"/>
              <w:spacing w:after="0"/>
              <w:rPr>
                <w:sz w:val="20"/>
                <w:szCs w:val="20"/>
                <w:color w:val="auto"/>
              </w:rPr>
            </w:pPr>
            <w:r>
              <w:rPr>
                <w:rFonts w:ascii="Arial" w:cs="Arial" w:eastAsia="Arial" w:hAnsi="Arial"/>
                <w:sz w:val="14"/>
                <w:szCs w:val="14"/>
                <w:color w:val="auto"/>
                <w:w w:val="76"/>
              </w:rPr>
              <w:t>1</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40%</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40%</w:t>
            </w:r>
          </w:p>
        </w:tc>
        <w:tc>
          <w:tcPr>
            <w:tcW w:w="0" w:type="dxa"/>
            <w:vAlign w:val="bottom"/>
          </w:tcPr>
          <w:p>
            <w:pPr>
              <w:spacing w:after="0"/>
              <w:rPr>
                <w:sz w:val="1"/>
                <w:szCs w:val="1"/>
                <w:color w:val="auto"/>
              </w:rPr>
            </w:pPr>
          </w:p>
        </w:tc>
      </w:tr>
      <w:tr>
        <w:trPr>
          <w:trHeight w:val="250"/>
        </w:trPr>
        <w:tc>
          <w:tcPr>
            <w:tcW w:w="3040" w:type="dxa"/>
            <w:vAlign w:val="bottom"/>
            <w:gridSpan w:val="2"/>
          </w:tcPr>
          <w:p>
            <w:pPr>
              <w:ind w:left="20"/>
              <w:spacing w:after="0"/>
              <w:rPr>
                <w:sz w:val="20"/>
                <w:szCs w:val="20"/>
                <w:color w:val="auto"/>
              </w:rPr>
            </w:pPr>
            <w:r>
              <w:rPr>
                <w:rFonts w:ascii="Arial" w:cs="Arial" w:eastAsia="Arial" w:hAnsi="Arial"/>
                <w:sz w:val="14"/>
                <w:szCs w:val="14"/>
                <w:color w:val="auto"/>
              </w:rPr>
              <w:t>Total North America</w:t>
            </w:r>
          </w:p>
        </w:tc>
        <w:tc>
          <w:tcPr>
            <w:tcW w:w="1420" w:type="dxa"/>
            <w:vAlign w:val="bottom"/>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80%</w:t>
            </w:r>
          </w:p>
        </w:tc>
        <w:tc>
          <w:tcPr>
            <w:tcW w:w="0" w:type="dxa"/>
            <w:vAlign w:val="bottom"/>
          </w:tcPr>
          <w:p>
            <w:pPr>
              <w:spacing w:after="0"/>
              <w:rPr>
                <w:sz w:val="1"/>
                <w:szCs w:val="1"/>
                <w:color w:val="auto"/>
              </w:rPr>
            </w:pPr>
          </w:p>
        </w:tc>
      </w:tr>
      <w:tr>
        <w:trPr>
          <w:trHeight w:val="276"/>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Europe</w:t>
            </w: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shd w:val="clear" w:color="auto" w:fill="CCEEFF"/>
          </w:tcPr>
          <w:p>
            <w:pPr>
              <w:spacing w:after="0"/>
              <w:rPr>
                <w:sz w:val="24"/>
                <w:szCs w:val="24"/>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64"/>
        </w:trPr>
        <w:tc>
          <w:tcPr>
            <w:tcW w:w="30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Asia</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5</w:t>
            </w:r>
          </w:p>
        </w:tc>
        <w:tc>
          <w:tcPr>
            <w:tcW w:w="100" w:type="dxa"/>
            <w:vAlign w:val="bottom"/>
            <w:tcBorders>
              <w:bottom w:val="single" w:sz="8" w:color="CCEEFF"/>
            </w:tcBorders>
          </w:tcPr>
          <w:p>
            <w:pPr>
              <w:spacing w:after="0"/>
              <w:rPr>
                <w:sz w:val="22"/>
                <w:szCs w:val="22"/>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6%</w:t>
            </w:r>
          </w:p>
        </w:tc>
        <w:tc>
          <w:tcPr>
            <w:tcW w:w="0" w:type="dxa"/>
            <w:vAlign w:val="bottom"/>
          </w:tcPr>
          <w:p>
            <w:pPr>
              <w:spacing w:after="0"/>
              <w:rPr>
                <w:sz w:val="1"/>
                <w:szCs w:val="1"/>
                <w:color w:val="auto"/>
              </w:rPr>
            </w:pPr>
          </w:p>
        </w:tc>
      </w:tr>
      <w:tr>
        <w:trPr>
          <w:trHeight w:val="243"/>
        </w:trPr>
        <w:tc>
          <w:tcPr>
            <w:tcW w:w="3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6"/>
          <w:szCs w:val="16"/>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In addition, our counterparties apply a "haircut" to our pledged collateral, which means our collateral is valued at slightly less than market value. This haircut reflects the underlying risk of the specific collateral and protects our counterparty against a change in its value, but conversely subjects us to counterparty credit risk and limits the amount we can borrow against our investment securities. Our master repurchase agreements do not specify the haircut; rather haircuts are determined on an individual repurchase transaction basis. Throughout the three months ended March 31, 2019, haircuts on our pledged collateral remained stable and, as of March 31, 2019, our weighted average haircut was approximately 3.9% of the value of our collateral, inclusive of collateral funded through BES. As of March 31, 2019, our maximum amount at risk (or the amount of our repurchase liabilities in excess of the value of collateral pledged) with any counterparty related to our repurchase agreements, excluding the FICC, was less than 4% of our tangible stockholders' equity, with our top five repo counterparties, excluding the FICC, representing less than 13% of our tangible stockholders' equity. As of March 31, 2019, approximately 7% of our tangible stockholder's equity was at risk with the FICC. We could be exposed to credit risk if the FICC or an FICC netting member defaults on its obligations. However, we believe that the risk is minimal due to the FICC's initial and daily mark-to-market margin requirements, guarantee funds and other resources that are available in the event of a default.</w:t>
      </w:r>
    </w:p>
    <w:p>
      <w:pPr>
        <w:spacing w:after="0" w:line="12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may be required to pledge additional assets to our counterparties in the event the estimated fair value of the existing collateral pledged under our agreements declines and our counterparties demand additional collateral (a "margin call"), which may take the form of additional securities or cash. Specifically, margin calls would result from a decline in the fair value of our investment securities securing our repurchase agreements as well as due to prepayments on the mortgages securing such securities. Similarly, if the estimated fair value of our investment securities increases due to changes in interest rates or other factors, counterparties may release collateral back to us. Our repurchase agreements generally provide that the valuations of securities securing our repurchase agreements are to be obtained from a generally recognized source agreed to by the parties. In certain circumstances, however, our lenders have the sole discretion to determine the value of pledged collateral. In such instances, our lenders are required to act in good faith in making determinations of value. Our repurchase agreements generally provide that in the event of a margin call, we must provide additional securities or cash on the same business day that a margin call is made if the lender provides us notice prior to the margin notice deadline on such day.</w:t>
      </w:r>
    </w:p>
    <w:p>
      <w:pPr>
        <w:spacing w:after="0" w:line="11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of March 31, 2019, we had met all of our margin requirements and we had unrestricted cash and cash equivalents of $0.9 billion and unpledged securities of approximately $4.5 billion, including securities pledged to us and unpledged interests in our consolidated VIEs, available to meet margin calls on our repurchase agreements and other funding liabilities, derivative instruments and for other corporate purposes.</w:t>
      </w:r>
    </w:p>
    <w:p>
      <w:pPr>
        <w:spacing w:after="0" w:line="11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Although we believe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collateral back to us at the end of the term, we could incur a loss equal to the difference between the value of the collateral and the cash we originally received.</w:t>
      </w:r>
    </w:p>
    <w:p>
      <w:pPr>
        <w:spacing w:after="0" w:line="134"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To help manage the adverse impact of interest rate changes on the value of our investment portfolio as well as our cash flows, we utilize an interest rate risk management strategy under which we use derivative financial instruments. In particular, we attempt to mitigate the risk of the cost of our variable rate liabilities increasing at a faster rate than the earnings of our long-term fixed rate assets during a period of rising interest rates. The primary derivative instruments that we use are interest rate swaps, interest rate swaptions, U.S. Treasury securities and U.S. Treasury futures contracts. Please refer to Notes 3 and 6 to our Consolidated Financial Statements in this Form 10-Q for further details regarding our use of derivative instruments.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887" w:right="239" w:bottom="1440" w:gutter="0" w:footer="0" w:header="0"/>
        </w:sectPr>
      </w:pPr>
    </w:p>
    <w:bookmarkStart w:id="40" w:name="page41"/>
    <w:bookmarkEnd w:id="40"/>
    <w:p>
      <w:pPr>
        <w:jc w:val="both"/>
        <w:ind w:firstLine="432"/>
        <w:spacing w:after="0" w:line="270" w:lineRule="auto"/>
        <w:rPr>
          <w:sz w:val="20"/>
          <w:szCs w:val="20"/>
          <w:color w:val="auto"/>
        </w:rPr>
      </w:pPr>
      <w:r>
        <w:rPr>
          <w:rFonts w:ascii="Arial" w:cs="Arial" w:eastAsia="Arial" w:hAnsi="Arial"/>
          <w:sz w:val="17"/>
          <w:szCs w:val="17"/>
          <w:color w:val="auto"/>
        </w:rPr>
        <w:t>As with repurchase agreements, our derivative agreements typically require that we pledge/receive collateral to/from our counterparties. Our counterparties, or the central clearing agency, typically have the sole discretion to determine the value of the derivative instruments and the value of the collateral securing such instruments. In the event of a margin call, we must provide additional collateral generally on the same or next business day. We minimize counterparty credit risk associated with our derivative instruments by limiting our counterparties to registered central clearing exchanges and major financial institutions with acceptable credit ratings and by monitoring positions with individual counterparties. Excluding centrally cleared derivative instruments, as of March 31, 2019, our amount at risk with any counterparty related to our interest rate swap and swaption agreements was less than 1% of our stockholders' equity. In the case of centrally cleared derivative instruments, we could be exposed to credit risk if the exchange or a central clearing member defaults on its obligations. However, we believe that the risk is minimal due to initial and daily mark-to-market margin requirements, guarantee funds and other resources that are available in the event of a default.</w:t>
      </w:r>
    </w:p>
    <w:p>
      <w:pPr>
        <w:spacing w:after="0" w:line="128"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Dollar Roll Transactions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TBA dollar roll transactions used to finance the purchase of Agency RMBS represent a form of off-balance sheet financing accounted for as derivative instruments. (See Notes 3 and 6 to our Consolidated Financial Statements in this Form 10-Q additional details on of our TBA transactions). Under certain market conditions, it may be uneconomical for us to roll our TBA contracts into future months and we may need to take or make physical delivery of the underlying securities. If we were required to take physical delivery to settle a long TBA contract, we would have to fund our total purchase commitment with cash or other financing sources and our liquidity position could be negatively impacted. As of March 31, 2019, we had a net long TBA position with a total market value of $7.0 billion and a net carrying value of $70 million recognized in derivative assets/(liabilities), at fair value, on our Consolidated Balance Sheets in this Form 10-Q.</w:t>
      </w:r>
    </w:p>
    <w:p>
      <w:pPr>
        <w:spacing w:after="0" w:line="13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Our TBA dollar roll contracts are also subject to margin requirements governed by the Mortgage-Backed Securities Division ("MBSD") of the FICC and by our prime brokerage agreements, which may establish margin levels in excess of the MBSD. Such provisions require that we establish an initial margin based on the notional value of the TBA contract, which is subject to increase if the estimated fair value of our TBA contract or the estimated fair value of our pledged collateral declines. The MBSD has the sole discretion to determine the value of our TBA contracts and of the pledged collateral securing such contracts. In the event of a margin call, we must generally provide additional collateral on the same business day.</w:t>
      </w:r>
    </w:p>
    <w:p>
      <w:pPr>
        <w:spacing w:after="0" w:line="11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Settlement of our TBA obligations by taking delivery of the underlying securities as well as satisfying margin requirements could negatively impact our liquidity position. However, since we do not use TBA dollar roll transactions as our primary source of financing, we believe that we will have adequate sources of liquidity to meet such obligations.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Bethesda Securities Regulatory Capital Requirements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BES is subject to regulations of the securities business that include but are not limited to trade practices, capital structure, recordkeeping and conduct of directors, officers and employees. As a self-clearing registered broker-dealer, BES is required to maintain minimum net regulatory capital as defined by SEC Rule 15c3-1 (the "Rule"). As of March 31, 2019, the minimum net capital required was $0.3 million and BES had excess net capital of $594.2 million. Regulatory capital in excess of the minimum required by the Rule is held to meet levels required by clearing organizations, the clearing bank and other repo counterparties.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 and TBA Eligible Securities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maintain a portfolio of highly liquid mortgage-backed securities. We may sell our Agency securities through the TBA market by delivering them into TBA contracts, subject to "good delivery" provisions promulgated by Securities Industry and Financial Markets Association ("SIFMA"). We may alternatively sell Agency securities that have more unique attributes on a specified basis when such securities trade at a premium over generic TBA securities or if the securities are not otherwise eligible for TBA delivery. Since the TBA market is the second most liquid market (after the U.S. Treasury market), maintaining a significant level of Agency securities eligible for TBA delivery enhances our liquidity profile and provides price support for our TBA eligible securities at or above generic TBA prices. As of March 31, 2019, approximately 94% of our fixed rate Agency RMBS portfolio was eligible for TBA delivery.</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w:t>
      </w:r>
    </w:p>
    <w:p>
      <w:pPr>
        <w:spacing w:after="0" w:line="171"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To the extent we raise additional equity capital, we may use cash proceeds from such transactions to purchase additional investment securities, to make scheduled payments of principal and interest on our funding liabilities and/or for other general corporate purposes. There can be no assurance, however, that we will be able to raise additional equity capital at any particular time or on any particular terms. Furthermore, when the trading price of our common stock is significantly less than our estimate of our current tangible net book value per common share, among other conditions, we may repurchase shares of our common stock, subject to the provisions of a stock repurchase program in effect at such time.</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746"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March 31, 2019, we did not maintain relationships with unconsolidated entities or financial partnerships, such as entities often referred to as structured finance, or special purpose or variable interest entities, established to facilitate off-balance sheet arrangements or other contractually narrow or limited purposes. Additionally, as of March 31, 2019, we had not guaranteed obligations of unconsolidated entities or entered into a commitment or intent to provide funding to such entities.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 xml:space="preserve">This document contains forward-looking statements within the meaning of the Private Securities Litigation Reform Act of 1995. These forward-looking statements are based on estimates, projections, beliefs and assumptions of our management as of the date of this Quarterly Report on Form 10-Q and involve risks and uncertainties in predicting future results and conditions. Our actual performance could differ materially from those projected or anticipated in any forward looking statements due to a variety of factors, including, without limitation, changes in interest rates, the yield curve or prepayment rates; the availability and terms of financing; changes in the market value of our assets; the effectiveness of our risk mitigation strategies; conditions in the market for Agency and other mortgage securities; or legislative or regulatory changes that affect our status as a REIT or our exemption from the Investment Company Act of 1940 or that affect the GSE’s or secondary mortgage market in which we participate. A discussion of risks and uncertainties that could cause actual results to differ from any of our forward-looking statements is included in our most recent Annual Report on Form 10-K and this document under Item 1A. </w:t>
      </w:r>
      <w:r>
        <w:rPr>
          <w:rFonts w:ascii="Arial" w:cs="Arial" w:eastAsia="Arial" w:hAnsi="Arial"/>
          <w:sz w:val="17"/>
          <w:szCs w:val="17"/>
          <w:i w:val="1"/>
          <w:iCs w:val="1"/>
          <w:color w:val="auto"/>
        </w:rPr>
        <w:t>Risk Factors</w:t>
      </w:r>
      <w:r>
        <w:rPr>
          <w:rFonts w:ascii="Arial" w:cs="Arial" w:eastAsia="Arial" w:hAnsi="Arial"/>
          <w:sz w:val="17"/>
          <w:szCs w:val="17"/>
          <w:color w:val="auto"/>
        </w:rPr>
        <w:t>. We caution readers not to place undue reliance on our forward-looking statements.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04"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asset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our investments will also differ from our expectations, which could reduce the effectiveness of our hedging strategies and may cause losses on such transactions and adversely affect our cash flow.</w:t>
      </w:r>
    </w:p>
    <w:p>
      <w:pPr>
        <w:spacing w:after="0" w:line="12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severity of potential declines in our tangible net book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an instrument that would be caused by a parallel change in short and long-term interest rates. The duration of our assets will vary with changes in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3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duration and convexity of our assets using both a third-party risk management system and market data. We review the duration estimates from the third-party model and may make adjustments based on our judgment to better reflect any unique characteristics and market trading conventions associated with certain types of securities.</w:t>
      </w:r>
    </w:p>
    <w:p>
      <w:pPr>
        <w:spacing w:after="0" w:line="127"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The table below quantifies the estimated changes in the fair value of our investment portfolio (including derivatives and other securities used for hedging purposes) and in our tangible net book value per common share as of March 31, 2019 and December 31, 2018 should interest rates go up or down by 50 and 100 basis points, assuming instantaneous parallel shifts in the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796" w:right="239" w:bottom="1440" w:gutter="0" w:footer="0" w:header="0"/>
        </w:sectPr>
      </w:pPr>
    </w:p>
    <w:bookmarkStart w:id="42" w:name="page43"/>
    <w:bookmarkEnd w:id="42"/>
    <w:p>
      <w:pPr>
        <w:jc w:val="both"/>
        <w:spacing w:after="0" w:line="342" w:lineRule="auto"/>
        <w:rPr>
          <w:sz w:val="20"/>
          <w:szCs w:val="20"/>
          <w:color w:val="auto"/>
        </w:rPr>
      </w:pPr>
      <w:r>
        <w:rPr>
          <w:rFonts w:ascii="Arial" w:cs="Arial" w:eastAsia="Arial" w:hAnsi="Arial"/>
          <w:sz w:val="16"/>
          <w:szCs w:val="16"/>
          <w:color w:val="auto"/>
        </w:rPr>
        <w:t>yield curve and including the impact of both duration and convexity. All values in the table below are measured as percentage changes from the base interest rate scenario. The base interest rate scenario assumes interest rates and prepayment projections as of March 31, 2019 and December 31, 2018.</w:t>
      </w:r>
    </w:p>
    <w:p>
      <w:pPr>
        <w:spacing w:after="0" w:line="7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To the extent that these estimates or other assumptions do not hold true, which is likely in a period of high volatility, actual results could differ materially from our projections. Moreover, if different models were employed in the analysis, materially different projections could result. Lastly, while the table below reflects the estimated impact of interest rate changes on a static portfolio, we actively manage our portfolio and we continuously adjust the size and composition of our asset and hedge portfolio.</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23495</wp:posOffset>
            </wp:positionV>
            <wp:extent cx="565975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103" w:lineRule="exact"/>
        <w:rPr>
          <w:sz w:val="20"/>
          <w:szCs w:val="20"/>
          <w:color w:val="auto"/>
        </w:rPr>
      </w:pPr>
    </w:p>
    <w:tbl>
      <w:tblPr>
        <w:tblLayout w:type="fixed"/>
        <w:tblInd w:w="1260" w:type="dxa"/>
        <w:tblCellMar>
          <w:top w:w="0" w:type="dxa"/>
          <w:left w:w="0" w:type="dxa"/>
          <w:bottom w:w="0" w:type="dxa"/>
          <w:right w:w="0" w:type="dxa"/>
        </w:tblCellMar>
      </w:tblPr>
      <w:tr>
        <w:trPr>
          <w:trHeight w:val="192"/>
        </w:trPr>
        <w:tc>
          <w:tcPr>
            <w:tcW w:w="29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80" w:type="dxa"/>
            <w:vAlign w:val="bottom"/>
            <w:tcBorders>
              <w:bottom w:val="single" w:sz="8" w:color="auto"/>
            </w:tcBorders>
            <w:gridSpan w:val="3"/>
          </w:tcPr>
          <w:p>
            <w:pPr>
              <w:ind w:left="900"/>
              <w:spacing w:after="0"/>
              <w:rPr>
                <w:sz w:val="20"/>
                <w:szCs w:val="20"/>
                <w:color w:val="auto"/>
              </w:rPr>
            </w:pPr>
            <w:r>
              <w:rPr>
                <w:rFonts w:ascii="Arial" w:cs="Arial" w:eastAsia="Arial" w:hAnsi="Arial"/>
                <w:sz w:val="14"/>
                <w:szCs w:val="14"/>
                <w:b w:val="1"/>
                <w:bCs w:val="1"/>
                <w:color w:val="auto"/>
              </w:rPr>
              <w:t>March 31, 2019</w:t>
            </w:r>
          </w:p>
        </w:tc>
        <w:tc>
          <w:tcPr>
            <w:tcW w:w="180" w:type="dxa"/>
            <w:vAlign w:val="bottom"/>
          </w:tcPr>
          <w:p>
            <w:pPr>
              <w:spacing w:after="0"/>
              <w:rPr>
                <w:sz w:val="16"/>
                <w:szCs w:val="16"/>
                <w:color w:val="auto"/>
              </w:rPr>
            </w:pPr>
          </w:p>
        </w:tc>
        <w:tc>
          <w:tcPr>
            <w:tcW w:w="2860" w:type="dxa"/>
            <w:vAlign w:val="bottom"/>
            <w:tcBorders>
              <w:bottom w:val="single" w:sz="8" w:color="auto"/>
            </w:tcBorders>
            <w:gridSpan w:val="3"/>
          </w:tcPr>
          <w:p>
            <w:pPr>
              <w:ind w:left="84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29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520" w:type="dxa"/>
            <w:vAlign w:val="bottom"/>
            <w:gridSpan w:val="2"/>
          </w:tcPr>
          <w:p>
            <w:pPr>
              <w:jc w:val="center"/>
              <w:ind w:right="200"/>
              <w:spacing w:after="0" w:line="153" w:lineRule="exact"/>
              <w:rPr>
                <w:sz w:val="20"/>
                <w:szCs w:val="20"/>
                <w:color w:val="auto"/>
              </w:rPr>
            </w:pPr>
            <w:r>
              <w:rPr>
                <w:rFonts w:ascii="Arial" w:cs="Arial" w:eastAsia="Arial" w:hAnsi="Arial"/>
                <w:sz w:val="14"/>
                <w:szCs w:val="14"/>
                <w:b w:val="1"/>
                <w:bCs w:val="1"/>
                <w:color w:val="auto"/>
                <w:w w:val="91"/>
              </w:rPr>
              <w:t>Estimated Change</w:t>
            </w: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2"/>
              </w:rPr>
              <w:t>Estimated Change in</w:t>
            </w:r>
          </w:p>
        </w:tc>
        <w:tc>
          <w:tcPr>
            <w:tcW w:w="0" w:type="dxa"/>
            <w:vAlign w:val="bottom"/>
          </w:tcPr>
          <w:p>
            <w:pPr>
              <w:spacing w:after="0"/>
              <w:rPr>
                <w:sz w:val="1"/>
                <w:szCs w:val="1"/>
                <w:color w:val="auto"/>
              </w:rPr>
            </w:pPr>
          </w:p>
        </w:tc>
      </w:tr>
      <w:tr>
        <w:trPr>
          <w:trHeight w:val="149"/>
        </w:trPr>
        <w:tc>
          <w:tcPr>
            <w:tcW w:w="29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40" w:type="dxa"/>
            <w:vAlign w:val="bottom"/>
            <w:gridSpan w:val="2"/>
            <w:vMerge w:val="continue"/>
          </w:tcPr>
          <w:p>
            <w:pPr>
              <w:spacing w:after="0"/>
              <w:rPr>
                <w:sz w:val="12"/>
                <w:szCs w:val="12"/>
                <w:color w:val="auto"/>
              </w:rPr>
            </w:pPr>
          </w:p>
        </w:tc>
        <w:tc>
          <w:tcPr>
            <w:tcW w:w="15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in Tangible Net</w:t>
            </w:r>
          </w:p>
        </w:tc>
        <w:tc>
          <w:tcPr>
            <w:tcW w:w="144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Tangible Net Book</w:t>
            </w:r>
          </w:p>
        </w:tc>
        <w:tc>
          <w:tcPr>
            <w:tcW w:w="0" w:type="dxa"/>
            <w:vAlign w:val="bottom"/>
          </w:tcPr>
          <w:p>
            <w:pPr>
              <w:spacing w:after="0"/>
              <w:rPr>
                <w:sz w:val="1"/>
                <w:szCs w:val="1"/>
                <w:color w:val="auto"/>
              </w:rPr>
            </w:pPr>
          </w:p>
        </w:tc>
      </w:tr>
      <w:tr>
        <w:trPr>
          <w:trHeight w:val="149"/>
        </w:trPr>
        <w:tc>
          <w:tcPr>
            <w:tcW w:w="29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80" w:type="dxa"/>
            <w:vAlign w:val="bottom"/>
            <w:vMerge w:val="restart"/>
          </w:tcPr>
          <w:p>
            <w:pPr>
              <w:spacing w:after="0"/>
              <w:rPr>
                <w:sz w:val="12"/>
                <w:szCs w:val="12"/>
                <w:color w:val="auto"/>
              </w:rPr>
            </w:pP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5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Book Value Per</w:t>
            </w: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Value Per Common</w:t>
            </w:r>
          </w:p>
        </w:tc>
        <w:tc>
          <w:tcPr>
            <w:tcW w:w="0" w:type="dxa"/>
            <w:vAlign w:val="bottom"/>
          </w:tcPr>
          <w:p>
            <w:pPr>
              <w:spacing w:after="0"/>
              <w:rPr>
                <w:sz w:val="1"/>
                <w:szCs w:val="1"/>
                <w:color w:val="auto"/>
              </w:rPr>
            </w:pPr>
          </w:p>
        </w:tc>
      </w:tr>
      <w:tr>
        <w:trPr>
          <w:trHeight w:val="192"/>
        </w:trPr>
        <w:tc>
          <w:tcPr>
            <w:tcW w:w="292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Common Share</w:t>
            </w:r>
          </w:p>
        </w:tc>
        <w:tc>
          <w:tcPr>
            <w:tcW w:w="18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256"/>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-1.0%</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-10.6%</w:t>
            </w:r>
          </w:p>
        </w:tc>
        <w:tc>
          <w:tcPr>
            <w:tcW w:w="18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-0.7%</w:t>
            </w:r>
          </w:p>
        </w:tc>
        <w:tc>
          <w:tcPr>
            <w:tcW w:w="100" w:type="dxa"/>
            <w:vAlign w:val="bottom"/>
            <w:shd w:val="clear" w:color="auto" w:fill="CCEEFF"/>
          </w:tcPr>
          <w:p>
            <w:pPr>
              <w:spacing w:after="0"/>
              <w:rPr>
                <w:sz w:val="22"/>
                <w:szCs w:val="22"/>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-7.3%</w:t>
            </w:r>
          </w:p>
        </w:tc>
        <w:tc>
          <w:tcPr>
            <w:tcW w:w="0" w:type="dxa"/>
            <w:vAlign w:val="bottom"/>
          </w:tcPr>
          <w:p>
            <w:pPr>
              <w:spacing w:after="0"/>
              <w:rPr>
                <w:sz w:val="1"/>
                <w:szCs w:val="1"/>
                <w:color w:val="auto"/>
              </w:rPr>
            </w:pPr>
          </w:p>
        </w:tc>
      </w:tr>
      <w:tr>
        <w:trPr>
          <w:trHeight w:val="264"/>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-0.2%</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-2.6%</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-0.1%</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8"/>
              </w:rPr>
              <w:t>-1.0%</w:t>
            </w:r>
          </w:p>
        </w:tc>
        <w:tc>
          <w:tcPr>
            <w:tcW w:w="0" w:type="dxa"/>
            <w:vAlign w:val="bottom"/>
          </w:tcPr>
          <w:p>
            <w:pPr>
              <w:spacing w:after="0"/>
              <w:rPr>
                <w:sz w:val="1"/>
                <w:szCs w:val="1"/>
                <w:color w:val="auto"/>
              </w:rPr>
            </w:pPr>
          </w:p>
        </w:tc>
      </w:tr>
      <w:tr>
        <w:trPr>
          <w:trHeight w:val="276"/>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-0.3%</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-3.6%</w:t>
            </w:r>
          </w:p>
        </w:tc>
        <w:tc>
          <w:tcPr>
            <w:tcW w:w="18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-0.3%</w:t>
            </w:r>
          </w:p>
        </w:tc>
        <w:tc>
          <w:tcPr>
            <w:tcW w:w="100" w:type="dxa"/>
            <w:vAlign w:val="bottom"/>
            <w:shd w:val="clear" w:color="auto" w:fill="CCEEFF"/>
          </w:tcPr>
          <w:p>
            <w:pPr>
              <w:spacing w:after="0"/>
              <w:rPr>
                <w:sz w:val="24"/>
                <w:szCs w:val="24"/>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-3.1%</w:t>
            </w:r>
          </w:p>
        </w:tc>
        <w:tc>
          <w:tcPr>
            <w:tcW w:w="0" w:type="dxa"/>
            <w:vAlign w:val="bottom"/>
          </w:tcPr>
          <w:p>
            <w:pPr>
              <w:spacing w:after="0"/>
              <w:rPr>
                <w:sz w:val="1"/>
                <w:szCs w:val="1"/>
                <w:color w:val="auto"/>
              </w:rPr>
            </w:pPr>
          </w:p>
        </w:tc>
      </w:tr>
      <w:tr>
        <w:trPr>
          <w:trHeight w:val="258"/>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-1.1%</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-12.4%</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-0.9%</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8"/>
              </w:rPr>
              <w:t>-9.3%</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provided by third parties, assumes there are no changes in mortgage spreads and assumes a static portfolio. Actual results could differ materially from these estimates.</w:t>
      </w: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Prepayment risk is the risk that our assets will be repaid at a faster rate than anticipated. Interest rates and numerous other factors affect the rate of prepayments, including housing prices, general economic conditions, loan age, size and loan-to-value ratios, and the pace of GSE buyouts of delinquent loans underlying our securities among other factors. Generally, prepayments increase during periods of falling mortgage interest rates and decrease during periods of rising mortgage interest rates. However, this may not always be the case.</w:t>
      </w:r>
    </w:p>
    <w:p>
      <w:pPr>
        <w:spacing w:after="0" w:line="133"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Extension risk is the risk that our assets will be repaid at a slower rate than anticipated and generally increases when interest rates rise. In which case, we may have to finance our investments at potentially higher costs without the ability to reinvest principal into higher yielding securities because borrowers prepay their mortgages at a slower pace than originally expected, adversely impacting our net interest spread, and thus our net interest income.</w:t>
      </w:r>
    </w:p>
    <w:p>
      <w:pPr>
        <w:spacing w:after="0" w:line="9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March 31, 2019 and December 31, 2018, our investment securities (excluding TBAs) had a weighted average projected CPR of 10.5% and 7.9%, respectively, and a weighted average yield of 3.29% and 3.31%, respectively. The table below presents estimated weighted average projected CPRs and yields for our investment securities should interest rates go up or down by 50 and 100 basis points.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746" w:right="239" w:bottom="1440" w:gutter="0" w:footer="0" w:header="0"/>
        </w:sectPr>
      </w:pPr>
    </w:p>
    <w:bookmarkStart w:id="43" w:name="page44"/>
    <w:bookmarkEnd w:id="43"/>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819785</wp:posOffset>
            </wp:positionH>
            <wp:positionV relativeFrom="paragraph">
              <wp:posOffset>23495</wp:posOffset>
            </wp:positionV>
            <wp:extent cx="561721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617210" cy="8890"/>
                    </a:xfrm>
                    <a:prstGeom prst="rect">
                      <a:avLst/>
                    </a:prstGeom>
                    <a:noFill/>
                  </pic:spPr>
                </pic:pic>
              </a:graphicData>
            </a:graphic>
          </wp:anchor>
        </w:drawing>
      </w:r>
    </w:p>
    <w:p>
      <w:pPr>
        <w:spacing w:after="0" w:line="103" w:lineRule="exact"/>
        <w:rPr>
          <w:sz w:val="20"/>
          <w:szCs w:val="20"/>
          <w:color w:val="auto"/>
        </w:rPr>
      </w:pPr>
    </w:p>
    <w:tbl>
      <w:tblPr>
        <w:tblLayout w:type="fixed"/>
        <w:tblInd w:w="1300" w:type="dxa"/>
        <w:tblCellMar>
          <w:top w:w="0" w:type="dxa"/>
          <w:left w:w="0" w:type="dxa"/>
          <w:bottom w:w="0" w:type="dxa"/>
          <w:right w:w="0" w:type="dxa"/>
        </w:tblCellMar>
      </w:tblPr>
      <w:tr>
        <w:trPr>
          <w:trHeight w:val="192"/>
        </w:trPr>
        <w:tc>
          <w:tcPr>
            <w:tcW w:w="29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40" w:type="dxa"/>
            <w:vAlign w:val="bottom"/>
            <w:tcBorders>
              <w:bottom w:val="single" w:sz="8" w:color="auto"/>
            </w:tcBorders>
            <w:gridSpan w:val="3"/>
          </w:tcPr>
          <w:p>
            <w:pPr>
              <w:ind w:left="900"/>
              <w:spacing w:after="0"/>
              <w:rPr>
                <w:sz w:val="20"/>
                <w:szCs w:val="20"/>
                <w:color w:val="auto"/>
              </w:rPr>
            </w:pPr>
            <w:r>
              <w:rPr>
                <w:rFonts w:ascii="Arial" w:cs="Arial" w:eastAsia="Arial" w:hAnsi="Arial"/>
                <w:sz w:val="14"/>
                <w:szCs w:val="14"/>
                <w:b w:val="1"/>
                <w:bCs w:val="1"/>
                <w:color w:val="auto"/>
              </w:rPr>
              <w:t>March 31, 2019</w:t>
            </w:r>
          </w:p>
        </w:tc>
        <w:tc>
          <w:tcPr>
            <w:tcW w:w="180" w:type="dxa"/>
            <w:vAlign w:val="bottom"/>
          </w:tcPr>
          <w:p>
            <w:pPr>
              <w:spacing w:after="0"/>
              <w:rPr>
                <w:sz w:val="16"/>
                <w:szCs w:val="16"/>
                <w:color w:val="auto"/>
              </w:rPr>
            </w:pPr>
          </w:p>
        </w:tc>
        <w:tc>
          <w:tcPr>
            <w:tcW w:w="2760" w:type="dxa"/>
            <w:vAlign w:val="bottom"/>
            <w:tcBorders>
              <w:bottom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29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80" w:type="dxa"/>
            <w:vAlign w:val="bottom"/>
            <w:vMerge w:val="restart"/>
          </w:tcPr>
          <w:p>
            <w:pPr>
              <w:spacing w:after="0"/>
              <w:rPr>
                <w:sz w:val="13"/>
                <w:szCs w:val="13"/>
                <w:color w:val="auto"/>
              </w:rPr>
            </w:pPr>
          </w:p>
        </w:tc>
        <w:tc>
          <w:tcPr>
            <w:tcW w:w="14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500" w:type="dxa"/>
            <w:vAlign w:val="bottom"/>
            <w:gridSpan w:val="2"/>
          </w:tcPr>
          <w:p>
            <w:pPr>
              <w:jc w:val="center"/>
              <w:ind w:right="18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4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3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92"/>
        </w:trPr>
        <w:tc>
          <w:tcPr>
            <w:tcW w:w="298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CCEEFF"/>
            </w:tcBorders>
            <w:vMerge w:val="continue"/>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Projected CPR</w:t>
            </w:r>
          </w:p>
        </w:tc>
        <w:tc>
          <w:tcPr>
            <w:tcW w:w="10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 xml:space="preserve">Asset Yield </w:t>
            </w:r>
            <w:r>
              <w:rPr>
                <w:rFonts w:ascii="Arial" w:cs="Arial" w:eastAsia="Arial" w:hAnsi="Arial"/>
                <w:sz w:val="8"/>
                <w:szCs w:val="8"/>
                <w:b w:val="1"/>
                <w:bCs w:val="1"/>
                <w:color w:val="auto"/>
                <w:w w:val="90"/>
              </w:rPr>
              <w:t>2</w:t>
            </w:r>
          </w:p>
        </w:tc>
        <w:tc>
          <w:tcPr>
            <w:tcW w:w="18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Projected CPR</w:t>
            </w:r>
          </w:p>
        </w:tc>
        <w:tc>
          <w:tcPr>
            <w:tcW w:w="12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 xml:space="preserve">Asset Yield </w:t>
            </w:r>
            <w:r>
              <w:rPr>
                <w:rFonts w:ascii="Arial" w:cs="Arial" w:eastAsia="Arial" w:hAnsi="Arial"/>
                <w:sz w:val="8"/>
                <w:szCs w:val="8"/>
                <w:b w:val="1"/>
                <w:bCs w:val="1"/>
                <w:color w:val="auto"/>
                <w:w w:val="90"/>
              </w:rPr>
              <w:t>2</w:t>
            </w:r>
          </w:p>
        </w:tc>
        <w:tc>
          <w:tcPr>
            <w:tcW w:w="0" w:type="dxa"/>
            <w:vAlign w:val="bottom"/>
          </w:tcPr>
          <w:p>
            <w:pPr>
              <w:spacing w:after="0"/>
              <w:rPr>
                <w:sz w:val="1"/>
                <w:szCs w:val="1"/>
                <w:color w:val="auto"/>
              </w:rPr>
            </w:pPr>
          </w:p>
        </w:tc>
      </w:tr>
      <w:tr>
        <w:trPr>
          <w:trHeight w:val="256"/>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20.3%</w:t>
            </w:r>
          </w:p>
        </w:tc>
        <w:tc>
          <w:tcPr>
            <w:tcW w:w="100" w:type="dxa"/>
            <w:vAlign w:val="bottom"/>
            <w:shd w:val="clear" w:color="auto" w:fill="CCEEFF"/>
          </w:tcPr>
          <w:p>
            <w:pPr>
              <w:spacing w:after="0"/>
              <w:rPr>
                <w:sz w:val="22"/>
                <w:szCs w:val="22"/>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3.01%</w:t>
            </w:r>
          </w:p>
        </w:tc>
        <w:tc>
          <w:tcPr>
            <w:tcW w:w="180" w:type="dxa"/>
            <w:vAlign w:val="bottom"/>
            <w:shd w:val="clear" w:color="auto" w:fill="CCEEFF"/>
          </w:tcPr>
          <w:p>
            <w:pPr>
              <w:spacing w:after="0"/>
              <w:rPr>
                <w:sz w:val="22"/>
                <w:szCs w:val="22"/>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14.1%</w:t>
            </w:r>
          </w:p>
        </w:tc>
        <w:tc>
          <w:tcPr>
            <w:tcW w:w="120" w:type="dxa"/>
            <w:vAlign w:val="bottom"/>
            <w:shd w:val="clear" w:color="auto" w:fill="CCEEFF"/>
          </w:tcPr>
          <w:p>
            <w:pPr>
              <w:spacing w:after="0"/>
              <w:rPr>
                <w:sz w:val="22"/>
                <w:szCs w:val="22"/>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3.15%</w:t>
            </w:r>
          </w:p>
        </w:tc>
        <w:tc>
          <w:tcPr>
            <w:tcW w:w="0" w:type="dxa"/>
            <w:vAlign w:val="bottom"/>
          </w:tcPr>
          <w:p>
            <w:pPr>
              <w:spacing w:after="0"/>
              <w:rPr>
                <w:sz w:val="1"/>
                <w:szCs w:val="1"/>
                <w:color w:val="auto"/>
              </w:rPr>
            </w:pPr>
          </w:p>
        </w:tc>
      </w:tr>
      <w:tr>
        <w:trPr>
          <w:trHeight w:val="264"/>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15.0%</w:t>
            </w:r>
          </w:p>
        </w:tc>
        <w:tc>
          <w:tcPr>
            <w:tcW w:w="10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3.17%</w:t>
            </w:r>
          </w:p>
        </w:tc>
        <w:tc>
          <w:tcPr>
            <w:tcW w:w="18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10.3%</w:t>
            </w:r>
          </w:p>
        </w:tc>
        <w:tc>
          <w:tcPr>
            <w:tcW w:w="12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3.25%</w:t>
            </w:r>
          </w:p>
        </w:tc>
        <w:tc>
          <w:tcPr>
            <w:tcW w:w="0" w:type="dxa"/>
            <w:vAlign w:val="bottom"/>
          </w:tcPr>
          <w:p>
            <w:pPr>
              <w:spacing w:after="0"/>
              <w:rPr>
                <w:sz w:val="1"/>
                <w:szCs w:val="1"/>
                <w:color w:val="auto"/>
              </w:rPr>
            </w:pPr>
          </w:p>
        </w:tc>
      </w:tr>
      <w:tr>
        <w:trPr>
          <w:trHeight w:val="276"/>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7.7%</w:t>
            </w:r>
          </w:p>
        </w:tc>
        <w:tc>
          <w:tcPr>
            <w:tcW w:w="100" w:type="dxa"/>
            <w:vAlign w:val="bottom"/>
            <w:shd w:val="clear" w:color="auto" w:fill="CCEEFF"/>
          </w:tcPr>
          <w:p>
            <w:pPr>
              <w:spacing w:after="0"/>
              <w:rPr>
                <w:sz w:val="24"/>
                <w:szCs w:val="24"/>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3.36%</w:t>
            </w:r>
          </w:p>
        </w:tc>
        <w:tc>
          <w:tcPr>
            <w:tcW w:w="180" w:type="dxa"/>
            <w:vAlign w:val="bottom"/>
            <w:shd w:val="clear" w:color="auto" w:fill="CCEEFF"/>
          </w:tcPr>
          <w:p>
            <w:pPr>
              <w:spacing w:after="0"/>
              <w:rPr>
                <w:sz w:val="24"/>
                <w:szCs w:val="24"/>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6.5%</w:t>
            </w:r>
          </w:p>
        </w:tc>
        <w:tc>
          <w:tcPr>
            <w:tcW w:w="120" w:type="dxa"/>
            <w:vAlign w:val="bottom"/>
            <w:shd w:val="clear" w:color="auto" w:fill="CCEEFF"/>
          </w:tcPr>
          <w:p>
            <w:pPr>
              <w:spacing w:after="0"/>
              <w:rPr>
                <w:sz w:val="24"/>
                <w:szCs w:val="24"/>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3.33%</w:t>
            </w:r>
          </w:p>
        </w:tc>
        <w:tc>
          <w:tcPr>
            <w:tcW w:w="0" w:type="dxa"/>
            <w:vAlign w:val="bottom"/>
          </w:tcPr>
          <w:p>
            <w:pPr>
              <w:spacing w:after="0"/>
              <w:rPr>
                <w:sz w:val="1"/>
                <w:szCs w:val="1"/>
                <w:color w:val="auto"/>
              </w:rPr>
            </w:pPr>
          </w:p>
        </w:tc>
      </w:tr>
      <w:tr>
        <w:trPr>
          <w:trHeight w:val="258"/>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320" w:type="dxa"/>
            <w:vAlign w:val="bottom"/>
          </w:tcPr>
          <w:p>
            <w:pPr>
              <w:jc w:val="center"/>
              <w:spacing w:after="0"/>
              <w:rPr>
                <w:sz w:val="20"/>
                <w:szCs w:val="20"/>
                <w:color w:val="auto"/>
              </w:rPr>
            </w:pPr>
            <w:r>
              <w:rPr>
                <w:rFonts w:ascii="Arial" w:cs="Arial" w:eastAsia="Arial" w:hAnsi="Arial"/>
                <w:sz w:val="14"/>
                <w:szCs w:val="14"/>
                <w:color w:val="auto"/>
                <w:w w:val="93"/>
              </w:rPr>
              <w:t>6.2%</w:t>
            </w:r>
          </w:p>
        </w:tc>
        <w:tc>
          <w:tcPr>
            <w:tcW w:w="10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3.40%</w:t>
            </w:r>
          </w:p>
        </w:tc>
        <w:tc>
          <w:tcPr>
            <w:tcW w:w="18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3"/>
              </w:rPr>
              <w:t>5.7%</w:t>
            </w:r>
          </w:p>
        </w:tc>
        <w:tc>
          <w:tcPr>
            <w:tcW w:w="12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3.38%</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provided by third parties and assumes a static portfolio. Actual results could differ materially from these estimates. Table excludes TBA securities.</w:t>
      </w:r>
    </w:p>
    <w:p>
      <w:pPr>
        <w:ind w:left="660" w:hanging="328"/>
        <w:spacing w:after="0"/>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Asset yield based on historical cost basis and does not include the impact of retroactive "catch-up" premium amortization adjustments due to changes in projected CPR.</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171" w:lineRule="exact"/>
        <w:rPr>
          <w:sz w:val="20"/>
          <w:szCs w:val="20"/>
          <w:color w:val="auto"/>
        </w:rPr>
      </w:pPr>
    </w:p>
    <w:p>
      <w:pPr>
        <w:jc w:val="both"/>
        <w:ind w:firstLine="486"/>
        <w:spacing w:after="0" w:line="273" w:lineRule="auto"/>
        <w:rPr>
          <w:sz w:val="20"/>
          <w:szCs w:val="20"/>
          <w:color w:val="auto"/>
        </w:rPr>
      </w:pPr>
      <w:r>
        <w:rPr>
          <w:rFonts w:ascii="Arial" w:cs="Arial" w:eastAsia="Arial" w:hAnsi="Arial"/>
          <w:sz w:val="17"/>
          <w:szCs w:val="17"/>
          <w:color w:val="auto"/>
        </w:rPr>
        <w:t>Spread risk is the risk that the market spread between the yield on our assets and the yield on benchmark interest rates linked to our interest rate hedges, such as U.S. Treasury rates and interest rate swap rates, may vary. The inherent spread risk associated with our investment securities and the resulting fluctuations in fair value of these securities can occur independent of interest rates and may relate to other factors impacting the mortgage and fixed income markets, such as actual or anticipated monetary policy actions by U.S. and foreign central banks, liquidity, or changes in required rates of return on different assets. Our strategies are generally not specifically designed to protect against spread risk, thus while we use interest rate swaps and other hedges to attempt to protect against moves in interest rates, our tangible net book value could decline if spreads widen.</w:t>
      </w:r>
    </w:p>
    <w:p>
      <w:pPr>
        <w:spacing w:after="0" w:line="124"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The table below quantifies the estimated changes in the fair value of our assets, net of hedges, and our tangible net book value per common share as of March 31, 2019 and December 31, 2018 should spreads widen or tighten by 10 and 25 basis points. The estimated impact of changes in spreads is in addition to our interest rate shock sensitivity included in the interest rate shock table above. The table below assumes a spread duration of 4.9 and 5.6 years as of March 31, 2019 and December 31, 2018, respectively, based on interest rates and prices as of such dates. However, our portfolio's sensitivity of mortgage spread changes will vary with changes in interest rates and in the size and composition of our portfolio. Therefore, actual results could differ materially from our estimates.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w:t>
      </w:r>
      <w:r>
        <w:rPr>
          <w:rFonts w:ascii="Arial" w:cs="Arial" w:eastAsia="Arial" w:hAnsi="Arial"/>
          <w:sz w:val="8"/>
          <w:szCs w:val="8"/>
          <w:b w:val="1"/>
          <w:bCs w:val="1"/>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23495</wp:posOffset>
            </wp:positionV>
            <wp:extent cx="565975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103" w:lineRule="exact"/>
        <w:rPr>
          <w:sz w:val="20"/>
          <w:szCs w:val="20"/>
          <w:color w:val="auto"/>
        </w:rPr>
      </w:pPr>
    </w:p>
    <w:tbl>
      <w:tblPr>
        <w:tblLayout w:type="fixed"/>
        <w:tblInd w:w="1260" w:type="dxa"/>
        <w:tblCellMar>
          <w:top w:w="0" w:type="dxa"/>
          <w:left w:w="0" w:type="dxa"/>
          <w:bottom w:w="0" w:type="dxa"/>
          <w:right w:w="0" w:type="dxa"/>
        </w:tblCellMar>
      </w:tblPr>
      <w:tr>
        <w:trPr>
          <w:trHeight w:val="192"/>
        </w:trPr>
        <w:tc>
          <w:tcPr>
            <w:tcW w:w="30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80" w:type="dxa"/>
            <w:vAlign w:val="bottom"/>
            <w:tcBorders>
              <w:bottom w:val="single" w:sz="8" w:color="auto"/>
            </w:tcBorders>
            <w:gridSpan w:val="3"/>
          </w:tcPr>
          <w:p>
            <w:pPr>
              <w:ind w:left="900"/>
              <w:spacing w:after="0"/>
              <w:rPr>
                <w:sz w:val="20"/>
                <w:szCs w:val="20"/>
                <w:color w:val="auto"/>
              </w:rPr>
            </w:pPr>
            <w:r>
              <w:rPr>
                <w:rFonts w:ascii="Arial" w:cs="Arial" w:eastAsia="Arial" w:hAnsi="Arial"/>
                <w:sz w:val="14"/>
                <w:szCs w:val="14"/>
                <w:b w:val="1"/>
                <w:bCs w:val="1"/>
                <w:color w:val="auto"/>
              </w:rPr>
              <w:t>March 31, 2019</w:t>
            </w:r>
          </w:p>
        </w:tc>
        <w:tc>
          <w:tcPr>
            <w:tcW w:w="180" w:type="dxa"/>
            <w:vAlign w:val="bottom"/>
          </w:tcPr>
          <w:p>
            <w:pPr>
              <w:spacing w:after="0"/>
              <w:rPr>
                <w:sz w:val="16"/>
                <w:szCs w:val="16"/>
                <w:color w:val="auto"/>
              </w:rPr>
            </w:pPr>
          </w:p>
        </w:tc>
        <w:tc>
          <w:tcPr>
            <w:tcW w:w="2780" w:type="dxa"/>
            <w:vAlign w:val="bottom"/>
            <w:tcBorders>
              <w:bottom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30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520" w:type="dxa"/>
            <w:vAlign w:val="bottom"/>
            <w:gridSpan w:val="2"/>
          </w:tcPr>
          <w:p>
            <w:pPr>
              <w:jc w:val="center"/>
              <w:ind w:right="180"/>
              <w:spacing w:after="0" w:line="153" w:lineRule="exact"/>
              <w:rPr>
                <w:sz w:val="20"/>
                <w:szCs w:val="20"/>
                <w:color w:val="auto"/>
              </w:rPr>
            </w:pPr>
            <w:r>
              <w:rPr>
                <w:rFonts w:ascii="Arial" w:cs="Arial" w:eastAsia="Arial" w:hAnsi="Arial"/>
                <w:sz w:val="14"/>
                <w:szCs w:val="14"/>
                <w:b w:val="1"/>
                <w:bCs w:val="1"/>
                <w:color w:val="auto"/>
                <w:w w:val="93"/>
              </w:rPr>
              <w:t>Estimated Change</w:t>
            </w: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3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Estimated Change</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40" w:type="dxa"/>
            <w:vAlign w:val="bottom"/>
            <w:gridSpan w:val="2"/>
            <w:vMerge w:val="continue"/>
          </w:tcPr>
          <w:p>
            <w:pPr>
              <w:spacing w:after="0"/>
              <w:rPr>
                <w:sz w:val="12"/>
                <w:szCs w:val="12"/>
                <w:color w:val="auto"/>
              </w:rPr>
            </w:pPr>
          </w:p>
        </w:tc>
        <w:tc>
          <w:tcPr>
            <w:tcW w:w="15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in Tangible Net</w:t>
            </w:r>
          </w:p>
        </w:tc>
        <w:tc>
          <w:tcPr>
            <w:tcW w:w="1440" w:type="dxa"/>
            <w:vAlign w:val="bottom"/>
            <w:gridSpan w:val="2"/>
            <w:vMerge w:val="continue"/>
          </w:tcPr>
          <w:p>
            <w:pPr>
              <w:spacing w:after="0"/>
              <w:rPr>
                <w:sz w:val="12"/>
                <w:szCs w:val="12"/>
                <w:color w:val="auto"/>
              </w:rPr>
            </w:pPr>
          </w:p>
        </w:tc>
        <w:tc>
          <w:tcPr>
            <w:tcW w:w="13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in Tangible Net</w:t>
            </w:r>
          </w:p>
        </w:tc>
        <w:tc>
          <w:tcPr>
            <w:tcW w:w="0" w:type="dxa"/>
            <w:vAlign w:val="bottom"/>
          </w:tcPr>
          <w:p>
            <w:pPr>
              <w:spacing w:after="0"/>
              <w:rPr>
                <w:sz w:val="1"/>
                <w:szCs w:val="1"/>
                <w:color w:val="auto"/>
              </w:rPr>
            </w:pPr>
          </w:p>
        </w:tc>
      </w:tr>
      <w:tr>
        <w:trPr>
          <w:trHeight w:val="149"/>
        </w:trPr>
        <w:tc>
          <w:tcPr>
            <w:tcW w:w="30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80" w:type="dxa"/>
            <w:vAlign w:val="bottom"/>
            <w:vMerge w:val="restart"/>
          </w:tcPr>
          <w:p>
            <w:pPr>
              <w:spacing w:after="0"/>
              <w:rPr>
                <w:sz w:val="12"/>
                <w:szCs w:val="12"/>
                <w:color w:val="auto"/>
              </w:rPr>
            </w:pP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5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Book Value Per</w:t>
            </w: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3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Book Value Per</w:t>
            </w:r>
          </w:p>
        </w:tc>
        <w:tc>
          <w:tcPr>
            <w:tcW w:w="0" w:type="dxa"/>
            <w:vAlign w:val="bottom"/>
          </w:tcPr>
          <w:p>
            <w:pPr>
              <w:spacing w:after="0"/>
              <w:rPr>
                <w:sz w:val="1"/>
                <w:szCs w:val="1"/>
                <w:color w:val="auto"/>
              </w:rPr>
            </w:pPr>
          </w:p>
        </w:tc>
      </w:tr>
      <w:tr>
        <w:trPr>
          <w:trHeight w:val="192"/>
        </w:trPr>
        <w:tc>
          <w:tcPr>
            <w:tcW w:w="300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Common Share</w:t>
            </w:r>
          </w:p>
        </w:tc>
        <w:tc>
          <w:tcPr>
            <w:tcW w:w="18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Common Share</w:t>
            </w:r>
          </w:p>
        </w:tc>
        <w:tc>
          <w:tcPr>
            <w:tcW w:w="0" w:type="dxa"/>
            <w:vAlign w:val="bottom"/>
          </w:tcPr>
          <w:p>
            <w:pPr>
              <w:spacing w:after="0"/>
              <w:rPr>
                <w:sz w:val="1"/>
                <w:szCs w:val="1"/>
                <w:color w:val="auto"/>
              </w:rPr>
            </w:pPr>
          </w:p>
        </w:tc>
      </w:tr>
      <w:tr>
        <w:trPr>
          <w:trHeight w:val="25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+1.2%</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+13.5%</w:t>
            </w:r>
          </w:p>
        </w:tc>
        <w:tc>
          <w:tcPr>
            <w:tcW w:w="18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+1.4%</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+14.3%</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9"/>
              </w:rPr>
              <w:t>+0.5%</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+5.4%</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+0.6%</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+5.7%</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-0.5%</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-5.4%</w:t>
            </w:r>
          </w:p>
        </w:tc>
        <w:tc>
          <w:tcPr>
            <w:tcW w:w="18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-0.6%</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-5.7%</w:t>
            </w:r>
          </w:p>
        </w:tc>
        <w:tc>
          <w:tcPr>
            <w:tcW w:w="0" w:type="dxa"/>
            <w:vAlign w:val="bottom"/>
          </w:tcPr>
          <w:p>
            <w:pPr>
              <w:spacing w:after="0"/>
              <w:rPr>
                <w:sz w:val="1"/>
                <w:szCs w:val="1"/>
                <w:color w:val="auto"/>
              </w:rPr>
            </w:pPr>
          </w:p>
        </w:tc>
      </w:tr>
      <w:tr>
        <w:trPr>
          <w:trHeight w:val="258"/>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-1.2%</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-13.5%</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-1.4%</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-14.3%</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7"/>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provided by third parties, assumes there are no changes in interest rates and assumes a static portfolio. Actual results could differ materially from these estimates.</w:t>
      </w:r>
    </w:p>
    <w:p>
      <w:pPr>
        <w:ind w:left="660" w:hanging="328"/>
        <w:spacing w:after="0"/>
        <w:tabs>
          <w:tab w:leader="none" w:pos="660" w:val="left"/>
        </w:tabs>
        <w:numPr>
          <w:ilvl w:val="0"/>
          <w:numId w:val="37"/>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738"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Our liquidity risk principally arises from financing long-term fixed rate assets with shorter-term variable rate borrowings. As of March 31, 2019, we had unrestricted cash and cash equivalents of $0.9 billion and unpledged securities of approximately $4.5 billion available to meet margin calls on our funding liabilities and derivative contracts and for other corporate purposes. However, should the value of our collateral or the value of our derivative instruments suddenly 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 higher haircuts can reduce our ability to leverage our portfolio or even force us to sell assets, especially if correlated with asset price declines or faster prepayment rates on our assets.</w:t>
      </w:r>
    </w:p>
    <w:p>
      <w:pPr>
        <w:spacing w:after="0" w:line="125"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In addition, we often utilize TBA dollar roll transactions to invest in and finance Agency RMBS. Under certain conditions it may be uneconomical to roll our TBA dollar roll transactions beyond the next settlement date and we could have to take physical delivery of the underlying securities and settle our obligations for cash, which could negatively impact our liquidity position, result in defaults or force us to sell assets under adverse conditions.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credit sensitive investments, such as CRT and non-Agency securities, expose us to the risk of nonpayment of principal, interest or other remuneration we are contractually entitled to. We are also exposed to credit risk in the event our derivative counterparties do not perform under the terms of our derivative agreements or in the event our repurchase agreement counterparties default on their obligations to resell the underlying collateral back to us at the end of the repo term.</w:t>
      </w:r>
    </w:p>
    <w:p>
      <w:pPr>
        <w:spacing w:after="0" w:line="133"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We accept credit exposure related to our credit sensitive assets at levels we deem to be prudent within the context of our overall investment strategy. We attempt to manage this risk through prudent asset selection, pre-acquisition due diligence, post-acquisition performance monitoring, and the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monitor and adjust the amount of collateral pledged based on changes in market value.</w:t>
      </w:r>
    </w:p>
    <w:p>
      <w:pPr>
        <w:spacing w:after="0" w:line="12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There is no guarantee that our efforts to manage credit risk will be successful and we could suffer losses if credit performance is worse than our expectations or our counterparties default on their obligations. Excluding amounts cleared through a central clearing exchange, as of March 31, 2019, our maximum amount at risk with any counterparty related to our repurchase agreements was less than 4% of our tangible stockholders' equity and less than 1% of tangible stockholders' equity related to our interest rate swap and swaption agreements.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746" w:right="2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3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March 31, 2019. Based on the foregoing, our Chief Executive Officer and Chief Financial Officer concluded that our disclosure controls and procedures were effective.</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 OTHER INFORMATION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There have been no material changes to such matters previously disclosed in our Annual Report on Form 10-K for the year ended December 31, 2018.</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94" w:lineRule="exact"/>
        <w:rPr>
          <w:sz w:val="20"/>
          <w:szCs w:val="20"/>
          <w:color w:val="auto"/>
        </w:rPr>
      </w:pPr>
    </w:p>
    <w:p>
      <w:pPr>
        <w:ind w:left="480"/>
        <w:spacing w:after="0"/>
        <w:rPr>
          <w:sz w:val="20"/>
          <w:szCs w:val="20"/>
          <w:color w:val="auto"/>
        </w:rPr>
      </w:pPr>
      <w:r>
        <w:rPr>
          <w:rFonts w:ascii="Arial" w:cs="Arial" w:eastAsia="Arial" w:hAnsi="Arial"/>
          <w:sz w:val="16"/>
          <w:szCs w:val="16"/>
          <w:color w:val="auto"/>
        </w:rPr>
        <w:t>There have been no material changes to the risk factors previously disclosed in our Annual Report on Form 10-K for the year ended December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2018.</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580" w:right="239" w:bottom="1440" w:gutter="0" w:footer="0" w:header="0"/>
        </w:sectPr>
      </w:pPr>
    </w:p>
    <w:bookmarkStart w:id="46" w:name="page47"/>
    <w:bookmarkEnd w:id="46"/>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7"/>
          <w:szCs w:val="17"/>
          <w:color w:val="auto"/>
        </w:rPr>
        <w:t>Exhibit Index</w:t>
      </w:r>
    </w:p>
    <w:p>
      <w:pPr>
        <w:spacing w:after="0" w:line="163" w:lineRule="exact"/>
        <w:rPr>
          <w:sz w:val="20"/>
          <w:szCs w:val="20"/>
          <w:color w:val="auto"/>
        </w:rPr>
      </w:pPr>
    </w:p>
    <w:p>
      <w:pPr>
        <w:spacing w:after="0"/>
        <w:tabs>
          <w:tab w:leader="none" w:pos="84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2"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29">
        <w:r>
          <w:rPr>
            <w:rFonts w:ascii="Arial" w:cs="Arial" w:eastAsia="Arial" w:hAnsi="Arial"/>
            <w:sz w:val="18"/>
            <w:szCs w:val="18"/>
            <w:color w:val="auto"/>
          </w:rPr>
          <w:t>*3.1 AGNC Investment Corp. Amended and Restated Certificate of Incorporation, as amended, incorporated herein by reference</w:t>
        </w:r>
      </w:hyperlink>
      <w:r>
        <w:rPr>
          <w:rFonts w:ascii="Arial" w:cs="Arial" w:eastAsia="Arial" w:hAnsi="Arial"/>
          <w:sz w:val="18"/>
          <w:szCs w:val="18"/>
          <w:color w:val="auto"/>
        </w:rPr>
        <w:t xml:space="preserve"> </w:t>
      </w:r>
      <w:hyperlink r:id="rId29">
        <w:r>
          <w:rPr>
            <w:rFonts w:ascii="Arial" w:cs="Arial" w:eastAsia="Arial" w:hAnsi="Arial"/>
            <w:sz w:val="18"/>
            <w:szCs w:val="18"/>
            <w:color w:val="auto"/>
          </w:rPr>
          <w:t>to Exhibit 3.1 of Form 10-Q for the quarter ended March 31, 2018 (File No. 001-34057), filed May 7, 2018.</w:t>
        </w:r>
      </w:hyperlink>
    </w:p>
    <w:p>
      <w:pPr>
        <w:spacing w:after="0" w:line="116" w:lineRule="exact"/>
        <w:rPr>
          <w:sz w:val="20"/>
          <w:szCs w:val="20"/>
          <w:color w:val="auto"/>
        </w:rPr>
      </w:pPr>
    </w:p>
    <w:p>
      <w:pPr>
        <w:jc w:val="both"/>
        <w:ind w:left="1300" w:right="20" w:firstLine="648"/>
        <w:spacing w:after="0" w:line="277" w:lineRule="auto"/>
        <w:rPr>
          <w:rFonts w:ascii="Arial" w:cs="Arial" w:eastAsia="Arial" w:hAnsi="Arial"/>
          <w:sz w:val="18"/>
          <w:szCs w:val="18"/>
          <w:color w:val="auto"/>
        </w:rPr>
      </w:pPr>
      <w:hyperlink r:id="rId30">
        <w:r>
          <w:rPr>
            <w:rFonts w:ascii="Arial" w:cs="Arial" w:eastAsia="Arial" w:hAnsi="Arial"/>
            <w:sz w:val="18"/>
            <w:szCs w:val="18"/>
            <w:color w:val="auto"/>
          </w:rPr>
          <w:t>*3.2 AGNC Investment Corp. Third Amended and Restated Bylaws, as amended, incorporated herein by reference to Exhibit 3.2</w:t>
        </w:r>
      </w:hyperlink>
      <w:r>
        <w:rPr>
          <w:rFonts w:ascii="Arial" w:cs="Arial" w:eastAsia="Arial" w:hAnsi="Arial"/>
          <w:sz w:val="18"/>
          <w:szCs w:val="18"/>
          <w:color w:val="auto"/>
        </w:rPr>
        <w:t xml:space="preserve"> </w:t>
      </w:r>
      <w:hyperlink r:id="rId30">
        <w:r>
          <w:rPr>
            <w:rFonts w:ascii="Arial" w:cs="Arial" w:eastAsia="Arial" w:hAnsi="Arial"/>
            <w:sz w:val="18"/>
            <w:szCs w:val="18"/>
            <w:color w:val="auto"/>
          </w:rPr>
          <w:t>of Form 10-Q for the quarter ended September 30, 2016 (File No. 001-34057), filed November 7, 2016.</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1">
        <w:r>
          <w:rPr>
            <w:rFonts w:ascii="Arial" w:cs="Arial" w:eastAsia="Arial" w:hAnsi="Arial"/>
            <w:sz w:val="18"/>
            <w:szCs w:val="18"/>
            <w:color w:val="auto"/>
          </w:rPr>
          <w:t>*3.3 Certificate of Designations of 7.750% Series B Cumulative Redeemable Preferred Stock, incorporated herein by reference</w:t>
        </w:r>
      </w:hyperlink>
      <w:r>
        <w:rPr>
          <w:rFonts w:ascii="Arial" w:cs="Arial" w:eastAsia="Arial" w:hAnsi="Arial"/>
          <w:sz w:val="18"/>
          <w:szCs w:val="18"/>
          <w:color w:val="auto"/>
        </w:rPr>
        <w:t xml:space="preserve"> </w:t>
      </w:r>
      <w:hyperlink r:id="rId31">
        <w:r>
          <w:rPr>
            <w:rFonts w:ascii="Arial" w:cs="Arial" w:eastAsia="Arial" w:hAnsi="Arial"/>
            <w:sz w:val="18"/>
            <w:szCs w:val="18"/>
            <w:color w:val="auto"/>
          </w:rPr>
          <w:t>to Exhibit 3.4 of Form 8-A (File No. 001-34057), filed May 7, 2014.</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2">
        <w:r>
          <w:rPr>
            <w:rFonts w:ascii="Arial" w:cs="Arial" w:eastAsia="Arial" w:hAnsi="Arial"/>
            <w:sz w:val="18"/>
            <w:szCs w:val="18"/>
            <w:color w:val="auto"/>
          </w:rPr>
          <w:t>*3.4 Certificate of Designations of 7.00% Series C Fixed-to-Floating Rate Cumulative Redeemable Preferred Stock,</w:t>
        </w:r>
      </w:hyperlink>
      <w:r>
        <w:rPr>
          <w:rFonts w:ascii="Arial" w:cs="Arial" w:eastAsia="Arial" w:hAnsi="Arial"/>
          <w:sz w:val="18"/>
          <w:szCs w:val="18"/>
          <w:color w:val="auto"/>
        </w:rPr>
        <w:t xml:space="preserve"> </w:t>
      </w:r>
      <w:hyperlink r:id="rId32">
        <w:r>
          <w:rPr>
            <w:rFonts w:ascii="Arial" w:cs="Arial" w:eastAsia="Arial" w:hAnsi="Arial"/>
            <w:sz w:val="18"/>
            <w:szCs w:val="18"/>
            <w:color w:val="auto"/>
          </w:rPr>
          <w:t>incorporated herein by reference to Exhibit 3.5 of Form 8-A (File No. 001-34057), filed August 18, 2017.</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3">
        <w:r>
          <w:rPr>
            <w:rFonts w:ascii="Arial" w:cs="Arial" w:eastAsia="Arial" w:hAnsi="Arial"/>
            <w:sz w:val="18"/>
            <w:szCs w:val="18"/>
            <w:color w:val="auto"/>
          </w:rPr>
          <w:t>*3.5 Certificate of Elimination of 8.000% Series A Cumulative Redeemable Preferred Stock, incorporated herein by reference to</w:t>
        </w:r>
      </w:hyperlink>
      <w:r>
        <w:rPr>
          <w:rFonts w:ascii="Arial" w:cs="Arial" w:eastAsia="Arial" w:hAnsi="Arial"/>
          <w:sz w:val="18"/>
          <w:szCs w:val="18"/>
          <w:color w:val="auto"/>
        </w:rPr>
        <w:t xml:space="preserve"> </w:t>
      </w:r>
      <w:hyperlink r:id="rId33">
        <w:r>
          <w:rPr>
            <w:rFonts w:ascii="Arial" w:cs="Arial" w:eastAsia="Arial" w:hAnsi="Arial"/>
            <w:sz w:val="18"/>
            <w:szCs w:val="18"/>
            <w:color w:val="auto"/>
          </w:rPr>
          <w:t>Exhibit 3.1 of Form 8-K (File No 001-34057), filed October 26, 2017.</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4">
        <w:r>
          <w:rPr>
            <w:rFonts w:ascii="Arial" w:cs="Arial" w:eastAsia="Arial" w:hAnsi="Arial"/>
            <w:sz w:val="18"/>
            <w:szCs w:val="18"/>
            <w:color w:val="auto"/>
          </w:rPr>
          <w:t>*3.6 Certificate of Designations of 6.875% Series D Fixed-to-Floating Rate Cumulative Redeemable Preferred Stock,</w:t>
        </w:r>
      </w:hyperlink>
      <w:r>
        <w:rPr>
          <w:rFonts w:ascii="Arial" w:cs="Arial" w:eastAsia="Arial" w:hAnsi="Arial"/>
          <w:sz w:val="18"/>
          <w:szCs w:val="18"/>
          <w:color w:val="auto"/>
        </w:rPr>
        <w:t xml:space="preserve"> </w:t>
      </w:r>
      <w:hyperlink r:id="rId34">
        <w:r>
          <w:rPr>
            <w:rFonts w:ascii="Arial" w:cs="Arial" w:eastAsia="Arial" w:hAnsi="Arial"/>
            <w:sz w:val="18"/>
            <w:szCs w:val="18"/>
            <w:color w:val="auto"/>
          </w:rPr>
          <w:t>incorporated herein by reference to Exhibit 3.5 of Form 8-A (File No 001-34057), filed March 6, 2019.</w:t>
        </w:r>
      </w:hyperlink>
    </w:p>
    <w:p>
      <w:pPr>
        <w:spacing w:after="0" w:line="116" w:lineRule="exact"/>
        <w:rPr>
          <w:sz w:val="20"/>
          <w:szCs w:val="20"/>
          <w:color w:val="auto"/>
        </w:rPr>
      </w:pPr>
    </w:p>
    <w:p>
      <w:pPr>
        <w:jc w:val="both"/>
        <w:ind w:left="1300" w:firstLine="648"/>
        <w:spacing w:after="0" w:line="264" w:lineRule="auto"/>
        <w:rPr>
          <w:rFonts w:ascii="Arial" w:cs="Arial" w:eastAsia="Arial" w:hAnsi="Arial"/>
          <w:sz w:val="18"/>
          <w:szCs w:val="18"/>
          <w:color w:val="auto"/>
        </w:rPr>
      </w:pPr>
      <w:hyperlink r:id="rId29">
        <w:r>
          <w:rPr>
            <w:rFonts w:ascii="Arial" w:cs="Arial" w:eastAsia="Arial" w:hAnsi="Arial"/>
            <w:sz w:val="18"/>
            <w:szCs w:val="18"/>
            <w:color w:val="auto"/>
          </w:rPr>
          <w:t>*4.1 Instruments defining the rights of holders of securities: See Article IV of our Amended and Restated Certificate of</w:t>
        </w:r>
      </w:hyperlink>
      <w:r>
        <w:rPr>
          <w:rFonts w:ascii="Arial" w:cs="Arial" w:eastAsia="Arial" w:hAnsi="Arial"/>
          <w:sz w:val="18"/>
          <w:szCs w:val="18"/>
          <w:color w:val="auto"/>
        </w:rPr>
        <w:t xml:space="preserve"> </w:t>
      </w:r>
      <w:hyperlink r:id="rId29">
        <w:r>
          <w:rPr>
            <w:rFonts w:ascii="Arial" w:cs="Arial" w:eastAsia="Arial" w:hAnsi="Arial"/>
            <w:sz w:val="18"/>
            <w:szCs w:val="18"/>
            <w:color w:val="auto"/>
          </w:rPr>
          <w:t>Incorporation, as amended, incorporated herein by reference to Exhibit 3.1 of Form 10-Q for the quarter ended March 31, 2018 (File No.</w:t>
        </w:r>
      </w:hyperlink>
      <w:r>
        <w:rPr>
          <w:rFonts w:ascii="Arial" w:cs="Arial" w:eastAsia="Arial" w:hAnsi="Arial"/>
          <w:sz w:val="18"/>
          <w:szCs w:val="18"/>
          <w:color w:val="auto"/>
        </w:rPr>
        <w:t xml:space="preserve"> </w:t>
      </w:r>
      <w:hyperlink r:id="rId29">
        <w:r>
          <w:rPr>
            <w:rFonts w:ascii="Arial" w:cs="Arial" w:eastAsia="Arial" w:hAnsi="Arial"/>
            <w:sz w:val="18"/>
            <w:szCs w:val="18"/>
            <w:color w:val="auto"/>
          </w:rPr>
          <w:t>001-34057) filed May 7, 2018.</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30">
        <w:r>
          <w:rPr>
            <w:rFonts w:ascii="Arial" w:cs="Arial" w:eastAsia="Arial" w:hAnsi="Arial"/>
            <w:sz w:val="18"/>
            <w:szCs w:val="18"/>
            <w:color w:val="auto"/>
          </w:rPr>
          <w:t>*4.2 Instruments defining the rights of holders of securities: See Article VI of our Third Amended and Restated Bylaws, as</w:t>
        </w:r>
      </w:hyperlink>
      <w:r>
        <w:rPr>
          <w:rFonts w:ascii="Arial" w:cs="Arial" w:eastAsia="Arial" w:hAnsi="Arial"/>
          <w:sz w:val="18"/>
          <w:szCs w:val="18"/>
          <w:color w:val="auto"/>
        </w:rPr>
        <w:t xml:space="preserve"> </w:t>
      </w:r>
      <w:hyperlink r:id="rId30">
        <w:r>
          <w:rPr>
            <w:rFonts w:ascii="Arial" w:cs="Arial" w:eastAsia="Arial" w:hAnsi="Arial"/>
            <w:sz w:val="18"/>
            <w:szCs w:val="18"/>
            <w:color w:val="auto"/>
          </w:rPr>
          <w:t>amended, incorporated herein by reference to Exhibit 3.2 of Form 10-Q for the quarter ended September 30, 2016 (File No. 001-34057)</w:t>
        </w:r>
      </w:hyperlink>
      <w:r>
        <w:rPr>
          <w:rFonts w:ascii="Arial" w:cs="Arial" w:eastAsia="Arial" w:hAnsi="Arial"/>
          <w:sz w:val="18"/>
          <w:szCs w:val="18"/>
          <w:color w:val="auto"/>
        </w:rPr>
        <w:t xml:space="preserve"> </w:t>
      </w:r>
      <w:hyperlink r:id="rId30">
        <w:r>
          <w:rPr>
            <w:rFonts w:ascii="Arial" w:cs="Arial" w:eastAsia="Arial" w:hAnsi="Arial"/>
            <w:sz w:val="18"/>
            <w:szCs w:val="18"/>
            <w:color w:val="auto"/>
          </w:rPr>
          <w:t>filed November 7, 2016.</w:t>
        </w:r>
      </w:hyperlink>
    </w:p>
    <w:p>
      <w:pPr>
        <w:spacing w:after="0" w:line="127" w:lineRule="exact"/>
        <w:rPr>
          <w:rFonts w:ascii="Arial" w:cs="Arial" w:eastAsia="Arial" w:hAnsi="Arial"/>
          <w:sz w:val="18"/>
          <w:szCs w:val="18"/>
          <w:color w:val="auto"/>
        </w:rPr>
      </w:pPr>
    </w:p>
    <w:p>
      <w:pPr>
        <w:jc w:val="both"/>
        <w:ind w:left="1300" w:firstLine="648"/>
        <w:spacing w:after="0" w:line="277" w:lineRule="auto"/>
        <w:rPr>
          <w:rFonts w:ascii="Arial" w:cs="Arial" w:eastAsia="Arial" w:hAnsi="Arial"/>
          <w:sz w:val="18"/>
          <w:szCs w:val="18"/>
          <w:color w:val="auto"/>
        </w:rPr>
      </w:pPr>
      <w:hyperlink r:id="rId35">
        <w:r>
          <w:rPr>
            <w:rFonts w:ascii="Arial" w:cs="Arial" w:eastAsia="Arial" w:hAnsi="Arial"/>
            <w:sz w:val="18"/>
            <w:szCs w:val="18"/>
            <w:color w:val="auto"/>
          </w:rPr>
          <w:t>*4.3 Form of Certificate for Common Stock, incorporated herein by reference to Exhibit 4.3 of Form 10-Q for the quarter ended</w:t>
        </w:r>
      </w:hyperlink>
      <w:r>
        <w:rPr>
          <w:rFonts w:ascii="Arial" w:cs="Arial" w:eastAsia="Arial" w:hAnsi="Arial"/>
          <w:sz w:val="18"/>
          <w:szCs w:val="18"/>
          <w:color w:val="auto"/>
        </w:rPr>
        <w:t xml:space="preserve"> </w:t>
      </w:r>
      <w:hyperlink r:id="rId35">
        <w:r>
          <w:rPr>
            <w:rFonts w:ascii="Arial" w:cs="Arial" w:eastAsia="Arial" w:hAnsi="Arial"/>
            <w:sz w:val="18"/>
            <w:szCs w:val="18"/>
            <w:color w:val="auto"/>
          </w:rPr>
          <w:t>September 30, 2016 (File No. 001-34057), filed November 7, 2016.</w:t>
        </w:r>
      </w:hyperlink>
    </w:p>
    <w:p>
      <w:pPr>
        <w:spacing w:after="0" w:line="116"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r:id="rId36">
        <w:r>
          <w:rPr>
            <w:rFonts w:ascii="Arial" w:cs="Arial" w:eastAsia="Arial" w:hAnsi="Arial"/>
            <w:sz w:val="18"/>
            <w:szCs w:val="18"/>
            <w:color w:val="auto"/>
          </w:rPr>
          <w:t>*4.4</w:t>
        </w:r>
      </w:hyperlink>
      <w:r>
        <w:rPr>
          <w:rFonts w:ascii="Arial" w:cs="Arial" w:eastAsia="Arial" w:hAnsi="Arial"/>
          <w:sz w:val="18"/>
          <w:szCs w:val="18"/>
          <w:color w:val="auto"/>
        </w:rPr>
        <w:tab/>
      </w:r>
      <w:hyperlink r:id="rId36">
        <w:r>
          <w:rPr>
            <w:rFonts w:ascii="Arial" w:cs="Arial" w:eastAsia="Arial" w:hAnsi="Arial"/>
            <w:sz w:val="16"/>
            <w:szCs w:val="16"/>
            <w:color w:val="auto"/>
          </w:rPr>
          <w:t>Specimen 7.750% Series B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36">
        <w:r>
          <w:rPr>
            <w:rFonts w:ascii="Arial" w:cs="Arial" w:eastAsia="Arial" w:hAnsi="Arial"/>
            <w:sz w:val="18"/>
            <w:szCs w:val="18"/>
            <w:color w:val="auto"/>
          </w:rPr>
          <w:t>4.1 of Form 8-A (File No. 001-34057), filed May 7, 2014.</w:t>
        </w:r>
      </w:hyperlink>
    </w:p>
    <w:p>
      <w:pPr>
        <w:spacing w:after="0" w:line="157"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7">
        <w:r>
          <w:rPr>
            <w:rFonts w:ascii="Arial" w:cs="Arial" w:eastAsia="Arial" w:hAnsi="Arial"/>
            <w:sz w:val="18"/>
            <w:szCs w:val="18"/>
            <w:color w:val="auto"/>
          </w:rPr>
          <w:t>*4.5 Specimen 7.00% Series C Fixed-to-Floating Rate Cumulative Redeemable Preferred Stock Certificate, incorporated herein</w:t>
        </w:r>
      </w:hyperlink>
      <w:r>
        <w:rPr>
          <w:rFonts w:ascii="Arial" w:cs="Arial" w:eastAsia="Arial" w:hAnsi="Arial"/>
          <w:sz w:val="18"/>
          <w:szCs w:val="18"/>
          <w:color w:val="auto"/>
        </w:rPr>
        <w:t xml:space="preserve"> </w:t>
      </w:r>
      <w:hyperlink r:id="rId37">
        <w:r>
          <w:rPr>
            <w:rFonts w:ascii="Arial" w:cs="Arial" w:eastAsia="Arial" w:hAnsi="Arial"/>
            <w:sz w:val="18"/>
            <w:szCs w:val="18"/>
            <w:color w:val="auto"/>
          </w:rPr>
          <w:t>by reference to Exhibit 4.1 of Form 8-A (File No. 001-34057), filed August 18, 2017.</w:t>
        </w:r>
      </w:hyperlink>
    </w:p>
    <w:p>
      <w:pPr>
        <w:spacing w:after="0" w:line="116" w:lineRule="exact"/>
        <w:rPr>
          <w:sz w:val="20"/>
          <w:szCs w:val="20"/>
          <w:color w:val="auto"/>
        </w:rPr>
      </w:pPr>
    </w:p>
    <w:p>
      <w:pPr>
        <w:jc w:val="both"/>
        <w:ind w:left="1300" w:right="20" w:firstLine="648"/>
        <w:spacing w:after="0" w:line="277" w:lineRule="auto"/>
        <w:rPr>
          <w:rFonts w:ascii="Arial" w:cs="Arial" w:eastAsia="Arial" w:hAnsi="Arial"/>
          <w:sz w:val="18"/>
          <w:szCs w:val="18"/>
          <w:color w:val="auto"/>
        </w:rPr>
      </w:pPr>
      <w:hyperlink r:id="rId38">
        <w:r>
          <w:rPr>
            <w:rFonts w:ascii="Arial" w:cs="Arial" w:eastAsia="Arial" w:hAnsi="Arial"/>
            <w:sz w:val="18"/>
            <w:szCs w:val="18"/>
            <w:color w:val="auto"/>
          </w:rPr>
          <w:t>*4.6 Specimen 6.875% Series D Fixed-to-Floating Rate Cumulative Redeemable Preferred Stock Certificate, incorporated herein</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by reference to Exhibit 4.1 of Form 8-A (File No. 001-34057), filed March 6, 2019.</w:t>
        </w:r>
      </w:hyperlink>
    </w:p>
    <w:p>
      <w:pPr>
        <w:spacing w:after="0" w:line="116" w:lineRule="exact"/>
        <w:rPr>
          <w:sz w:val="20"/>
          <w:szCs w:val="20"/>
          <w:color w:val="auto"/>
        </w:rPr>
      </w:pPr>
    </w:p>
    <w:p>
      <w:pPr>
        <w:jc w:val="both"/>
        <w:ind w:left="1300" w:firstLine="648"/>
        <w:spacing w:after="0" w:line="264" w:lineRule="auto"/>
        <w:rPr>
          <w:rFonts w:ascii="Arial" w:cs="Arial" w:eastAsia="Arial" w:hAnsi="Arial"/>
          <w:sz w:val="18"/>
          <w:szCs w:val="18"/>
          <w:color w:val="auto"/>
        </w:rPr>
      </w:pPr>
      <w:hyperlink r:id="rId39">
        <w:r>
          <w:rPr>
            <w:rFonts w:ascii="Arial" w:cs="Arial" w:eastAsia="Arial" w:hAnsi="Arial"/>
            <w:sz w:val="18"/>
            <w:szCs w:val="18"/>
            <w:color w:val="auto"/>
          </w:rPr>
          <w:t>*4.7Deposit Agreement relating to 7.750% Series B Cumulative Redeemable Preferred Stock, dated May 8, 2014, among</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American Capital Agency Corp., Computershare Inc. and Computershare Trust Company, N.A., jointly as depositary, incorporated herein</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by reference to Exhibit 4.2 of Form 8-K (File No. 001-34057), filed May 8, 2014.</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39">
        <w:r>
          <w:rPr>
            <w:rFonts w:ascii="Arial" w:cs="Arial" w:eastAsia="Arial" w:hAnsi="Arial"/>
            <w:sz w:val="18"/>
            <w:szCs w:val="18"/>
            <w:color w:val="auto"/>
          </w:rPr>
          <w:t>*4.8 Form of Depositary Receipt representing 1/1,000th of a share of 7.750% Series B Cumulative Redeemable Preferred Stock</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(included as part of Exhibit 4.7), incorporated herein by reference to Exhibit A of Exhibit 4.2 of Form 8-K (File No. 001-34057), filed May</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8, 2014.</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40">
        <w:r>
          <w:rPr>
            <w:rFonts w:ascii="Arial" w:cs="Arial" w:eastAsia="Arial" w:hAnsi="Arial"/>
            <w:sz w:val="18"/>
            <w:szCs w:val="18"/>
            <w:color w:val="auto"/>
          </w:rPr>
          <w:t>*4.9Deposit Agreement relating to 7.00% Series C Fixed-to-Floating Rate Cumulative Redeemable Preferred Stock, dated August</w:t>
        </w:r>
      </w:hyperlink>
      <w:r>
        <w:rPr>
          <w:rFonts w:ascii="Arial" w:cs="Arial" w:eastAsia="Arial" w:hAnsi="Arial"/>
          <w:sz w:val="18"/>
          <w:szCs w:val="18"/>
          <w:color w:val="auto"/>
        </w:rPr>
        <w:t xml:space="preserve"> </w:t>
      </w:r>
      <w:hyperlink r:id="rId40">
        <w:r>
          <w:rPr>
            <w:rFonts w:ascii="Arial" w:cs="Arial" w:eastAsia="Arial" w:hAnsi="Arial"/>
            <w:sz w:val="18"/>
            <w:szCs w:val="18"/>
            <w:color w:val="auto"/>
          </w:rPr>
          <w:t>22, 2017, among AGNC Investment Corp., Computershare Inc. and Computershare Trust Company, N.A., jointly as depositary,</w:t>
        </w:r>
      </w:hyperlink>
      <w:r>
        <w:rPr>
          <w:rFonts w:ascii="Arial" w:cs="Arial" w:eastAsia="Arial" w:hAnsi="Arial"/>
          <w:sz w:val="18"/>
          <w:szCs w:val="18"/>
          <w:color w:val="auto"/>
        </w:rPr>
        <w:t xml:space="preserve"> </w:t>
      </w:r>
      <w:hyperlink r:id="rId40">
        <w:r>
          <w:rPr>
            <w:rFonts w:ascii="Arial" w:cs="Arial" w:eastAsia="Arial" w:hAnsi="Arial"/>
            <w:sz w:val="18"/>
            <w:szCs w:val="18"/>
            <w:color w:val="auto"/>
          </w:rPr>
          <w:t>incorporated herein by reference to Exhibit 4.2 of Form 8-K (File No. 001-34057) filed August 22, 2017.</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40">
        <w:r>
          <w:rPr>
            <w:rFonts w:ascii="Arial" w:cs="Arial" w:eastAsia="Arial" w:hAnsi="Arial"/>
            <w:sz w:val="18"/>
            <w:szCs w:val="18"/>
            <w:color w:val="auto"/>
          </w:rPr>
          <w:t>*4.10 Form of Depositary Receipt representing 1/1,000th of a share of 7.00% Series C Fixed-to-Floating Rate Cumulative</w:t>
        </w:r>
      </w:hyperlink>
      <w:r>
        <w:rPr>
          <w:rFonts w:ascii="Arial" w:cs="Arial" w:eastAsia="Arial" w:hAnsi="Arial"/>
          <w:sz w:val="18"/>
          <w:szCs w:val="18"/>
          <w:color w:val="auto"/>
        </w:rPr>
        <w:t xml:space="preserve"> </w:t>
      </w:r>
      <w:hyperlink r:id="rId40">
        <w:r>
          <w:rPr>
            <w:rFonts w:ascii="Arial" w:cs="Arial" w:eastAsia="Arial" w:hAnsi="Arial"/>
            <w:sz w:val="18"/>
            <w:szCs w:val="18"/>
            <w:color w:val="auto"/>
          </w:rPr>
          <w:t>Redeemable Preferred Stock (included as part of Exhibit 4.9), incorporated herein by reference to Exhibit A of Exhibit 4.2 of Form 8-K</w:t>
        </w:r>
      </w:hyperlink>
      <w:r>
        <w:rPr>
          <w:rFonts w:ascii="Arial" w:cs="Arial" w:eastAsia="Arial" w:hAnsi="Arial"/>
          <w:sz w:val="18"/>
          <w:szCs w:val="18"/>
          <w:color w:val="auto"/>
        </w:rPr>
        <w:t xml:space="preserve"> </w:t>
      </w:r>
      <w:hyperlink r:id="rId40">
        <w:r>
          <w:rPr>
            <w:rFonts w:ascii="Arial" w:cs="Arial" w:eastAsia="Arial" w:hAnsi="Arial"/>
            <w:sz w:val="18"/>
            <w:szCs w:val="18"/>
            <w:color w:val="auto"/>
          </w:rPr>
          <w:t>(File No. 001-34057) filed August 22, 2017.</w:t>
        </w:r>
      </w:hyperlink>
    </w:p>
    <w:p>
      <w:pPr>
        <w:spacing w:after="0" w:line="208" w:lineRule="exact"/>
        <w:rPr>
          <w:rFonts w:ascii="Arial" w:cs="Arial" w:eastAsia="Arial" w:hAnsi="Arial"/>
          <w:sz w:val="18"/>
          <w:szCs w:val="18"/>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580" w:right="239" w:bottom="1440" w:gutter="0" w:footer="0" w:header="0"/>
        </w:sectPr>
      </w:pPr>
    </w:p>
    <w:bookmarkStart w:id="47" w:name="page48"/>
    <w:bookmarkEnd w:id="47"/>
    <w:p>
      <w:pPr>
        <w:jc w:val="both"/>
        <w:ind w:left="1300" w:firstLine="648"/>
        <w:spacing w:after="0" w:line="264" w:lineRule="auto"/>
        <w:rPr>
          <w:rFonts w:ascii="Arial" w:cs="Arial" w:eastAsia="Arial" w:hAnsi="Arial"/>
          <w:sz w:val="18"/>
          <w:szCs w:val="18"/>
          <w:color w:val="auto"/>
        </w:rPr>
      </w:pPr>
      <w:hyperlink r:id="rId41">
        <w:r>
          <w:rPr>
            <w:rFonts w:ascii="Arial" w:cs="Arial" w:eastAsia="Arial" w:hAnsi="Arial"/>
            <w:sz w:val="18"/>
            <w:szCs w:val="18"/>
            <w:color w:val="auto"/>
          </w:rPr>
          <w:t>*4.11 Deposit Agreement relating to 6.875% Series D Fixed-to-Floating Rate Cumulative Redeemable Preferred Stock, dated</w:t>
        </w:r>
      </w:hyperlink>
      <w:r>
        <w:rPr>
          <w:rFonts w:ascii="Arial" w:cs="Arial" w:eastAsia="Arial" w:hAnsi="Arial"/>
          <w:sz w:val="18"/>
          <w:szCs w:val="18"/>
          <w:color w:val="auto"/>
        </w:rPr>
        <w:t xml:space="preserve"> </w:t>
      </w:r>
      <w:hyperlink r:id="rId41">
        <w:r>
          <w:rPr>
            <w:rFonts w:ascii="Arial" w:cs="Arial" w:eastAsia="Arial" w:hAnsi="Arial"/>
            <w:sz w:val="18"/>
            <w:szCs w:val="18"/>
            <w:color w:val="auto"/>
          </w:rPr>
          <w:t>March 6, 2019, among AGNC Investment Corp., Computershare Inc. and Computershare Trust Company, N.A., jointly as depositary,</w:t>
        </w:r>
      </w:hyperlink>
      <w:r>
        <w:rPr>
          <w:rFonts w:ascii="Arial" w:cs="Arial" w:eastAsia="Arial" w:hAnsi="Arial"/>
          <w:sz w:val="18"/>
          <w:szCs w:val="18"/>
          <w:color w:val="auto"/>
        </w:rPr>
        <w:t xml:space="preserve"> </w:t>
      </w:r>
      <w:hyperlink r:id="rId41">
        <w:r>
          <w:rPr>
            <w:rFonts w:ascii="Arial" w:cs="Arial" w:eastAsia="Arial" w:hAnsi="Arial"/>
            <w:sz w:val="18"/>
            <w:szCs w:val="18"/>
            <w:color w:val="auto"/>
          </w:rPr>
          <w:t>incorporated herein by reference to Exhibit 4.2 of Form 8-K (File No. 001-34057) filed March 6, 2019.</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41">
        <w:r>
          <w:rPr>
            <w:rFonts w:ascii="Arial" w:cs="Arial" w:eastAsia="Arial" w:hAnsi="Arial"/>
            <w:sz w:val="18"/>
            <w:szCs w:val="18"/>
            <w:color w:val="auto"/>
          </w:rPr>
          <w:t>*4.12Form of Depositary Receipt representing 1/1,000th of a share of 6.875% Series D Fixed-to-Floating Rate Cumulative</w:t>
        </w:r>
      </w:hyperlink>
      <w:r>
        <w:rPr>
          <w:rFonts w:ascii="Arial" w:cs="Arial" w:eastAsia="Arial" w:hAnsi="Arial"/>
          <w:sz w:val="18"/>
          <w:szCs w:val="18"/>
          <w:color w:val="auto"/>
        </w:rPr>
        <w:t xml:space="preserve"> </w:t>
      </w:r>
      <w:hyperlink r:id="rId41">
        <w:r>
          <w:rPr>
            <w:rFonts w:ascii="Arial" w:cs="Arial" w:eastAsia="Arial" w:hAnsi="Arial"/>
            <w:sz w:val="18"/>
            <w:szCs w:val="18"/>
            <w:color w:val="auto"/>
          </w:rPr>
          <w:t>Redeemable Preferred Stock (included as part of Exhibit 4.11), incorporated herein by reference to Exhibit A of Exhibit 4.2 of Form 8-K</w:t>
        </w:r>
      </w:hyperlink>
      <w:r>
        <w:rPr>
          <w:rFonts w:ascii="Arial" w:cs="Arial" w:eastAsia="Arial" w:hAnsi="Arial"/>
          <w:sz w:val="18"/>
          <w:szCs w:val="18"/>
          <w:color w:val="auto"/>
        </w:rPr>
        <w:t xml:space="preserve"> </w:t>
      </w:r>
      <w:hyperlink r:id="rId41">
        <w:r>
          <w:rPr>
            <w:rFonts w:ascii="Arial" w:cs="Arial" w:eastAsia="Arial" w:hAnsi="Arial"/>
            <w:sz w:val="18"/>
            <w:szCs w:val="18"/>
            <w:color w:val="auto"/>
          </w:rPr>
          <w:t>(File No. 001-34057) filed March 6, 2019.</w:t>
        </w:r>
      </w:hyperlink>
    </w:p>
    <w:p>
      <w:pPr>
        <w:spacing w:after="0" w:line="127" w:lineRule="exact"/>
        <w:rPr>
          <w:rFonts w:ascii="Arial" w:cs="Arial" w:eastAsia="Arial" w:hAnsi="Arial"/>
          <w:sz w:val="18"/>
          <w:szCs w:val="18"/>
          <w:color w:val="auto"/>
        </w:rPr>
      </w:pPr>
    </w:p>
    <w:p>
      <w:pPr>
        <w:ind w:left="1300" w:right="20" w:firstLine="648"/>
        <w:spacing w:after="0" w:line="277" w:lineRule="auto"/>
        <w:rPr>
          <w:rFonts w:ascii="Arial" w:cs="Arial" w:eastAsia="Arial" w:hAnsi="Arial"/>
          <w:sz w:val="18"/>
          <w:szCs w:val="18"/>
          <w:color w:val="auto"/>
        </w:rPr>
      </w:pPr>
      <w:hyperlink w:anchor="page50">
        <w:r>
          <w:rPr>
            <w:rFonts w:ascii="Arial" w:cs="Arial" w:eastAsia="Arial" w:hAnsi="Arial"/>
            <w:sz w:val="18"/>
            <w:szCs w:val="18"/>
            <w:color w:val="auto"/>
          </w:rPr>
          <w:t>† 10 Form of AGNC Investment Corp. 2016 Equity and Incentive Compensation Plan Restricted Stock Unit Agreement for Non-</w:t>
        </w:r>
      </w:hyperlink>
      <w:hyperlink w:anchor="page50">
        <w:r>
          <w:rPr>
            <w:rFonts w:ascii="Arial" w:cs="Arial" w:eastAsia="Arial" w:hAnsi="Arial"/>
            <w:sz w:val="18"/>
            <w:szCs w:val="18"/>
            <w:color w:val="auto"/>
          </w:rPr>
          <w:t>Employee Directors, filed herewith.</w:t>
        </w:r>
      </w:hyperlink>
    </w:p>
    <w:p>
      <w:pPr>
        <w:spacing w:after="0" w:line="116"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w:anchor="page55">
        <w:r>
          <w:rPr>
            <w:rFonts w:ascii="Arial" w:cs="Arial" w:eastAsia="Arial" w:hAnsi="Arial"/>
            <w:sz w:val="18"/>
            <w:szCs w:val="18"/>
            <w:color w:val="auto"/>
          </w:rPr>
          <w:t>31.1</w:t>
        </w:r>
      </w:hyperlink>
      <w:r>
        <w:rPr>
          <w:rFonts w:ascii="Arial" w:cs="Arial" w:eastAsia="Arial" w:hAnsi="Arial"/>
          <w:sz w:val="18"/>
          <w:szCs w:val="18"/>
          <w:color w:val="auto"/>
        </w:rPr>
        <w:tab/>
      </w:r>
      <w:hyperlink w:anchor="page55">
        <w:r>
          <w:rPr>
            <w:rFonts w:ascii="Arial" w:cs="Arial" w:eastAsia="Arial" w:hAnsi="Arial"/>
            <w:sz w:val="16"/>
            <w:szCs w:val="16"/>
            <w:color w:val="auto"/>
          </w:rPr>
          <w:t>Certification of CEO Pursuant to Section 302(a) of the Sarbanes-Oxley Act of 2002.</w:t>
        </w:r>
      </w:hyperlink>
    </w:p>
    <w:p>
      <w:pPr>
        <w:spacing w:after="0" w:line="171"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w:anchor="page56">
        <w:r>
          <w:rPr>
            <w:rFonts w:ascii="Arial" w:cs="Arial" w:eastAsia="Arial" w:hAnsi="Arial"/>
            <w:sz w:val="18"/>
            <w:szCs w:val="18"/>
            <w:color w:val="auto"/>
          </w:rPr>
          <w:t>31.2</w:t>
        </w:r>
      </w:hyperlink>
      <w:r>
        <w:rPr>
          <w:rFonts w:ascii="Arial" w:cs="Arial" w:eastAsia="Arial" w:hAnsi="Arial"/>
          <w:sz w:val="18"/>
          <w:szCs w:val="18"/>
          <w:color w:val="auto"/>
        </w:rPr>
        <w:tab/>
      </w:r>
      <w:hyperlink w:anchor="page56">
        <w:r>
          <w:rPr>
            <w:rFonts w:ascii="Arial" w:cs="Arial" w:eastAsia="Arial" w:hAnsi="Arial"/>
            <w:sz w:val="16"/>
            <w:szCs w:val="16"/>
            <w:color w:val="auto"/>
          </w:rPr>
          <w:t>Certification of CFO Pursuant to Section 302(a) of the Sarbanes-Oxley Act of 2002.</w:t>
        </w:r>
      </w:hyperlink>
    </w:p>
    <w:p>
      <w:pPr>
        <w:spacing w:after="0" w:line="171" w:lineRule="exact"/>
        <w:rPr>
          <w:sz w:val="20"/>
          <w:szCs w:val="20"/>
          <w:color w:val="auto"/>
        </w:rPr>
      </w:pPr>
    </w:p>
    <w:p>
      <w:pPr>
        <w:ind w:left="1960"/>
        <w:spacing w:after="0"/>
        <w:tabs>
          <w:tab w:leader="none" w:pos="2300" w:val="left"/>
        </w:tabs>
        <w:rPr>
          <w:rFonts w:ascii="Arial" w:cs="Arial" w:eastAsia="Arial" w:hAnsi="Arial"/>
          <w:sz w:val="16"/>
          <w:szCs w:val="16"/>
          <w:color w:val="auto"/>
        </w:rPr>
      </w:pPr>
      <w:r>
        <w:rPr>
          <w:rFonts w:ascii="Arial" w:cs="Arial" w:eastAsia="Arial" w:hAnsi="Arial"/>
          <w:sz w:val="18"/>
          <w:szCs w:val="18"/>
          <w:color w:val="auto"/>
        </w:rPr>
        <w:t>32</w:t>
      </w:r>
      <w:r>
        <w:rPr>
          <w:sz w:val="20"/>
          <w:szCs w:val="20"/>
          <w:color w:val="auto"/>
        </w:rPr>
        <w:tab/>
      </w:r>
      <w:hyperlink w:anchor="page57">
        <w:r>
          <w:rPr>
            <w:rFonts w:ascii="Arial" w:cs="Arial" w:eastAsia="Arial" w:hAnsi="Arial"/>
            <w:sz w:val="16"/>
            <w:szCs w:val="16"/>
            <w:color w:val="auto"/>
          </w:rPr>
          <w:t>Certification of CEO and CFO Pursuant to Section 906 of the Sarbanes-Oxley Act of 2002.</w:t>
        </w:r>
      </w:hyperlink>
    </w:p>
    <w:p>
      <w:pPr>
        <w:sectPr>
          <w:pgSz w:w="11900" w:h="16838" w:orient="portrait"/>
          <w:cols w:equalWidth="0" w:num="1">
            <w:col w:w="11420"/>
          </w:cols>
          <w:pgMar w:left="240" w:top="746" w:right="239" w:bottom="1440" w:gutter="0" w:footer="0" w:header="0"/>
        </w:sectPr>
      </w:pP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101.INS**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rPr>
          <w:sz w:val="20"/>
          <w:szCs w:val="20"/>
          <w:color w:val="auto"/>
        </w:rPr>
      </w:pPr>
      <w:r>
        <w:rPr>
          <w:rFonts w:ascii="Arial" w:cs="Arial" w:eastAsia="Arial" w:hAnsi="Arial"/>
          <w:sz w:val="16"/>
          <w:szCs w:val="16"/>
          <w:color w:val="auto"/>
        </w:rPr>
        <w:t>The instance document does not appear in the interactive data file because its XBRL tags are embedded within the inline XBRL document</w:t>
      </w:r>
    </w:p>
    <w:p>
      <w:pPr>
        <w:spacing w:after="0" w:line="193" w:lineRule="exact"/>
        <w:rPr>
          <w:sz w:val="20"/>
          <w:szCs w:val="20"/>
          <w:color w:val="auto"/>
        </w:rPr>
      </w:pPr>
    </w:p>
    <w:p>
      <w:pPr>
        <w:sectPr>
          <w:pgSz w:w="11900" w:h="16838" w:orient="portrait"/>
          <w:cols w:equalWidth="0" w:num="2">
            <w:col w:w="800" w:space="50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7"/>
          <w:szCs w:val="17"/>
          <w:color w:val="auto"/>
        </w:rPr>
        <w:t>101.SCH**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Schema Document</w:t>
      </w:r>
    </w:p>
    <w:p>
      <w:pPr>
        <w:spacing w:after="0" w:line="194" w:lineRule="exact"/>
        <w:rPr>
          <w:sz w:val="20"/>
          <w:szCs w:val="20"/>
          <w:color w:val="auto"/>
        </w:rPr>
      </w:pPr>
    </w:p>
    <w:p>
      <w:pPr>
        <w:sectPr>
          <w:pgSz w:w="11900" w:h="16838" w:orient="portrait"/>
          <w:cols w:equalWidth="0" w:num="2">
            <w:col w:w="860" w:space="44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8"/>
          <w:szCs w:val="18"/>
          <w:color w:val="auto"/>
        </w:rPr>
        <w:t>101.CAL**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Calculation Linkbase Document</w:t>
      </w:r>
    </w:p>
    <w:p>
      <w:pPr>
        <w:spacing w:after="0" w:line="193" w:lineRule="exact"/>
        <w:rPr>
          <w:sz w:val="20"/>
          <w:szCs w:val="20"/>
          <w:color w:val="auto"/>
        </w:rPr>
      </w:pPr>
    </w:p>
    <w:p>
      <w:pPr>
        <w:sectPr>
          <w:pgSz w:w="11900" w:h="16838" w:orient="portrait"/>
          <w:cols w:equalWidth="0" w:num="2">
            <w:col w:w="860" w:space="44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8"/>
          <w:szCs w:val="18"/>
          <w:color w:val="auto"/>
        </w:rPr>
        <w:t>101.LAB**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Labels Linkbase Document</w:t>
      </w:r>
    </w:p>
    <w:p>
      <w:pPr>
        <w:spacing w:after="0" w:line="193" w:lineRule="exact"/>
        <w:rPr>
          <w:sz w:val="20"/>
          <w:szCs w:val="20"/>
          <w:color w:val="auto"/>
        </w:rPr>
      </w:pPr>
    </w:p>
    <w:p>
      <w:pPr>
        <w:sectPr>
          <w:pgSz w:w="11900" w:h="16838" w:orient="portrait"/>
          <w:cols w:equalWidth="0" w:num="2">
            <w:col w:w="860" w:space="44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7"/>
          <w:szCs w:val="17"/>
          <w:color w:val="auto"/>
        </w:rPr>
        <w:t>101.PRE**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Presentation Linkbase Document</w:t>
      </w:r>
    </w:p>
    <w:p>
      <w:pPr>
        <w:spacing w:after="0" w:line="194" w:lineRule="exact"/>
        <w:rPr>
          <w:sz w:val="20"/>
          <w:szCs w:val="20"/>
          <w:color w:val="auto"/>
        </w:rPr>
      </w:pPr>
    </w:p>
    <w:p>
      <w:pPr>
        <w:sectPr>
          <w:pgSz w:w="11900" w:h="16838" w:orient="portrait"/>
          <w:cols w:equalWidth="0" w:num="2">
            <w:col w:w="840" w:space="46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7"/>
          <w:szCs w:val="17"/>
          <w:color w:val="auto"/>
        </w:rPr>
        <w:t>101.DEF**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Definition Linkbase Document</w:t>
      </w:r>
    </w:p>
    <w:p>
      <w:pPr>
        <w:spacing w:after="0" w:line="43" w:lineRule="exact"/>
        <w:rPr>
          <w:sz w:val="20"/>
          <w:szCs w:val="20"/>
          <w:color w:val="auto"/>
        </w:rPr>
      </w:pPr>
    </w:p>
    <w:p>
      <w:pPr>
        <w:sectPr>
          <w:pgSz w:w="11900" w:h="16838" w:orient="portrait"/>
          <w:cols w:equalWidth="0" w:num="2">
            <w:col w:w="840" w:space="46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1"/>
          <w:szCs w:val="11"/>
          <w:color w:val="auto"/>
        </w:rPr>
        <w:t>________________________________</w:t>
      </w: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7" w:lineRule="exact"/>
        <w:rPr>
          <w:sz w:val="20"/>
          <w:szCs w:val="20"/>
          <w:color w:val="auto"/>
        </w:rPr>
      </w:pPr>
    </w:p>
    <w:p>
      <w:pPr>
        <w:ind w:left="660" w:right="240" w:hanging="652"/>
        <w:spacing w:after="0" w:line="250" w:lineRule="auto"/>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This exhibit is being furnished rather than filed, and shall not be deemed incorporated by reference into any filing, in accordance with Item 601 of Regulation S-K</w:t>
      </w:r>
    </w:p>
    <w:p>
      <w:pPr>
        <w:spacing w:after="0" w:line="1" w:lineRule="exact"/>
        <w:rPr>
          <w:sz w:val="20"/>
          <w:szCs w:val="20"/>
          <w:color w:val="auto"/>
        </w:rPr>
      </w:pPr>
    </w:p>
    <w:p>
      <w:pPr>
        <w:ind w:left="660" w:hanging="652"/>
        <w:spacing w:after="0"/>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Management contract or compensatory plan or arrangement</w:t>
      </w:r>
    </w:p>
    <w:p>
      <w:pPr>
        <w:spacing w:after="0" w:line="210" w:lineRule="exact"/>
        <w:rPr>
          <w:rFonts w:ascii="Arial" w:cs="Arial" w:eastAsia="Arial" w:hAnsi="Arial"/>
          <w:sz w:val="18"/>
          <w:szCs w:val="18"/>
          <w:color w:val="auto"/>
        </w:rPr>
      </w:pPr>
    </w:p>
    <w:p>
      <w:pPr>
        <w:ind w:left="880" w:hanging="467"/>
        <w:spacing w:after="0"/>
        <w:tabs>
          <w:tab w:leader="none" w:pos="8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210" w:lineRule="exact"/>
        <w:rPr>
          <w:rFonts w:ascii="Arial" w:cs="Arial" w:eastAsia="Arial" w:hAnsi="Arial"/>
          <w:sz w:val="18"/>
          <w:szCs w:val="18"/>
          <w:color w:val="auto"/>
        </w:rPr>
      </w:pPr>
    </w:p>
    <w:p>
      <w:pPr>
        <w:ind w:left="880" w:right="7620" w:hanging="467"/>
        <w:spacing w:after="0" w:line="277" w:lineRule="auto"/>
        <w:tabs>
          <w:tab w:leader="none" w:pos="8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Additional financial statement schedules None.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746" w:right="239" w:bottom="1440" w:gutter="0" w:footer="0" w:header="0"/>
          <w:type w:val="continuous"/>
        </w:sectPr>
      </w:pPr>
    </w:p>
    <w:bookmarkStart w:id="48" w:name="page49"/>
    <w:bookmarkEnd w:id="48"/>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AGNC I</w:t>
      </w:r>
      <w:r>
        <w:rPr>
          <w:rFonts w:ascii="Arial" w:cs="Arial" w:eastAsia="Arial" w:hAnsi="Arial"/>
          <w:sz w:val="14"/>
          <w:szCs w:val="14"/>
          <w:color w:val="auto"/>
        </w:rPr>
        <w:t>NVESTMENT</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185" w:lineRule="exact"/>
        <w:rPr>
          <w:sz w:val="20"/>
          <w:szCs w:val="20"/>
          <w:color w:val="auto"/>
        </w:rPr>
      </w:pPr>
    </w:p>
    <w:p>
      <w:pPr>
        <w:ind w:left="5640"/>
        <w:spacing w:after="0"/>
        <w:tabs>
          <w:tab w:leader="none" w:pos="8060" w:val="left"/>
          <w:tab w:leader="none" w:pos="8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Gary D. Kain</w:t>
      </w:r>
    </w:p>
    <w:p>
      <w:pPr>
        <w:jc w:val="center"/>
        <w:ind w:left="6140"/>
        <w:spacing w:after="0" w:line="226" w:lineRule="auto"/>
        <w:rPr>
          <w:sz w:val="20"/>
          <w:szCs w:val="20"/>
          <w:color w:val="auto"/>
        </w:rPr>
      </w:pPr>
      <w:r>
        <w:rPr>
          <w:rFonts w:ascii="Arial" w:cs="Arial" w:eastAsia="Arial" w:hAnsi="Arial"/>
          <w:sz w:val="14"/>
          <w:szCs w:val="14"/>
          <w:b w:val="1"/>
          <w:bCs w:val="1"/>
          <w:color w:val="auto"/>
        </w:rPr>
        <w:t>Chief Executive Officer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Chief Investment Officer (Principal Executive 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May 3, 2019</w:t>
      </w:r>
    </w:p>
    <w:p>
      <w:pPr>
        <w:spacing w:after="0" w:line="387" w:lineRule="exact"/>
        <w:rPr>
          <w:sz w:val="20"/>
          <w:szCs w:val="20"/>
          <w:color w:val="auto"/>
        </w:rPr>
      </w:pPr>
    </w:p>
    <w:p>
      <w:pPr>
        <w:ind w:left="5640"/>
        <w:spacing w:after="0"/>
        <w:tabs>
          <w:tab w:leader="none" w:pos="7980" w:val="left"/>
          <w:tab w:leader="none" w:pos="83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ind w:left="8340"/>
        <w:spacing w:after="0"/>
        <w:rPr>
          <w:sz w:val="20"/>
          <w:szCs w:val="20"/>
          <w:color w:val="auto"/>
        </w:rPr>
      </w:pPr>
      <w:r>
        <w:rPr>
          <w:rFonts w:ascii="Arial" w:cs="Arial" w:eastAsia="Arial" w:hAnsi="Arial"/>
          <w:sz w:val="14"/>
          <w:szCs w:val="14"/>
          <w:b w:val="1"/>
          <w:bCs w:val="1"/>
          <w:color w:val="auto"/>
        </w:rPr>
        <w:t>Bernice E. Bell</w:t>
      </w:r>
    </w:p>
    <w:p>
      <w:pPr>
        <w:ind w:left="7980"/>
        <w:spacing w:after="0" w:line="226" w:lineRule="auto"/>
        <w:rPr>
          <w:sz w:val="20"/>
          <w:szCs w:val="20"/>
          <w:color w:val="auto"/>
        </w:rPr>
      </w:pPr>
      <w:r>
        <w:rPr>
          <w:rFonts w:ascii="Arial" w:cs="Arial" w:eastAsia="Arial" w:hAnsi="Arial"/>
          <w:sz w:val="14"/>
          <w:szCs w:val="14"/>
          <w:b w:val="1"/>
          <w:bCs w:val="1"/>
          <w:color w:val="auto"/>
        </w:rPr>
        <w:t>Senior Vice President and</w:t>
      </w:r>
    </w:p>
    <w:p>
      <w:pPr>
        <w:ind w:left="6420"/>
        <w:spacing w:after="0"/>
        <w:rPr>
          <w:sz w:val="20"/>
          <w:szCs w:val="20"/>
          <w:color w:val="auto"/>
        </w:rPr>
      </w:pPr>
      <w:r>
        <w:rPr>
          <w:rFonts w:ascii="Arial" w:cs="Arial" w:eastAsia="Arial" w:hAnsi="Arial"/>
          <w:sz w:val="13"/>
          <w:szCs w:val="13"/>
          <w:b w:val="1"/>
          <w:bCs w:val="1"/>
          <w:color w:val="auto"/>
        </w:rPr>
        <w:t>Chief Financial Officer (Principal Financial Officer and Principal Accounting</w:t>
      </w:r>
    </w:p>
    <w:p>
      <w:pPr>
        <w:ind w:left="8560"/>
        <w:spacing w:after="0"/>
        <w:rPr>
          <w:sz w:val="20"/>
          <w:szCs w:val="20"/>
          <w:color w:val="auto"/>
        </w:rPr>
      </w:pPr>
      <w:r>
        <w:rPr>
          <w:rFonts w:ascii="Arial" w:cs="Arial" w:eastAsia="Arial" w:hAnsi="Arial"/>
          <w:sz w:val="14"/>
          <w:szCs w:val="14"/>
          <w:b w:val="1"/>
          <w:bCs w:val="1"/>
          <w:color w:val="auto"/>
        </w:rPr>
        <w:t>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May 3, 2019</w:t>
      </w:r>
    </w:p>
    <w:p>
      <w:pPr>
        <w:spacing w:after="0" w:line="200" w:lineRule="exact"/>
        <w:rPr>
          <w:sz w:val="20"/>
          <w:szCs w:val="20"/>
          <w:color w:val="auto"/>
        </w:rPr>
      </w:pPr>
    </w:p>
    <w:p>
      <w:pPr>
        <w:spacing w:after="0" w:line="2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380"/>
          </w:cols>
          <w:pgMar w:left="240" w:top="580" w:right="279" w:bottom="1440" w:gutter="0" w:footer="0" w:header="0"/>
        </w:sectPr>
      </w:pPr>
    </w:p>
    <w:bookmarkStart w:id="49" w:name="page50"/>
    <w:bookmarkEnd w:id="49"/>
    <w:p>
      <w:pPr>
        <w:jc w:val="right"/>
        <w:spacing w:after="0"/>
        <w:rPr>
          <w:sz w:val="20"/>
          <w:szCs w:val="20"/>
          <w:color w:val="auto"/>
        </w:rPr>
      </w:pPr>
      <w:r>
        <w:rPr>
          <w:rFonts w:ascii="Arial" w:cs="Arial" w:eastAsia="Arial" w:hAnsi="Arial"/>
          <w:sz w:val="22"/>
          <w:szCs w:val="22"/>
          <w:color w:val="auto"/>
        </w:rPr>
        <w:t>Exhibit 10</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AGNC INVESTMENT CORP.</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2016 EQUITY AND INCENTIVE COMPENSATION PLAN</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RESTRICTED STOCK UNIT AGREEMENT</w:t>
      </w:r>
    </w:p>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This RESTRICTED STOCK UNIT AGREEMENT (this “</w:t>
      </w:r>
      <w:r>
        <w:rPr>
          <w:rFonts w:ascii="Arial" w:cs="Arial" w:eastAsia="Arial" w:hAnsi="Arial"/>
          <w:sz w:val="19"/>
          <w:szCs w:val="19"/>
          <w:u w:val="single" w:color="auto"/>
          <w:color w:val="auto"/>
        </w:rPr>
        <w:t>Agreement</w:t>
      </w:r>
      <w:r>
        <w:rPr>
          <w:rFonts w:ascii="Arial" w:cs="Arial" w:eastAsia="Arial" w:hAnsi="Arial"/>
          <w:sz w:val="19"/>
          <w:szCs w:val="19"/>
          <w:color w:val="auto"/>
        </w:rPr>
        <w:t>”) is entered into as of ____________, 20__ (the “</w:t>
      </w:r>
      <w:r>
        <w:rPr>
          <w:rFonts w:ascii="Arial" w:cs="Arial" w:eastAsia="Arial" w:hAnsi="Arial"/>
          <w:sz w:val="19"/>
          <w:szCs w:val="19"/>
          <w:u w:val="single" w:color="auto"/>
          <w:color w:val="auto"/>
        </w:rPr>
        <w:t>Date</w:t>
      </w:r>
    </w:p>
    <w:p>
      <w:pPr>
        <w:spacing w:after="0" w:line="56" w:lineRule="exact"/>
        <w:rPr>
          <w:sz w:val="20"/>
          <w:szCs w:val="20"/>
          <w:color w:val="auto"/>
        </w:rPr>
      </w:pPr>
    </w:p>
    <w:p>
      <w:pPr>
        <w:spacing w:after="0"/>
        <w:rPr>
          <w:sz w:val="20"/>
          <w:szCs w:val="20"/>
          <w:color w:val="auto"/>
        </w:rPr>
      </w:pPr>
      <w:r>
        <w:rPr>
          <w:rFonts w:ascii="Arial" w:cs="Arial" w:eastAsia="Arial" w:hAnsi="Arial"/>
          <w:sz w:val="19"/>
          <w:szCs w:val="19"/>
          <w:u w:val="single" w:color="auto"/>
          <w:color w:val="auto"/>
        </w:rPr>
        <w:t>of Grant</w:t>
      </w:r>
      <w:r>
        <w:rPr>
          <w:rFonts w:ascii="Arial" w:cs="Arial" w:eastAsia="Arial" w:hAnsi="Arial"/>
          <w:sz w:val="19"/>
          <w:szCs w:val="19"/>
          <w:color w:val="auto"/>
        </w:rPr>
        <w:t>”), by and between AGNC Investment Corp., a Delaware corporation (the “</w:t>
      </w:r>
      <w:r>
        <w:rPr>
          <w:rFonts w:ascii="Arial" w:cs="Arial" w:eastAsia="Arial" w:hAnsi="Arial"/>
          <w:sz w:val="19"/>
          <w:szCs w:val="19"/>
          <w:u w:val="single" w:color="auto"/>
          <w:color w:val="auto"/>
        </w:rPr>
        <w:t>Company</w:t>
      </w:r>
      <w:r>
        <w:rPr>
          <w:rFonts w:ascii="Arial" w:cs="Arial" w:eastAsia="Arial" w:hAnsi="Arial"/>
          <w:sz w:val="19"/>
          <w:szCs w:val="19"/>
          <w:color w:val="auto"/>
        </w:rPr>
        <w:t>”), and __________ (“</w:t>
      </w:r>
      <w:r>
        <w:rPr>
          <w:rFonts w:ascii="Arial" w:cs="Arial" w:eastAsia="Arial" w:hAnsi="Arial"/>
          <w:sz w:val="19"/>
          <w:szCs w:val="19"/>
          <w:u w:val="single" w:color="auto"/>
          <w:color w:val="auto"/>
        </w:rPr>
        <w:t>Grantee</w:t>
      </w:r>
      <w:r>
        <w:rPr>
          <w:rFonts w:ascii="Arial" w:cs="Arial" w:eastAsia="Arial" w:hAnsi="Arial"/>
          <w:sz w:val="19"/>
          <w:szCs w:val="19"/>
          <w:color w:val="auto"/>
        </w:rPr>
        <w:t>”).</w:t>
      </w:r>
    </w:p>
    <w:p>
      <w:pPr>
        <w:spacing w:after="0" w:line="230" w:lineRule="exact"/>
        <w:rPr>
          <w:sz w:val="20"/>
          <w:szCs w:val="20"/>
          <w:color w:val="auto"/>
        </w:rPr>
      </w:pPr>
    </w:p>
    <w:p>
      <w:pPr>
        <w:ind w:left="660" w:right="140" w:hanging="328"/>
        <w:spacing w:after="0" w:line="254" w:lineRule="auto"/>
        <w:tabs>
          <w:tab w:leader="none" w:pos="660" w:val="left"/>
        </w:tabs>
        <w:numPr>
          <w:ilvl w:val="1"/>
          <w:numId w:val="40"/>
        </w:numPr>
        <w:rPr>
          <w:rFonts w:ascii="Arial" w:cs="Arial" w:eastAsia="Arial" w:hAnsi="Arial"/>
          <w:sz w:val="18"/>
          <w:szCs w:val="18"/>
          <w:color w:val="auto"/>
        </w:rPr>
      </w:pPr>
      <w:r>
        <w:rPr>
          <w:rFonts w:ascii="Arial" w:cs="Arial" w:eastAsia="Arial" w:hAnsi="Arial"/>
          <w:sz w:val="22"/>
          <w:szCs w:val="22"/>
          <w:b w:val="1"/>
          <w:bCs w:val="1"/>
          <w:color w:val="auto"/>
        </w:rPr>
        <w:t>Certain Definitions</w:t>
      </w:r>
      <w:r>
        <w:rPr>
          <w:rFonts w:ascii="Arial" w:cs="Arial" w:eastAsia="Arial" w:hAnsi="Arial"/>
          <w:sz w:val="22"/>
          <w:szCs w:val="22"/>
          <w:color w:val="auto"/>
        </w:rPr>
        <w:t>. Capitalized terms used, but not otherwise defined, in this Agreement will have the meanings given to</w:t>
      </w:r>
      <w:r>
        <w:rPr>
          <w:rFonts w:ascii="Arial" w:cs="Arial" w:eastAsia="Arial" w:hAnsi="Arial"/>
          <w:sz w:val="22"/>
          <w:szCs w:val="22"/>
          <w:b w:val="1"/>
          <w:bCs w:val="1"/>
          <w:color w:val="auto"/>
        </w:rPr>
        <w:t xml:space="preserve"> </w:t>
      </w:r>
      <w:r>
        <w:rPr>
          <w:rFonts w:ascii="Arial" w:cs="Arial" w:eastAsia="Arial" w:hAnsi="Arial"/>
          <w:sz w:val="22"/>
          <w:szCs w:val="22"/>
          <w:color w:val="auto"/>
        </w:rPr>
        <w:t>such terms in the Company’s 2016 Equity and Incentive Compensation Plan (the “</w:t>
      </w:r>
      <w:r>
        <w:rPr>
          <w:rFonts w:ascii="Arial" w:cs="Arial" w:eastAsia="Arial" w:hAnsi="Arial"/>
          <w:sz w:val="22"/>
          <w:szCs w:val="22"/>
          <w:u w:val="single" w:color="auto"/>
          <w:color w:val="auto"/>
        </w:rPr>
        <w:t>Plan</w:t>
      </w:r>
      <w:r>
        <w:rPr>
          <w:rFonts w:ascii="Arial" w:cs="Arial" w:eastAsia="Arial" w:hAnsi="Arial"/>
          <w:sz w:val="22"/>
          <w:szCs w:val="22"/>
          <w:color w:val="auto"/>
        </w:rPr>
        <w:t>”).</w:t>
      </w:r>
    </w:p>
    <w:p>
      <w:pPr>
        <w:spacing w:after="0" w:line="1" w:lineRule="exact"/>
        <w:rPr>
          <w:rFonts w:ascii="Arial" w:cs="Arial" w:eastAsia="Arial" w:hAnsi="Arial"/>
          <w:sz w:val="18"/>
          <w:szCs w:val="18"/>
          <w:color w:val="auto"/>
        </w:rPr>
      </w:pPr>
    </w:p>
    <w:p>
      <w:pPr>
        <w:ind w:right="100" w:firstLine="8"/>
        <w:spacing w:after="0" w:line="259" w:lineRule="auto"/>
        <w:tabs>
          <w:tab w:leader="none" w:pos="783" w:val="left"/>
        </w:tabs>
        <w:numPr>
          <w:ilvl w:val="0"/>
          <w:numId w:val="41"/>
        </w:numPr>
        <w:rPr>
          <w:rFonts w:ascii="Arial" w:cs="Arial" w:eastAsia="Arial" w:hAnsi="Arial"/>
          <w:sz w:val="17"/>
          <w:szCs w:val="17"/>
          <w:color w:val="auto"/>
        </w:rPr>
      </w:pPr>
      <w:r>
        <w:rPr>
          <w:rFonts w:ascii="Arial" w:cs="Arial" w:eastAsia="Arial" w:hAnsi="Arial"/>
          <w:sz w:val="21"/>
          <w:szCs w:val="21"/>
          <w:b w:val="1"/>
          <w:bCs w:val="1"/>
          <w:color w:val="auto"/>
        </w:rPr>
        <w:t>Grant of RSUs</w:t>
      </w:r>
      <w:r>
        <w:rPr>
          <w:rFonts w:ascii="Arial" w:cs="Arial" w:eastAsia="Arial" w:hAnsi="Arial"/>
          <w:sz w:val="21"/>
          <w:szCs w:val="21"/>
          <w:color w:val="auto"/>
        </w:rPr>
        <w:t>. Subject to and upon the terms, conditions and restrictions set forth in this Agreement and in the Plan, the</w:t>
      </w:r>
      <w:r>
        <w:rPr>
          <w:rFonts w:ascii="Arial" w:cs="Arial" w:eastAsia="Arial" w:hAnsi="Arial"/>
          <w:sz w:val="21"/>
          <w:szCs w:val="21"/>
          <w:b w:val="1"/>
          <w:bCs w:val="1"/>
          <w:color w:val="auto"/>
        </w:rPr>
        <w:t xml:space="preserve"> </w:t>
      </w:r>
      <w:r>
        <w:rPr>
          <w:rFonts w:ascii="Arial" w:cs="Arial" w:eastAsia="Arial" w:hAnsi="Arial"/>
          <w:sz w:val="21"/>
          <w:szCs w:val="21"/>
          <w:color w:val="auto"/>
        </w:rPr>
        <w:t>Company hereby grants to Grantee _____ Restricted Stock Units (the “</w:t>
      </w:r>
      <w:r>
        <w:rPr>
          <w:rFonts w:ascii="Arial" w:cs="Arial" w:eastAsia="Arial" w:hAnsi="Arial"/>
          <w:sz w:val="21"/>
          <w:szCs w:val="21"/>
          <w:u w:val="single" w:color="auto"/>
          <w:color w:val="auto"/>
        </w:rPr>
        <w:t>RSUs</w:t>
      </w:r>
      <w:r>
        <w:rPr>
          <w:rFonts w:ascii="Arial" w:cs="Arial" w:eastAsia="Arial" w:hAnsi="Arial"/>
          <w:sz w:val="21"/>
          <w:szCs w:val="21"/>
          <w:color w:val="auto"/>
        </w:rPr>
        <w:t>”). Each RSU shall represent the right of Grantee to receive one share of Common Stock subject to and upon the terms and conditions of this Agreement.</w:t>
      </w:r>
    </w:p>
    <w:p>
      <w:pPr>
        <w:spacing w:after="0" w:line="1" w:lineRule="exact"/>
        <w:rPr>
          <w:rFonts w:ascii="Arial" w:cs="Arial" w:eastAsia="Arial" w:hAnsi="Arial"/>
          <w:sz w:val="17"/>
          <w:szCs w:val="17"/>
          <w:color w:val="auto"/>
        </w:rPr>
      </w:pPr>
    </w:p>
    <w:p>
      <w:pPr>
        <w:ind w:right="120" w:firstLine="8"/>
        <w:spacing w:after="0" w:line="247" w:lineRule="auto"/>
        <w:tabs>
          <w:tab w:leader="none" w:pos="783" w:val="left"/>
        </w:tabs>
        <w:numPr>
          <w:ilvl w:val="0"/>
          <w:numId w:val="41"/>
        </w:numPr>
        <w:rPr>
          <w:rFonts w:ascii="Arial" w:cs="Arial" w:eastAsia="Arial" w:hAnsi="Arial"/>
          <w:sz w:val="18"/>
          <w:szCs w:val="18"/>
          <w:color w:val="auto"/>
        </w:rPr>
      </w:pPr>
      <w:r>
        <w:rPr>
          <w:rFonts w:ascii="Arial" w:cs="Arial" w:eastAsia="Arial" w:hAnsi="Arial"/>
          <w:sz w:val="22"/>
          <w:szCs w:val="22"/>
          <w:b w:val="1"/>
          <w:bCs w:val="1"/>
          <w:color w:val="auto"/>
        </w:rPr>
        <w:t>Restrictions on Transfer of RSUs</w:t>
      </w:r>
      <w:r>
        <w:rPr>
          <w:rFonts w:ascii="Arial" w:cs="Arial" w:eastAsia="Arial" w:hAnsi="Arial"/>
          <w:sz w:val="22"/>
          <w:szCs w:val="22"/>
          <w:color w:val="auto"/>
        </w:rPr>
        <w:t>. Neither the RSUs evidenced hereby nor any interest therein or in the shares of</w:t>
      </w:r>
      <w:r>
        <w:rPr>
          <w:rFonts w:ascii="Arial" w:cs="Arial" w:eastAsia="Arial" w:hAnsi="Arial"/>
          <w:sz w:val="22"/>
          <w:szCs w:val="22"/>
          <w:b w:val="1"/>
          <w:bCs w:val="1"/>
          <w:color w:val="auto"/>
        </w:rPr>
        <w:t xml:space="preserve"> </w:t>
      </w:r>
      <w:r>
        <w:rPr>
          <w:rFonts w:ascii="Arial" w:cs="Arial" w:eastAsia="Arial" w:hAnsi="Arial"/>
          <w:sz w:val="22"/>
          <w:szCs w:val="22"/>
          <w:color w:val="auto"/>
        </w:rPr>
        <w:t>Common Stock underlying such RSUs shall be transferable prior to payment to Grantee pursuant to Section 7 hereof, other than as described in Section 15 of the Plan.</w:t>
      </w:r>
    </w:p>
    <w:p>
      <w:pPr>
        <w:spacing w:after="0" w:line="2" w:lineRule="exact"/>
        <w:rPr>
          <w:rFonts w:ascii="Arial" w:cs="Arial" w:eastAsia="Arial" w:hAnsi="Arial"/>
          <w:sz w:val="18"/>
          <w:szCs w:val="18"/>
          <w:color w:val="auto"/>
        </w:rPr>
      </w:pPr>
    </w:p>
    <w:p>
      <w:pPr>
        <w:jc w:val="both"/>
        <w:ind w:right="160" w:firstLine="8"/>
        <w:spacing w:after="0" w:line="246" w:lineRule="auto"/>
        <w:tabs>
          <w:tab w:leader="none" w:pos="783" w:val="left"/>
        </w:tabs>
        <w:numPr>
          <w:ilvl w:val="0"/>
          <w:numId w:val="41"/>
        </w:numPr>
        <w:rPr>
          <w:rFonts w:ascii="Arial" w:cs="Arial" w:eastAsia="Arial" w:hAnsi="Arial"/>
          <w:sz w:val="18"/>
          <w:szCs w:val="18"/>
          <w:color w:val="auto"/>
        </w:rPr>
      </w:pPr>
      <w:r>
        <w:rPr>
          <w:rFonts w:ascii="Arial" w:cs="Arial" w:eastAsia="Arial" w:hAnsi="Arial"/>
          <w:sz w:val="22"/>
          <w:szCs w:val="22"/>
          <w:b w:val="1"/>
          <w:bCs w:val="1"/>
          <w:color w:val="auto"/>
        </w:rPr>
        <w:t>Vesting</w:t>
      </w:r>
      <w:r>
        <w:rPr>
          <w:rFonts w:ascii="Arial" w:cs="Arial" w:eastAsia="Arial" w:hAnsi="Arial"/>
          <w:sz w:val="22"/>
          <w:szCs w:val="22"/>
          <w:color w:val="auto"/>
        </w:rPr>
        <w:t>. The RSUs covered by this Agreement shall become nonforfeitable and payable to Grantee pursuant to Section 7</w:t>
      </w:r>
      <w:r>
        <w:rPr>
          <w:rFonts w:ascii="Arial" w:cs="Arial" w:eastAsia="Arial" w:hAnsi="Arial"/>
          <w:sz w:val="22"/>
          <w:szCs w:val="22"/>
          <w:b w:val="1"/>
          <w:bCs w:val="1"/>
          <w:color w:val="auto"/>
        </w:rPr>
        <w:t xml:space="preserve"> </w:t>
      </w:r>
      <w:r>
        <w:rPr>
          <w:rFonts w:ascii="Arial" w:cs="Arial" w:eastAsia="Arial" w:hAnsi="Arial"/>
          <w:sz w:val="22"/>
          <w:szCs w:val="22"/>
          <w:color w:val="auto"/>
        </w:rPr>
        <w:t>hereof on the date that is the earlier of (i) 12 months following the Date of Grant or (ii) the next annual meeting of the Company’s stockholders, in each case only if Grantee remains in continuous service with the Company or any of its Subsidiaries (or any of their successors) as of each such date.</w:t>
      </w:r>
    </w:p>
    <w:p>
      <w:pPr>
        <w:spacing w:after="0" w:line="2" w:lineRule="exact"/>
        <w:rPr>
          <w:rFonts w:ascii="Arial" w:cs="Arial" w:eastAsia="Arial" w:hAnsi="Arial"/>
          <w:sz w:val="18"/>
          <w:szCs w:val="18"/>
          <w:color w:val="auto"/>
        </w:rPr>
      </w:pPr>
    </w:p>
    <w:p>
      <w:pPr>
        <w:ind w:right="80" w:firstLine="8"/>
        <w:spacing w:after="0" w:line="284" w:lineRule="auto"/>
        <w:tabs>
          <w:tab w:leader="none" w:pos="783" w:val="left"/>
        </w:tabs>
        <w:numPr>
          <w:ilvl w:val="0"/>
          <w:numId w:val="41"/>
        </w:numPr>
        <w:rPr>
          <w:rFonts w:ascii="Arial" w:cs="Arial" w:eastAsia="Arial" w:hAnsi="Arial"/>
          <w:sz w:val="16"/>
          <w:szCs w:val="16"/>
          <w:color w:val="auto"/>
        </w:rPr>
      </w:pPr>
      <w:r>
        <w:rPr>
          <w:rFonts w:ascii="Arial" w:cs="Arial" w:eastAsia="Arial" w:hAnsi="Arial"/>
          <w:sz w:val="19"/>
          <w:szCs w:val="19"/>
          <w:b w:val="1"/>
          <w:bCs w:val="1"/>
          <w:color w:val="auto"/>
        </w:rPr>
        <w:t>Accelerated Vesting</w:t>
      </w:r>
      <w:r>
        <w:rPr>
          <w:rFonts w:ascii="Arial" w:cs="Arial" w:eastAsia="Arial" w:hAnsi="Arial"/>
          <w:sz w:val="19"/>
          <w:szCs w:val="19"/>
          <w:color w:val="auto"/>
        </w:rPr>
        <w:t>. Notwithstanding the provisions of Section 4 hereof, all of the RSUs covered by this Agreement that</w:t>
      </w:r>
      <w:r>
        <w:rPr>
          <w:rFonts w:ascii="Arial" w:cs="Arial" w:eastAsia="Arial" w:hAnsi="Arial"/>
          <w:sz w:val="19"/>
          <w:szCs w:val="19"/>
          <w:b w:val="1"/>
          <w:bCs w:val="1"/>
          <w:color w:val="auto"/>
        </w:rPr>
        <w:t xml:space="preserve"> </w:t>
      </w:r>
      <w:r>
        <w:rPr>
          <w:rFonts w:ascii="Arial" w:cs="Arial" w:eastAsia="Arial" w:hAnsi="Arial"/>
          <w:sz w:val="19"/>
          <w:szCs w:val="19"/>
          <w:color w:val="auto"/>
        </w:rPr>
        <w:t>have not already vested and become nonforfeitable pursuant to Section 4 hereof will become nonforfeitable and payable to Grantee pursuant to Section 7 hereof earlier than the time provided in Section 4 hereof upon the occurrence of a Change of Control, but only if such event also constitutes a “change in the ownership,” “change in effective control” and/or a “change in the ownership of a substantial portion of assets” of the Company, as those terms are defined under Treasury Regulations Section 1.409A-3(i)(5).</w:t>
      </w:r>
    </w:p>
    <w:p>
      <w:pPr>
        <w:spacing w:after="0" w:line="3" w:lineRule="exact"/>
        <w:rPr>
          <w:rFonts w:ascii="Arial" w:cs="Arial" w:eastAsia="Arial" w:hAnsi="Arial"/>
          <w:sz w:val="16"/>
          <w:szCs w:val="16"/>
          <w:color w:val="auto"/>
        </w:rPr>
      </w:pPr>
    </w:p>
    <w:p>
      <w:pPr>
        <w:ind w:firstLine="8"/>
        <w:spacing w:after="0" w:line="286" w:lineRule="auto"/>
        <w:tabs>
          <w:tab w:leader="none" w:pos="783" w:val="left"/>
        </w:tabs>
        <w:numPr>
          <w:ilvl w:val="0"/>
          <w:numId w:val="41"/>
        </w:numPr>
        <w:rPr>
          <w:rFonts w:ascii="Arial" w:cs="Arial" w:eastAsia="Arial" w:hAnsi="Arial"/>
          <w:sz w:val="16"/>
          <w:szCs w:val="16"/>
          <w:color w:val="auto"/>
        </w:rPr>
      </w:pPr>
      <w:r>
        <w:rPr>
          <w:rFonts w:ascii="Arial" w:cs="Arial" w:eastAsia="Arial" w:hAnsi="Arial"/>
          <w:sz w:val="19"/>
          <w:szCs w:val="19"/>
          <w:b w:val="1"/>
          <w:bCs w:val="1"/>
          <w:color w:val="auto"/>
        </w:rPr>
        <w:t>Forfeiture</w:t>
      </w:r>
      <w:r>
        <w:rPr>
          <w:rFonts w:ascii="Arial" w:cs="Arial" w:eastAsia="Arial" w:hAnsi="Arial"/>
          <w:sz w:val="19"/>
          <w:szCs w:val="19"/>
          <w:color w:val="auto"/>
        </w:rPr>
        <w:t>. Except to the extent the RSUs covered by this Agreement have become nonforfeitable pursuant to Section 4 or</w:t>
      </w:r>
      <w:r>
        <w:rPr>
          <w:rFonts w:ascii="Arial" w:cs="Arial" w:eastAsia="Arial" w:hAnsi="Arial"/>
          <w:sz w:val="19"/>
          <w:szCs w:val="19"/>
          <w:b w:val="1"/>
          <w:bCs w:val="1"/>
          <w:color w:val="auto"/>
        </w:rPr>
        <w:t xml:space="preserve"> </w:t>
      </w:r>
      <w:r>
        <w:rPr>
          <w:rFonts w:ascii="Arial" w:cs="Arial" w:eastAsia="Arial" w:hAnsi="Arial"/>
          <w:sz w:val="19"/>
          <w:szCs w:val="19"/>
          <w:color w:val="auto"/>
        </w:rPr>
        <w:t>Section 5 hereof, the RSUs covered by this Agreement shall be forfeited automatically and without further notice, and shall no longer be considered covered by this Agreement, on the date of Grantee’s termination of continuous service.</w:t>
      </w:r>
    </w:p>
    <w:p>
      <w:pPr>
        <w:spacing w:after="0" w:line="2" w:lineRule="exact"/>
        <w:rPr>
          <w:rFonts w:ascii="Arial" w:cs="Arial" w:eastAsia="Arial" w:hAnsi="Arial"/>
          <w:sz w:val="16"/>
          <w:szCs w:val="16"/>
          <w:color w:val="auto"/>
        </w:rPr>
      </w:pPr>
    </w:p>
    <w:p>
      <w:pPr>
        <w:ind w:left="800" w:hanging="792"/>
        <w:spacing w:after="0"/>
        <w:tabs>
          <w:tab w:leader="none" w:pos="800" w:val="left"/>
        </w:tabs>
        <w:numPr>
          <w:ilvl w:val="0"/>
          <w:numId w:val="41"/>
        </w:numPr>
        <w:rPr>
          <w:rFonts w:ascii="Arial" w:cs="Arial" w:eastAsia="Arial" w:hAnsi="Arial"/>
          <w:sz w:val="18"/>
          <w:szCs w:val="18"/>
          <w:color w:val="auto"/>
        </w:rPr>
      </w:pPr>
      <w:r>
        <w:rPr>
          <w:rFonts w:ascii="Arial" w:cs="Arial" w:eastAsia="Arial" w:hAnsi="Arial"/>
          <w:sz w:val="22"/>
          <w:szCs w:val="22"/>
          <w:b w:val="1"/>
          <w:bCs w:val="1"/>
          <w:color w:val="auto"/>
        </w:rPr>
        <w:t>Form and Time of Payment of RSUs</w:t>
      </w:r>
      <w:r>
        <w:rPr>
          <w:rFonts w:ascii="Arial" w:cs="Arial" w:eastAsia="Arial" w:hAnsi="Arial"/>
          <w:sz w:val="22"/>
          <w:szCs w:val="22"/>
          <w:color w:val="auto"/>
        </w:rPr>
        <w:t>.</w:t>
      </w:r>
    </w:p>
    <w:p>
      <w:pPr>
        <w:spacing w:after="0" w:line="3" w:lineRule="exact"/>
        <w:rPr>
          <w:rFonts w:ascii="Arial" w:cs="Arial" w:eastAsia="Arial" w:hAnsi="Arial"/>
          <w:sz w:val="18"/>
          <w:szCs w:val="18"/>
          <w:color w:val="auto"/>
        </w:rPr>
      </w:pPr>
    </w:p>
    <w:p>
      <w:pPr>
        <w:ind w:right="40" w:firstLine="656"/>
        <w:spacing w:after="0" w:line="286" w:lineRule="auto"/>
        <w:tabs>
          <w:tab w:leader="none" w:pos="1496" w:val="left"/>
        </w:tabs>
        <w:numPr>
          <w:ilvl w:val="2"/>
          <w:numId w:val="41"/>
        </w:numPr>
        <w:rPr>
          <w:rFonts w:ascii="Arial" w:cs="Arial" w:eastAsia="Arial" w:hAnsi="Arial"/>
          <w:sz w:val="16"/>
          <w:szCs w:val="16"/>
          <w:color w:val="auto"/>
        </w:rPr>
      </w:pPr>
      <w:r>
        <w:rPr>
          <w:rFonts w:ascii="Arial" w:cs="Arial" w:eastAsia="Arial" w:hAnsi="Arial"/>
          <w:sz w:val="19"/>
          <w:szCs w:val="19"/>
          <w:u w:val="single" w:color="auto"/>
          <w:color w:val="auto"/>
        </w:rPr>
        <w:t>Form</w:t>
      </w:r>
      <w:r>
        <w:rPr>
          <w:rFonts w:ascii="Arial" w:cs="Arial" w:eastAsia="Arial" w:hAnsi="Arial"/>
          <w:sz w:val="19"/>
          <w:szCs w:val="19"/>
          <w:color w:val="auto"/>
        </w:rPr>
        <w:t>. Payment in respect of the RSUs, after and to the extent they have become nonforfeitable pursuant to Section 4 or Section 5 hereof, shall be made in the form of shares of Common Stock. Payment shall only be made in whole shares of Common Stock; any fractional shares shall be paid to Grantee in cash. The Company’s obligations to Grantee with respect to the RSUs will be satisfied in full upon the issuance of the shares of Common Stock (or, with respect to fractional shares, upon the payment in cash) corresponding to such RSUs. Grantee agrees that he or she will cooperate with the Company to facilitate payment of the RSUs, which cooperation may include being required to maintain a brokerage account with the Plan’s recordkeeper.</w:t>
      </w:r>
    </w:p>
    <w:p>
      <w:pPr>
        <w:spacing w:after="0" w:line="4" w:lineRule="exact"/>
        <w:rPr>
          <w:rFonts w:ascii="Arial" w:cs="Arial" w:eastAsia="Arial" w:hAnsi="Arial"/>
          <w:sz w:val="16"/>
          <w:szCs w:val="16"/>
          <w:color w:val="auto"/>
        </w:rPr>
      </w:pPr>
    </w:p>
    <w:p>
      <w:pPr>
        <w:ind w:left="1300" w:hanging="644"/>
        <w:spacing w:after="0"/>
        <w:tabs>
          <w:tab w:leader="none" w:pos="1300" w:val="left"/>
        </w:tabs>
        <w:numPr>
          <w:ilvl w:val="2"/>
          <w:numId w:val="41"/>
        </w:numPr>
        <w:rPr>
          <w:rFonts w:ascii="Arial" w:cs="Arial" w:eastAsia="Arial" w:hAnsi="Arial"/>
          <w:sz w:val="18"/>
          <w:szCs w:val="18"/>
          <w:color w:val="auto"/>
        </w:rPr>
      </w:pPr>
      <w:r>
        <w:rPr>
          <w:rFonts w:ascii="Arial" w:cs="Arial" w:eastAsia="Arial" w:hAnsi="Arial"/>
          <w:sz w:val="22"/>
          <w:szCs w:val="22"/>
          <w:u w:val="single" w:color="auto"/>
          <w:color w:val="auto"/>
        </w:rPr>
        <w:t>Timing</w:t>
      </w:r>
      <w:r>
        <w:rPr>
          <w:rFonts w:ascii="Arial" w:cs="Arial" w:eastAsia="Arial" w:hAnsi="Arial"/>
          <w:sz w:val="22"/>
          <w:szCs w:val="22"/>
          <w:color w:val="auto"/>
        </w:rPr>
        <w:t>.</w:t>
      </w:r>
    </w:p>
    <w:p>
      <w:pPr>
        <w:spacing w:after="0" w:line="3" w:lineRule="exact"/>
        <w:rPr>
          <w:rFonts w:ascii="Arial" w:cs="Arial" w:eastAsia="Arial" w:hAnsi="Arial"/>
          <w:sz w:val="18"/>
          <w:szCs w:val="18"/>
          <w:color w:val="auto"/>
        </w:rPr>
      </w:pPr>
    </w:p>
    <w:p>
      <w:pPr>
        <w:ind w:left="660" w:right="100" w:firstLine="645"/>
        <w:spacing w:after="0" w:line="259" w:lineRule="auto"/>
        <w:tabs>
          <w:tab w:leader="none" w:pos="2126" w:val="left"/>
        </w:tabs>
        <w:numPr>
          <w:ilvl w:val="3"/>
          <w:numId w:val="41"/>
        </w:numPr>
        <w:rPr>
          <w:rFonts w:ascii="Arial" w:cs="Arial" w:eastAsia="Arial" w:hAnsi="Arial"/>
          <w:sz w:val="18"/>
          <w:szCs w:val="18"/>
          <w:color w:val="auto"/>
        </w:rPr>
      </w:pPr>
      <w:r>
        <w:rPr>
          <w:rFonts w:ascii="Arial" w:cs="Arial" w:eastAsia="Arial" w:hAnsi="Arial"/>
          <w:sz w:val="22"/>
          <w:szCs w:val="22"/>
          <w:color w:val="auto"/>
        </w:rPr>
        <w:t>RSUs that become nonforfeitable pursuant to Section 4 hereof shall be paid within ten (10) days following the date on which such RSUs become nonforfeitable.</w:t>
      </w:r>
    </w:p>
    <w:p>
      <w:pPr>
        <w:sectPr>
          <w:pgSz w:w="11900" w:h="16838" w:orient="portrait"/>
          <w:cols w:equalWidth="0" w:num="1">
            <w:col w:w="11420"/>
          </w:cols>
          <w:pgMar w:left="240" w:top="591" w:right="239" w:bottom="1440" w:gutter="0" w:footer="0" w:header="0"/>
        </w:sectPr>
      </w:pPr>
    </w:p>
    <w:bookmarkStart w:id="50" w:name="page51"/>
    <w:bookmarkEnd w:id="50"/>
    <w:p>
      <w:pPr>
        <w:ind w:left="2180" w:hanging="875"/>
        <w:spacing w:after="0"/>
        <w:tabs>
          <w:tab w:leader="none" w:pos="2180" w:val="left"/>
        </w:tabs>
        <w:numPr>
          <w:ilvl w:val="0"/>
          <w:numId w:val="42"/>
        </w:numPr>
        <w:rPr>
          <w:rFonts w:ascii="Arial" w:cs="Arial" w:eastAsia="Arial" w:hAnsi="Arial"/>
          <w:sz w:val="16"/>
          <w:szCs w:val="16"/>
          <w:color w:val="auto"/>
        </w:rPr>
      </w:pPr>
      <w:r>
        <w:rPr>
          <w:rFonts w:ascii="Arial" w:cs="Arial" w:eastAsia="Arial" w:hAnsi="Arial"/>
          <w:sz w:val="19"/>
          <w:szCs w:val="19"/>
          <w:color w:val="auto"/>
        </w:rPr>
        <w:t>RSUs that become nonforfeitable pursuant to Section 5 hereof shall be paid on the date of such Change of</w:t>
      </w:r>
    </w:p>
    <w:p>
      <w:pPr>
        <w:spacing w:after="0" w:line="5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22"/>
          <w:szCs w:val="22"/>
          <w:color w:val="auto"/>
        </w:rPr>
        <w:t>Control.</w:t>
      </w:r>
    </w:p>
    <w:p>
      <w:pPr>
        <w:spacing w:after="0" w:line="17"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9"/>
          <w:szCs w:val="19"/>
          <w:color w:val="auto"/>
        </w:rPr>
        <w:t>Notwithstanding the foregoing, if Grantee made a permitted deferral election with respect to any RSUs covered by this</w:t>
      </w:r>
    </w:p>
    <w:p>
      <w:pPr>
        <w:spacing w:after="0" w:line="38" w:lineRule="exact"/>
        <w:rPr>
          <w:sz w:val="20"/>
          <w:szCs w:val="20"/>
          <w:color w:val="auto"/>
        </w:rPr>
      </w:pPr>
    </w:p>
    <w:p>
      <w:pPr>
        <w:ind w:right="60"/>
        <w:spacing w:after="0" w:line="262" w:lineRule="auto"/>
        <w:rPr>
          <w:sz w:val="20"/>
          <w:szCs w:val="20"/>
          <w:color w:val="auto"/>
        </w:rPr>
      </w:pPr>
      <w:r>
        <w:rPr>
          <w:rFonts w:ascii="Arial" w:cs="Arial" w:eastAsia="Arial" w:hAnsi="Arial"/>
          <w:sz w:val="21"/>
          <w:szCs w:val="21"/>
          <w:color w:val="auto"/>
        </w:rPr>
        <w:t xml:space="preserve">Agreement on or before December 31, 20__, such RSUs shall be paid at the time set forth in such deferral election. </w:t>
      </w:r>
      <w:r>
        <w:rPr>
          <w:rFonts w:ascii="Arial" w:cs="Arial" w:eastAsia="Arial" w:hAnsi="Arial"/>
          <w:sz w:val="21"/>
          <w:szCs w:val="21"/>
          <w:b w:val="1"/>
          <w:bCs w:val="1"/>
          <w:color w:val="auto"/>
        </w:rPr>
        <w:t>If Grantee did</w:t>
      </w:r>
      <w:r>
        <w:rPr>
          <w:rFonts w:ascii="Arial" w:cs="Arial" w:eastAsia="Arial" w:hAnsi="Arial"/>
          <w:sz w:val="21"/>
          <w:szCs w:val="21"/>
          <w:color w:val="auto"/>
        </w:rPr>
        <w:t xml:space="preserve"> </w:t>
      </w:r>
      <w:r>
        <w:rPr>
          <w:rFonts w:ascii="Arial" w:cs="Arial" w:eastAsia="Arial" w:hAnsi="Arial"/>
          <w:sz w:val="21"/>
          <w:szCs w:val="21"/>
          <w:b w:val="1"/>
          <w:bCs w:val="1"/>
          <w:color w:val="auto"/>
        </w:rPr>
        <w:t>not make a valid deferral election on or before December 31, 20__ ], he or she will be deemed to have elected not to defer payment of any RSUs. Under applicable tax rules, late deferral elections are not permitted.</w:t>
      </w:r>
    </w:p>
    <w:p>
      <w:pPr>
        <w:spacing w:after="0" w:line="171" w:lineRule="exact"/>
        <w:rPr>
          <w:sz w:val="20"/>
          <w:szCs w:val="20"/>
          <w:color w:val="auto"/>
        </w:rPr>
      </w:pPr>
    </w:p>
    <w:p>
      <w:pPr>
        <w:ind w:left="660" w:hanging="328"/>
        <w:spacing w:after="0"/>
        <w:tabs>
          <w:tab w:leader="none" w:pos="660" w:val="left"/>
        </w:tabs>
        <w:numPr>
          <w:ilvl w:val="1"/>
          <w:numId w:val="43"/>
        </w:numPr>
        <w:rPr>
          <w:rFonts w:ascii="Arial" w:cs="Arial" w:eastAsia="Arial" w:hAnsi="Arial"/>
          <w:sz w:val="18"/>
          <w:szCs w:val="18"/>
          <w:color w:val="auto"/>
        </w:rPr>
      </w:pPr>
      <w:r>
        <w:rPr>
          <w:rFonts w:ascii="Arial" w:cs="Arial" w:eastAsia="Arial" w:hAnsi="Arial"/>
          <w:sz w:val="22"/>
          <w:szCs w:val="22"/>
          <w:b w:val="1"/>
          <w:bCs w:val="1"/>
          <w:color w:val="auto"/>
        </w:rPr>
        <w:t>Dividend Equivalents; Other Rights</w:t>
      </w:r>
      <w:r>
        <w:rPr>
          <w:rFonts w:ascii="Arial" w:cs="Arial" w:eastAsia="Arial" w:hAnsi="Arial"/>
          <w:sz w:val="22"/>
          <w:szCs w:val="22"/>
          <w:color w:val="auto"/>
        </w:rPr>
        <w:t>.</w:t>
      </w:r>
    </w:p>
    <w:p>
      <w:pPr>
        <w:spacing w:after="0" w:line="27" w:lineRule="exact"/>
        <w:rPr>
          <w:rFonts w:ascii="Arial" w:cs="Arial" w:eastAsia="Arial" w:hAnsi="Arial"/>
          <w:sz w:val="18"/>
          <w:szCs w:val="18"/>
          <w:color w:val="auto"/>
        </w:rPr>
      </w:pPr>
    </w:p>
    <w:p>
      <w:pPr>
        <w:ind w:firstLine="656"/>
        <w:spacing w:after="0" w:line="283" w:lineRule="auto"/>
        <w:tabs>
          <w:tab w:leader="none" w:pos="1496" w:val="left"/>
        </w:tabs>
        <w:numPr>
          <w:ilvl w:val="2"/>
          <w:numId w:val="43"/>
        </w:numPr>
        <w:rPr>
          <w:rFonts w:ascii="Arial" w:cs="Arial" w:eastAsia="Arial" w:hAnsi="Arial"/>
          <w:sz w:val="16"/>
          <w:szCs w:val="16"/>
          <w:color w:val="auto"/>
        </w:rPr>
      </w:pPr>
      <w:r>
        <w:rPr>
          <w:rFonts w:ascii="Arial" w:cs="Arial" w:eastAsia="Arial" w:hAnsi="Arial"/>
          <w:sz w:val="19"/>
          <w:szCs w:val="19"/>
          <w:color w:val="auto"/>
        </w:rPr>
        <w:t>From and after the Date of Grant and until the earlier of (i) the time when the RSUs become nonforfeitable and are paid to Grantee in accordance with Section 7 hereof or (ii) the time when Grantee’s right to receive shares of Common Stock in payment of the RSUs is forfeited in accordance with Section 6 hereof, on the date that the Company pays a cash dividend (if any) or other cash distribution to holders of shares of Common Stock generally, Grantee shall be entitled to a number of additional RSUs determined by dividing (A) the product of (x) the dollar amount of such cash dividend or other cash distribution paid per share of Common Stock on such date and (y) the total number of RSUs (including dividend equivalents credited thereon) previously credited to Grantee pursuant to this Agreement as of such date, to the extent such RSUs have not become nonforfeitable and paid to Grantee in accordance with Section 7 hereof, by (B) the Market Value per Share on such date. Such dividend equivalents (if any) shall be subject to the same applicable terms and conditions (including vesting, forfeitability, dividend equivalents and payment) as apply to the RSUs as to which the dividend equivalents were credited.</w:t>
      </w:r>
    </w:p>
    <w:p>
      <w:pPr>
        <w:spacing w:after="0" w:line="3" w:lineRule="exact"/>
        <w:rPr>
          <w:rFonts w:ascii="Arial" w:cs="Arial" w:eastAsia="Arial" w:hAnsi="Arial"/>
          <w:sz w:val="16"/>
          <w:szCs w:val="16"/>
          <w:color w:val="auto"/>
        </w:rPr>
      </w:pPr>
    </w:p>
    <w:p>
      <w:pPr>
        <w:ind w:right="140" w:firstLine="656"/>
        <w:spacing w:after="0" w:line="247" w:lineRule="auto"/>
        <w:tabs>
          <w:tab w:leader="none" w:pos="1506" w:val="left"/>
        </w:tabs>
        <w:numPr>
          <w:ilvl w:val="2"/>
          <w:numId w:val="43"/>
        </w:numPr>
        <w:rPr>
          <w:rFonts w:ascii="Arial" w:cs="Arial" w:eastAsia="Arial" w:hAnsi="Arial"/>
          <w:sz w:val="18"/>
          <w:szCs w:val="18"/>
          <w:color w:val="auto"/>
        </w:rPr>
      </w:pPr>
      <w:r>
        <w:rPr>
          <w:rFonts w:ascii="Arial" w:cs="Arial" w:eastAsia="Arial" w:hAnsi="Arial"/>
          <w:sz w:val="22"/>
          <w:szCs w:val="22"/>
          <w:color w:val="auto"/>
        </w:rPr>
        <w:t>Grantee shall have no rights of ownership in the shares of Common Stock underlying the RSUs and no right to vote the shares of Common Stock underlying the RSUs until the date on which the shares of Common Stock underlying the RSUs are issued or transferred to Grantee pursuant to Section 7 hereof.</w:t>
      </w:r>
    </w:p>
    <w:p>
      <w:pPr>
        <w:spacing w:after="0" w:line="2" w:lineRule="exact"/>
        <w:rPr>
          <w:rFonts w:ascii="Arial" w:cs="Arial" w:eastAsia="Arial" w:hAnsi="Arial"/>
          <w:sz w:val="18"/>
          <w:szCs w:val="18"/>
          <w:color w:val="auto"/>
        </w:rPr>
      </w:pPr>
    </w:p>
    <w:p>
      <w:pPr>
        <w:jc w:val="both"/>
        <w:ind w:right="80" w:firstLine="656"/>
        <w:spacing w:after="0" w:line="246" w:lineRule="auto"/>
        <w:tabs>
          <w:tab w:leader="none" w:pos="1496" w:val="left"/>
        </w:tabs>
        <w:numPr>
          <w:ilvl w:val="2"/>
          <w:numId w:val="43"/>
        </w:numPr>
        <w:rPr>
          <w:rFonts w:ascii="Arial" w:cs="Arial" w:eastAsia="Arial" w:hAnsi="Arial"/>
          <w:sz w:val="18"/>
          <w:szCs w:val="18"/>
          <w:color w:val="auto"/>
        </w:rPr>
      </w:pPr>
      <w:r>
        <w:rPr>
          <w:rFonts w:ascii="Arial" w:cs="Arial" w:eastAsia="Arial" w:hAnsi="Arial"/>
          <w:sz w:val="22"/>
          <w:szCs w:val="22"/>
          <w:color w:val="auto"/>
        </w:rPr>
        <w:t>The obligations of the Company under this Agreement will be merely that of an unfunded and unsecured promise of the Company to deliver shares of Common Stock or pay cash in the future, and the rights of Grantee will be no greater than that of an unsecured general creditor. No assets of the Company will be held or set aside as security for the obligations of the Company under this Agreement.</w:t>
      </w:r>
    </w:p>
    <w:p>
      <w:pPr>
        <w:spacing w:after="0" w:line="2" w:lineRule="exact"/>
        <w:rPr>
          <w:rFonts w:ascii="Arial" w:cs="Arial" w:eastAsia="Arial" w:hAnsi="Arial"/>
          <w:sz w:val="18"/>
          <w:szCs w:val="18"/>
          <w:color w:val="auto"/>
        </w:rPr>
      </w:pPr>
    </w:p>
    <w:p>
      <w:pPr>
        <w:ind w:right="100" w:firstLine="8"/>
        <w:spacing w:after="0" w:line="283" w:lineRule="auto"/>
        <w:tabs>
          <w:tab w:leader="none" w:pos="783" w:val="left"/>
        </w:tabs>
        <w:numPr>
          <w:ilvl w:val="0"/>
          <w:numId w:val="44"/>
        </w:numPr>
        <w:rPr>
          <w:rFonts w:ascii="Arial" w:cs="Arial" w:eastAsia="Arial" w:hAnsi="Arial"/>
          <w:sz w:val="16"/>
          <w:szCs w:val="16"/>
          <w:color w:val="auto"/>
        </w:rPr>
      </w:pPr>
      <w:r>
        <w:rPr>
          <w:rFonts w:ascii="Arial" w:cs="Arial" w:eastAsia="Arial" w:hAnsi="Arial"/>
          <w:sz w:val="19"/>
          <w:szCs w:val="19"/>
          <w:b w:val="1"/>
          <w:bCs w:val="1"/>
          <w:color w:val="auto"/>
        </w:rPr>
        <w:t>No Right to Future Awards or Employment</w:t>
      </w:r>
      <w:r>
        <w:rPr>
          <w:rFonts w:ascii="Arial" w:cs="Arial" w:eastAsia="Arial" w:hAnsi="Arial"/>
          <w:sz w:val="19"/>
          <w:szCs w:val="19"/>
          <w:color w:val="auto"/>
        </w:rPr>
        <w:t>. The grant of the RSUs under this Agreement to Grantee is a voluntary,</w:t>
      </w:r>
      <w:r>
        <w:rPr>
          <w:rFonts w:ascii="Arial" w:cs="Arial" w:eastAsia="Arial" w:hAnsi="Arial"/>
          <w:sz w:val="19"/>
          <w:szCs w:val="19"/>
          <w:b w:val="1"/>
          <w:bCs w:val="1"/>
          <w:color w:val="auto"/>
        </w:rPr>
        <w:t xml:space="preserve"> </w:t>
      </w:r>
      <w:r>
        <w:rPr>
          <w:rFonts w:ascii="Arial" w:cs="Arial" w:eastAsia="Arial" w:hAnsi="Arial"/>
          <w:sz w:val="19"/>
          <w:szCs w:val="19"/>
          <w:color w:val="auto"/>
        </w:rPr>
        <w:t>discretionary award being made on a one-time basis and it does not constitute a commitment to make any future awards. The grant of the RSUs and any payments made hereunder will not be considered salary or other compensation for purposes of any severance pay or similar allowance, except as otherwise required by law. Nothing contained in this Agreement shall confer upon Grantee any right to remain in continuous service with the Company or any of its Subsidiaries, nor limit or affect in any manner the right of the Company or any of its Subsidiaries to terminate the continuous service or adjust the compensation of Grantee. Neither this Agreement nor any other action taken in connection herewith shall constitute or be evidence of any agreement or understanding, express or implied, that Grantee is an employee of the Company or any subsidiary of the Company.</w:t>
      </w:r>
    </w:p>
    <w:p>
      <w:pPr>
        <w:spacing w:after="0" w:line="5" w:lineRule="exact"/>
        <w:rPr>
          <w:rFonts w:ascii="Arial" w:cs="Arial" w:eastAsia="Arial" w:hAnsi="Arial"/>
          <w:sz w:val="16"/>
          <w:szCs w:val="16"/>
          <w:color w:val="auto"/>
        </w:rPr>
      </w:pPr>
    </w:p>
    <w:p>
      <w:pPr>
        <w:ind w:right="140" w:firstLine="8"/>
        <w:spacing w:after="0" w:line="261" w:lineRule="auto"/>
        <w:tabs>
          <w:tab w:leader="none" w:pos="873" w:val="left"/>
        </w:tabs>
        <w:numPr>
          <w:ilvl w:val="0"/>
          <w:numId w:val="44"/>
        </w:numPr>
        <w:rPr>
          <w:rFonts w:ascii="Arial" w:cs="Arial" w:eastAsia="Arial" w:hAnsi="Arial"/>
          <w:sz w:val="17"/>
          <w:szCs w:val="17"/>
          <w:color w:val="auto"/>
        </w:rPr>
      </w:pPr>
      <w:r>
        <w:rPr>
          <w:rFonts w:ascii="Arial" w:cs="Arial" w:eastAsia="Arial" w:hAnsi="Arial"/>
          <w:sz w:val="21"/>
          <w:szCs w:val="21"/>
          <w:b w:val="1"/>
          <w:bCs w:val="1"/>
          <w:color w:val="auto"/>
        </w:rPr>
        <w:t>Adjustments</w:t>
      </w:r>
      <w:r>
        <w:rPr>
          <w:rFonts w:ascii="Arial" w:cs="Arial" w:eastAsia="Arial" w:hAnsi="Arial"/>
          <w:sz w:val="21"/>
          <w:szCs w:val="21"/>
          <w:color w:val="auto"/>
        </w:rPr>
        <w:t>. The number of shares of Common Stock issuable for each RSU and the other terms and conditions of the</w:t>
      </w:r>
      <w:r>
        <w:rPr>
          <w:rFonts w:ascii="Arial" w:cs="Arial" w:eastAsia="Arial" w:hAnsi="Arial"/>
          <w:sz w:val="21"/>
          <w:szCs w:val="21"/>
          <w:b w:val="1"/>
          <w:bCs w:val="1"/>
          <w:color w:val="auto"/>
        </w:rPr>
        <w:t xml:space="preserve"> </w:t>
      </w:r>
      <w:r>
        <w:rPr>
          <w:rFonts w:ascii="Arial" w:cs="Arial" w:eastAsia="Arial" w:hAnsi="Arial"/>
          <w:sz w:val="21"/>
          <w:szCs w:val="21"/>
          <w:color w:val="auto"/>
        </w:rPr>
        <w:t>grant evidenced by this Agreement are subject to adjustment as provided in Section 11 of the Plan.</w:t>
      </w:r>
    </w:p>
    <w:p>
      <w:pPr>
        <w:spacing w:after="0" w:line="1" w:lineRule="exact"/>
        <w:rPr>
          <w:rFonts w:ascii="Arial" w:cs="Arial" w:eastAsia="Arial" w:hAnsi="Arial"/>
          <w:sz w:val="17"/>
          <w:szCs w:val="17"/>
          <w:color w:val="auto"/>
        </w:rPr>
      </w:pPr>
    </w:p>
    <w:p>
      <w:pPr>
        <w:ind w:right="180" w:firstLine="8"/>
        <w:spacing w:after="0" w:line="247" w:lineRule="auto"/>
        <w:tabs>
          <w:tab w:leader="none" w:pos="866" w:val="left"/>
        </w:tabs>
        <w:numPr>
          <w:ilvl w:val="0"/>
          <w:numId w:val="44"/>
        </w:numPr>
        <w:rPr>
          <w:rFonts w:ascii="Arial" w:cs="Arial" w:eastAsia="Arial" w:hAnsi="Arial"/>
          <w:sz w:val="18"/>
          <w:szCs w:val="18"/>
          <w:color w:val="auto"/>
        </w:rPr>
      </w:pPr>
      <w:r>
        <w:rPr>
          <w:rFonts w:ascii="Arial" w:cs="Arial" w:eastAsia="Arial" w:hAnsi="Arial"/>
          <w:sz w:val="22"/>
          <w:szCs w:val="22"/>
          <w:b w:val="1"/>
          <w:bCs w:val="1"/>
          <w:color w:val="auto"/>
        </w:rPr>
        <w:t>Withholding Taxes</w:t>
      </w:r>
      <w:r>
        <w:rPr>
          <w:rFonts w:ascii="Arial" w:cs="Arial" w:eastAsia="Arial" w:hAnsi="Arial"/>
          <w:sz w:val="22"/>
          <w:szCs w:val="22"/>
          <w:color w:val="auto"/>
        </w:rPr>
        <w:t>. By signing this Agreement, Grantee represents that he or she has reviewed with his or her own tax</w:t>
      </w:r>
      <w:r>
        <w:rPr>
          <w:rFonts w:ascii="Arial" w:cs="Arial" w:eastAsia="Arial" w:hAnsi="Arial"/>
          <w:sz w:val="22"/>
          <w:szCs w:val="22"/>
          <w:b w:val="1"/>
          <w:bCs w:val="1"/>
          <w:color w:val="auto"/>
        </w:rPr>
        <w:t xml:space="preserve"> </w:t>
      </w:r>
      <w:r>
        <w:rPr>
          <w:rFonts w:ascii="Arial" w:cs="Arial" w:eastAsia="Arial" w:hAnsi="Arial"/>
          <w:sz w:val="22"/>
          <w:szCs w:val="22"/>
          <w:color w:val="auto"/>
        </w:rPr>
        <w:t>advisors the federal, state, local and foreign tax consequences of the transactions contemplated by this Agreement and that he or she is relying solely on such advisors and not on any statements or representations of the Company or any of its agents. Grantee understands and agrees that he or she (and not the Company) shall be responsible for any tax liability that may arise as a result of the</w:t>
      </w:r>
    </w:p>
    <w:p>
      <w:pPr>
        <w:sectPr>
          <w:pgSz w:w="11900" w:h="16838" w:orient="portrait"/>
          <w:cols w:equalWidth="0" w:num="1">
            <w:col w:w="11400"/>
          </w:cols>
          <w:pgMar w:left="240" w:top="591" w:right="259" w:bottom="1440" w:gutter="0" w:footer="0" w:header="0"/>
        </w:sectPr>
      </w:pPr>
    </w:p>
    <w:bookmarkStart w:id="51" w:name="page52"/>
    <w:bookmarkEnd w:id="51"/>
    <w:p>
      <w:pPr>
        <w:spacing w:after="0"/>
        <w:rPr>
          <w:sz w:val="20"/>
          <w:szCs w:val="20"/>
          <w:color w:val="auto"/>
        </w:rPr>
      </w:pPr>
      <w:r>
        <w:rPr>
          <w:rFonts w:ascii="Arial" w:cs="Arial" w:eastAsia="Arial" w:hAnsi="Arial"/>
          <w:sz w:val="22"/>
          <w:szCs w:val="22"/>
          <w:color w:val="auto"/>
        </w:rPr>
        <w:t>transaction contemplated by this Agreement, to the extent Grantee does not become an employee of the Company.</w:t>
      </w:r>
    </w:p>
    <w:p>
      <w:pPr>
        <w:spacing w:after="0" w:line="22" w:lineRule="exact"/>
        <w:rPr>
          <w:sz w:val="20"/>
          <w:szCs w:val="20"/>
          <w:color w:val="auto"/>
        </w:rPr>
      </w:pPr>
    </w:p>
    <w:p>
      <w:pPr>
        <w:ind w:right="60" w:firstLine="8"/>
        <w:spacing w:after="0" w:line="246" w:lineRule="auto"/>
        <w:tabs>
          <w:tab w:leader="none" w:pos="873" w:val="left"/>
        </w:tabs>
        <w:numPr>
          <w:ilvl w:val="0"/>
          <w:numId w:val="45"/>
        </w:numPr>
        <w:rPr>
          <w:rFonts w:ascii="Arial" w:cs="Arial" w:eastAsia="Arial" w:hAnsi="Arial"/>
          <w:sz w:val="18"/>
          <w:szCs w:val="18"/>
          <w:color w:val="auto"/>
        </w:rPr>
      </w:pPr>
      <w:r>
        <w:rPr>
          <w:rFonts w:ascii="Arial" w:cs="Arial" w:eastAsia="Arial" w:hAnsi="Arial"/>
          <w:sz w:val="22"/>
          <w:szCs w:val="22"/>
          <w:b w:val="1"/>
          <w:bCs w:val="1"/>
          <w:color w:val="auto"/>
        </w:rPr>
        <w:t>Compliance With Law</w:t>
      </w:r>
      <w:r>
        <w:rPr>
          <w:rFonts w:ascii="Arial" w:cs="Arial" w:eastAsia="Arial" w:hAnsi="Arial"/>
          <w:sz w:val="22"/>
          <w:szCs w:val="22"/>
          <w:color w:val="auto"/>
        </w:rPr>
        <w:t>. The Company shall make reasonable efforts to comply with all applicable federal and state</w:t>
      </w:r>
      <w:r>
        <w:rPr>
          <w:rFonts w:ascii="Arial" w:cs="Arial" w:eastAsia="Arial" w:hAnsi="Arial"/>
          <w:sz w:val="22"/>
          <w:szCs w:val="22"/>
          <w:b w:val="1"/>
          <w:bCs w:val="1"/>
          <w:color w:val="auto"/>
        </w:rPr>
        <w:t xml:space="preserve"> </w:t>
      </w:r>
      <w:r>
        <w:rPr>
          <w:rFonts w:ascii="Arial" w:cs="Arial" w:eastAsia="Arial" w:hAnsi="Arial"/>
          <w:sz w:val="22"/>
          <w:szCs w:val="22"/>
          <w:color w:val="auto"/>
        </w:rPr>
        <w:t>securities laws; provided, however, notwithstanding any other provision of the Plan and this Agreement, the Company shall not be obligated to issue any of the shares of Common Stock pursuant to this Agreement if the issuance thereof would result in a violation of any such law.</w:t>
      </w:r>
    </w:p>
    <w:p>
      <w:pPr>
        <w:spacing w:after="0" w:line="2" w:lineRule="exact"/>
        <w:rPr>
          <w:rFonts w:ascii="Arial" w:cs="Arial" w:eastAsia="Arial" w:hAnsi="Arial"/>
          <w:sz w:val="18"/>
          <w:szCs w:val="18"/>
          <w:color w:val="auto"/>
        </w:rPr>
      </w:pPr>
    </w:p>
    <w:p>
      <w:pPr>
        <w:ind w:right="120" w:firstLine="8"/>
        <w:spacing w:after="0" w:line="285" w:lineRule="auto"/>
        <w:tabs>
          <w:tab w:leader="none" w:pos="873" w:val="left"/>
        </w:tabs>
        <w:numPr>
          <w:ilvl w:val="0"/>
          <w:numId w:val="45"/>
        </w:numPr>
        <w:rPr>
          <w:rFonts w:ascii="Arial" w:cs="Arial" w:eastAsia="Arial" w:hAnsi="Arial"/>
          <w:sz w:val="16"/>
          <w:szCs w:val="16"/>
          <w:color w:val="auto"/>
        </w:rPr>
      </w:pPr>
      <w:r>
        <w:rPr>
          <w:rFonts w:ascii="Arial" w:cs="Arial" w:eastAsia="Arial" w:hAnsi="Arial"/>
          <w:sz w:val="19"/>
          <w:szCs w:val="19"/>
          <w:b w:val="1"/>
          <w:bCs w:val="1"/>
          <w:color w:val="auto"/>
        </w:rPr>
        <w:t>Amendments</w:t>
      </w:r>
      <w:r>
        <w:rPr>
          <w:rFonts w:ascii="Arial" w:cs="Arial" w:eastAsia="Arial" w:hAnsi="Arial"/>
          <w:sz w:val="19"/>
          <w:szCs w:val="19"/>
          <w:color w:val="auto"/>
        </w:rPr>
        <w:t>. Any amendment to the Plan shall be deemed to be an amendment to this Agreement to the extent that the</w:t>
      </w:r>
      <w:r>
        <w:rPr>
          <w:rFonts w:ascii="Arial" w:cs="Arial" w:eastAsia="Arial" w:hAnsi="Arial"/>
          <w:sz w:val="19"/>
          <w:szCs w:val="19"/>
          <w:b w:val="1"/>
          <w:bCs w:val="1"/>
          <w:color w:val="auto"/>
        </w:rPr>
        <w:t xml:space="preserve"> </w:t>
      </w:r>
      <w:r>
        <w:rPr>
          <w:rFonts w:ascii="Arial" w:cs="Arial" w:eastAsia="Arial" w:hAnsi="Arial"/>
          <w:sz w:val="19"/>
          <w:szCs w:val="19"/>
          <w:color w:val="auto"/>
        </w:rPr>
        <w:t>amendment is applicable hereto; provided, however, that (a) no amendment shall adversely affect the rights of Grantee under this Agreement without Grantee’s written consent and (b) Grantee’s consent shall not be required to an amendment that is deemed necessary by the Company to ensure exemption from or compliance with Section 409A of the Code.</w:t>
      </w:r>
    </w:p>
    <w:p>
      <w:pPr>
        <w:spacing w:after="0" w:line="2" w:lineRule="exact"/>
        <w:rPr>
          <w:rFonts w:ascii="Arial" w:cs="Arial" w:eastAsia="Arial" w:hAnsi="Arial"/>
          <w:sz w:val="16"/>
          <w:szCs w:val="16"/>
          <w:color w:val="auto"/>
        </w:rPr>
      </w:pPr>
    </w:p>
    <w:p>
      <w:pPr>
        <w:ind w:right="120" w:firstLine="8"/>
        <w:spacing w:after="0" w:line="247" w:lineRule="auto"/>
        <w:tabs>
          <w:tab w:leader="none" w:pos="873" w:val="left"/>
        </w:tabs>
        <w:numPr>
          <w:ilvl w:val="0"/>
          <w:numId w:val="45"/>
        </w:numPr>
        <w:rPr>
          <w:rFonts w:ascii="Arial" w:cs="Arial" w:eastAsia="Arial" w:hAnsi="Arial"/>
          <w:sz w:val="18"/>
          <w:szCs w:val="18"/>
          <w:color w:val="auto"/>
        </w:rPr>
      </w:pPr>
      <w:r>
        <w:rPr>
          <w:rFonts w:ascii="Arial" w:cs="Arial" w:eastAsia="Arial" w:hAnsi="Arial"/>
          <w:sz w:val="22"/>
          <w:szCs w:val="22"/>
          <w:b w:val="1"/>
          <w:bCs w:val="1"/>
          <w:color w:val="auto"/>
        </w:rPr>
        <w:t>Severability</w:t>
      </w:r>
      <w:r>
        <w:rPr>
          <w:rFonts w:ascii="Arial" w:cs="Arial" w:eastAsia="Arial" w:hAnsi="Arial"/>
          <w:sz w:val="22"/>
          <w:szCs w:val="22"/>
          <w:color w:val="auto"/>
        </w:rPr>
        <w:t>. In the event that one or more of the provisions of this Agreement shall be invalidated for any reason by a</w:t>
      </w:r>
      <w:r>
        <w:rPr>
          <w:rFonts w:ascii="Arial" w:cs="Arial" w:eastAsia="Arial" w:hAnsi="Arial"/>
          <w:sz w:val="22"/>
          <w:szCs w:val="22"/>
          <w:b w:val="1"/>
          <w:bCs w:val="1"/>
          <w:color w:val="auto"/>
        </w:rPr>
        <w:t xml:space="preserve"> </w:t>
      </w:r>
      <w:r>
        <w:rPr>
          <w:rFonts w:ascii="Arial" w:cs="Arial" w:eastAsia="Arial" w:hAnsi="Arial"/>
          <w:sz w:val="22"/>
          <w:szCs w:val="22"/>
          <w:color w:val="auto"/>
        </w:rPr>
        <w:t>court of competent jurisdiction, any provision so invalidated shall be deemed to be separable from the other provisions hereof, and the remaining provisions hereof shall continue to be valid and fully enforceable.</w:t>
      </w:r>
    </w:p>
    <w:p>
      <w:pPr>
        <w:spacing w:after="0" w:line="2" w:lineRule="exact"/>
        <w:rPr>
          <w:rFonts w:ascii="Arial" w:cs="Arial" w:eastAsia="Arial" w:hAnsi="Arial"/>
          <w:sz w:val="18"/>
          <w:szCs w:val="18"/>
          <w:color w:val="auto"/>
        </w:rPr>
      </w:pPr>
    </w:p>
    <w:p>
      <w:pPr>
        <w:ind w:right="100" w:firstLine="8"/>
        <w:spacing w:after="0" w:line="249" w:lineRule="auto"/>
        <w:tabs>
          <w:tab w:leader="none" w:pos="873" w:val="left"/>
        </w:tabs>
        <w:numPr>
          <w:ilvl w:val="0"/>
          <w:numId w:val="45"/>
        </w:numPr>
        <w:rPr>
          <w:rFonts w:ascii="Arial" w:cs="Arial" w:eastAsia="Arial" w:hAnsi="Arial"/>
          <w:sz w:val="18"/>
          <w:szCs w:val="18"/>
          <w:color w:val="auto"/>
        </w:rPr>
      </w:pPr>
      <w:r>
        <w:rPr>
          <w:rFonts w:ascii="Arial" w:cs="Arial" w:eastAsia="Arial" w:hAnsi="Arial"/>
          <w:sz w:val="22"/>
          <w:szCs w:val="22"/>
          <w:b w:val="1"/>
          <w:bCs w:val="1"/>
          <w:color w:val="auto"/>
        </w:rPr>
        <w:t>Relation to Plan</w:t>
      </w:r>
      <w:r>
        <w:rPr>
          <w:rFonts w:ascii="Arial" w:cs="Arial" w:eastAsia="Arial" w:hAnsi="Arial"/>
          <w:sz w:val="22"/>
          <w:szCs w:val="22"/>
          <w:color w:val="auto"/>
        </w:rPr>
        <w:t>. This Agreement is subject to the terms and conditions of the Plan. To the extent not expressly set forth</w:t>
      </w:r>
      <w:r>
        <w:rPr>
          <w:rFonts w:ascii="Arial" w:cs="Arial" w:eastAsia="Arial" w:hAnsi="Arial"/>
          <w:sz w:val="22"/>
          <w:szCs w:val="22"/>
          <w:b w:val="1"/>
          <w:bCs w:val="1"/>
          <w:color w:val="auto"/>
        </w:rPr>
        <w:t xml:space="preserve"> </w:t>
      </w:r>
      <w:r>
        <w:rPr>
          <w:rFonts w:ascii="Arial" w:cs="Arial" w:eastAsia="Arial" w:hAnsi="Arial"/>
          <w:sz w:val="22"/>
          <w:szCs w:val="22"/>
          <w:color w:val="auto"/>
        </w:rPr>
        <w:t>in this Agreement, the terms of the Plan shall govern.</w:t>
      </w:r>
    </w:p>
    <w:p>
      <w:pPr>
        <w:spacing w:after="0" w:line="1" w:lineRule="exact"/>
        <w:rPr>
          <w:rFonts w:ascii="Arial" w:cs="Arial" w:eastAsia="Arial" w:hAnsi="Arial"/>
          <w:sz w:val="18"/>
          <w:szCs w:val="18"/>
          <w:color w:val="auto"/>
        </w:rPr>
      </w:pPr>
    </w:p>
    <w:p>
      <w:pPr>
        <w:ind w:firstLine="8"/>
        <w:spacing w:after="0" w:line="289" w:lineRule="auto"/>
        <w:tabs>
          <w:tab w:leader="none" w:pos="873" w:val="left"/>
        </w:tabs>
        <w:numPr>
          <w:ilvl w:val="0"/>
          <w:numId w:val="45"/>
        </w:numPr>
        <w:rPr>
          <w:rFonts w:ascii="Arial" w:cs="Arial" w:eastAsia="Arial" w:hAnsi="Arial"/>
          <w:sz w:val="16"/>
          <w:szCs w:val="16"/>
          <w:color w:val="auto"/>
        </w:rPr>
      </w:pPr>
      <w:r>
        <w:rPr>
          <w:rFonts w:ascii="Arial" w:cs="Arial" w:eastAsia="Arial" w:hAnsi="Arial"/>
          <w:sz w:val="19"/>
          <w:szCs w:val="19"/>
          <w:b w:val="1"/>
          <w:bCs w:val="1"/>
          <w:color w:val="auto"/>
        </w:rPr>
        <w:t>Acknowledgement</w:t>
      </w:r>
      <w:r>
        <w:rPr>
          <w:rFonts w:ascii="Arial" w:cs="Arial" w:eastAsia="Arial" w:hAnsi="Arial"/>
          <w:sz w:val="19"/>
          <w:szCs w:val="19"/>
          <w:color w:val="auto"/>
        </w:rPr>
        <w:t>. Grantee acknowledges that Grantee (a) has received a copy of the Plan, (b) has had an opportunity to</w:t>
      </w:r>
      <w:r>
        <w:rPr>
          <w:rFonts w:ascii="Arial" w:cs="Arial" w:eastAsia="Arial" w:hAnsi="Arial"/>
          <w:sz w:val="19"/>
          <w:szCs w:val="19"/>
          <w:b w:val="1"/>
          <w:bCs w:val="1"/>
          <w:color w:val="auto"/>
        </w:rPr>
        <w:t xml:space="preserve"> </w:t>
      </w:r>
      <w:r>
        <w:rPr>
          <w:rFonts w:ascii="Arial" w:cs="Arial" w:eastAsia="Arial" w:hAnsi="Arial"/>
          <w:sz w:val="19"/>
          <w:szCs w:val="19"/>
          <w:color w:val="auto"/>
        </w:rPr>
        <w:t>review the terms of this Agreement and the Plan, (c) understands the terms and conditions of this Agreement and the Plan and</w:t>
      </w:r>
    </w:p>
    <w:p>
      <w:pPr>
        <w:spacing w:after="0"/>
        <w:rPr>
          <w:rFonts w:ascii="Arial" w:cs="Arial" w:eastAsia="Arial" w:hAnsi="Arial"/>
          <w:sz w:val="16"/>
          <w:szCs w:val="16"/>
          <w:color w:val="auto"/>
        </w:rPr>
      </w:pPr>
      <w:r>
        <w:rPr>
          <w:rFonts w:ascii="Arial" w:cs="Arial" w:eastAsia="Arial" w:hAnsi="Arial"/>
          <w:sz w:val="22"/>
          <w:szCs w:val="22"/>
          <w:color w:val="auto"/>
        </w:rPr>
        <w:t>(d) agrees to such terms and conditions.</w:t>
      </w:r>
    </w:p>
    <w:p>
      <w:pPr>
        <w:spacing w:after="0" w:line="3" w:lineRule="exact"/>
        <w:rPr>
          <w:rFonts w:ascii="Arial" w:cs="Arial" w:eastAsia="Arial" w:hAnsi="Arial"/>
          <w:sz w:val="16"/>
          <w:szCs w:val="16"/>
          <w:color w:val="auto"/>
        </w:rPr>
      </w:pPr>
    </w:p>
    <w:p>
      <w:pPr>
        <w:ind w:firstLine="8"/>
        <w:spacing w:after="0" w:line="247" w:lineRule="auto"/>
        <w:tabs>
          <w:tab w:leader="none" w:pos="873" w:val="left"/>
        </w:tabs>
        <w:numPr>
          <w:ilvl w:val="0"/>
          <w:numId w:val="45"/>
        </w:numPr>
        <w:rPr>
          <w:rFonts w:ascii="Arial" w:cs="Arial" w:eastAsia="Arial" w:hAnsi="Arial"/>
          <w:sz w:val="18"/>
          <w:szCs w:val="18"/>
          <w:color w:val="auto"/>
        </w:rPr>
      </w:pPr>
      <w:r>
        <w:rPr>
          <w:rFonts w:ascii="Arial" w:cs="Arial" w:eastAsia="Arial" w:hAnsi="Arial"/>
          <w:sz w:val="22"/>
          <w:szCs w:val="22"/>
          <w:b w:val="1"/>
          <w:bCs w:val="1"/>
          <w:color w:val="auto"/>
        </w:rPr>
        <w:t>Successors and Assigns</w:t>
      </w:r>
      <w:r>
        <w:rPr>
          <w:rFonts w:ascii="Arial" w:cs="Arial" w:eastAsia="Arial" w:hAnsi="Arial"/>
          <w:sz w:val="22"/>
          <w:szCs w:val="22"/>
          <w:color w:val="auto"/>
        </w:rPr>
        <w:t>. Without limiting Section 3 hereof, the provisions of this Agreement shall inure to the benefit of,</w:t>
      </w:r>
      <w:r>
        <w:rPr>
          <w:rFonts w:ascii="Arial" w:cs="Arial" w:eastAsia="Arial" w:hAnsi="Arial"/>
          <w:sz w:val="22"/>
          <w:szCs w:val="22"/>
          <w:b w:val="1"/>
          <w:bCs w:val="1"/>
          <w:color w:val="auto"/>
        </w:rPr>
        <w:t xml:space="preserve"> </w:t>
      </w:r>
      <w:r>
        <w:rPr>
          <w:rFonts w:ascii="Arial" w:cs="Arial" w:eastAsia="Arial" w:hAnsi="Arial"/>
          <w:sz w:val="22"/>
          <w:szCs w:val="22"/>
          <w:color w:val="auto"/>
        </w:rPr>
        <w:t>and be binding upon, the successors, administrators, heirs, legal representatives and assigns of Grantee, and the successors and assigns of the Company.</w:t>
      </w:r>
    </w:p>
    <w:p>
      <w:pPr>
        <w:spacing w:after="0" w:line="2" w:lineRule="exact"/>
        <w:rPr>
          <w:rFonts w:ascii="Arial" w:cs="Arial" w:eastAsia="Arial" w:hAnsi="Arial"/>
          <w:sz w:val="18"/>
          <w:szCs w:val="18"/>
          <w:color w:val="auto"/>
        </w:rPr>
      </w:pPr>
    </w:p>
    <w:p>
      <w:pPr>
        <w:ind w:right="40" w:firstLine="8"/>
        <w:spacing w:after="0" w:line="247" w:lineRule="auto"/>
        <w:tabs>
          <w:tab w:leader="none" w:pos="873" w:val="left"/>
        </w:tabs>
        <w:numPr>
          <w:ilvl w:val="0"/>
          <w:numId w:val="45"/>
        </w:numPr>
        <w:rPr>
          <w:rFonts w:ascii="Arial" w:cs="Arial" w:eastAsia="Arial" w:hAnsi="Arial"/>
          <w:sz w:val="18"/>
          <w:szCs w:val="18"/>
          <w:color w:val="auto"/>
        </w:rPr>
      </w:pPr>
      <w:r>
        <w:rPr>
          <w:rFonts w:ascii="Arial" w:cs="Arial" w:eastAsia="Arial" w:hAnsi="Arial"/>
          <w:sz w:val="22"/>
          <w:szCs w:val="22"/>
          <w:b w:val="1"/>
          <w:bCs w:val="1"/>
          <w:color w:val="auto"/>
        </w:rPr>
        <w:t>Governing Law</w:t>
      </w:r>
      <w:r>
        <w:rPr>
          <w:rFonts w:ascii="Arial" w:cs="Arial" w:eastAsia="Arial" w:hAnsi="Arial"/>
          <w:sz w:val="22"/>
          <w:szCs w:val="22"/>
          <w:color w:val="auto"/>
        </w:rPr>
        <w:t>. This Agreement shall be governed by and construed in accordance with the internal substantive laws of</w:t>
      </w:r>
      <w:r>
        <w:rPr>
          <w:rFonts w:ascii="Arial" w:cs="Arial" w:eastAsia="Arial" w:hAnsi="Arial"/>
          <w:sz w:val="22"/>
          <w:szCs w:val="22"/>
          <w:b w:val="1"/>
          <w:bCs w:val="1"/>
          <w:color w:val="auto"/>
        </w:rPr>
        <w:t xml:space="preserve"> </w:t>
      </w:r>
      <w:r>
        <w:rPr>
          <w:rFonts w:ascii="Arial" w:cs="Arial" w:eastAsia="Arial" w:hAnsi="Arial"/>
          <w:sz w:val="22"/>
          <w:szCs w:val="22"/>
          <w:color w:val="auto"/>
        </w:rPr>
        <w:t>the State of Delaware, without giving effect to any principle of law that would result in the application of the law of any other jurisdiction.</w:t>
      </w:r>
    </w:p>
    <w:p>
      <w:pPr>
        <w:spacing w:after="0" w:line="2" w:lineRule="exact"/>
        <w:rPr>
          <w:rFonts w:ascii="Arial" w:cs="Arial" w:eastAsia="Arial" w:hAnsi="Arial"/>
          <w:sz w:val="18"/>
          <w:szCs w:val="18"/>
          <w:color w:val="auto"/>
        </w:rPr>
      </w:pPr>
    </w:p>
    <w:p>
      <w:pPr>
        <w:ind w:right="160" w:firstLine="8"/>
        <w:spacing w:after="0" w:line="256" w:lineRule="auto"/>
        <w:tabs>
          <w:tab w:leader="none" w:pos="873" w:val="left"/>
        </w:tabs>
        <w:numPr>
          <w:ilvl w:val="0"/>
          <w:numId w:val="45"/>
        </w:numPr>
        <w:rPr>
          <w:rFonts w:ascii="Arial" w:cs="Arial" w:eastAsia="Arial" w:hAnsi="Arial"/>
          <w:sz w:val="17"/>
          <w:szCs w:val="17"/>
          <w:color w:val="auto"/>
        </w:rPr>
      </w:pPr>
      <w:r>
        <w:rPr>
          <w:rFonts w:ascii="Arial" w:cs="Arial" w:eastAsia="Arial" w:hAnsi="Arial"/>
          <w:sz w:val="21"/>
          <w:szCs w:val="21"/>
          <w:b w:val="1"/>
          <w:bCs w:val="1"/>
          <w:color w:val="auto"/>
        </w:rPr>
        <w:t>Notices</w:t>
      </w:r>
      <w:r>
        <w:rPr>
          <w:rFonts w:ascii="Arial" w:cs="Arial" w:eastAsia="Arial" w:hAnsi="Arial"/>
          <w:sz w:val="21"/>
          <w:szCs w:val="21"/>
          <w:color w:val="auto"/>
        </w:rPr>
        <w:t>. Any notice to the Company provided for herein shall be in writing (including electronically) to the Company,</w:t>
      </w:r>
      <w:r>
        <w:rPr>
          <w:rFonts w:ascii="Arial" w:cs="Arial" w:eastAsia="Arial" w:hAnsi="Arial"/>
          <w:sz w:val="21"/>
          <w:szCs w:val="21"/>
          <w:b w:val="1"/>
          <w:bCs w:val="1"/>
          <w:color w:val="auto"/>
        </w:rPr>
        <w:t xml:space="preserve"> </w:t>
      </w:r>
      <w:r>
        <w:rPr>
          <w:rFonts w:ascii="Arial" w:cs="Arial" w:eastAsia="Arial" w:hAnsi="Arial"/>
          <w:sz w:val="21"/>
          <w:szCs w:val="21"/>
          <w:color w:val="auto"/>
        </w:rPr>
        <w:t>marked Attention: General Counsel, and any notice to Grantee shall be addressed to Grantee at Grantee’s address on file with the Company at the time of such notice. Except as otherwise provided herein, any written notice shall be deemed to be duly given if and when delivered personally or deposited in the United States mail, postage and fees prepaid, and addressed as aforesaid. Any party may change the address to which notices are to be given hereunder by written notice to the other party as herein specified (provided that for this purpose any mailed notice shall be deemed given on the third business day following deposit of the same in the United States mail).</w:t>
      </w:r>
    </w:p>
    <w:p>
      <w:pPr>
        <w:spacing w:after="0" w:line="6" w:lineRule="exact"/>
        <w:rPr>
          <w:rFonts w:ascii="Arial" w:cs="Arial" w:eastAsia="Arial" w:hAnsi="Arial"/>
          <w:sz w:val="17"/>
          <w:szCs w:val="17"/>
          <w:color w:val="auto"/>
        </w:rPr>
      </w:pPr>
    </w:p>
    <w:p>
      <w:pPr>
        <w:ind w:right="120" w:firstLine="8"/>
        <w:spacing w:after="0" w:line="285" w:lineRule="auto"/>
        <w:tabs>
          <w:tab w:leader="none" w:pos="873" w:val="left"/>
        </w:tabs>
        <w:numPr>
          <w:ilvl w:val="0"/>
          <w:numId w:val="45"/>
        </w:numPr>
        <w:rPr>
          <w:rFonts w:ascii="Arial" w:cs="Arial" w:eastAsia="Arial" w:hAnsi="Arial"/>
          <w:sz w:val="16"/>
          <w:szCs w:val="16"/>
          <w:color w:val="auto"/>
        </w:rPr>
      </w:pPr>
      <w:r>
        <w:rPr>
          <w:rFonts w:ascii="Arial" w:cs="Arial" w:eastAsia="Arial" w:hAnsi="Arial"/>
          <w:sz w:val="19"/>
          <w:szCs w:val="19"/>
          <w:b w:val="1"/>
          <w:bCs w:val="1"/>
          <w:color w:val="auto"/>
        </w:rPr>
        <w:t>Electronic Delivery</w:t>
      </w:r>
      <w:r>
        <w:rPr>
          <w:rFonts w:ascii="Arial" w:cs="Arial" w:eastAsia="Arial" w:hAnsi="Arial"/>
          <w:sz w:val="19"/>
          <w:szCs w:val="19"/>
          <w:color w:val="auto"/>
        </w:rPr>
        <w:t>. The Company may, in its sole discretion, deliver any documents related to the RSUs and Grantee’s</w:t>
      </w:r>
      <w:r>
        <w:rPr>
          <w:rFonts w:ascii="Arial" w:cs="Arial" w:eastAsia="Arial" w:hAnsi="Arial"/>
          <w:sz w:val="19"/>
          <w:szCs w:val="19"/>
          <w:b w:val="1"/>
          <w:bCs w:val="1"/>
          <w:color w:val="auto"/>
        </w:rPr>
        <w:t xml:space="preserve"> </w:t>
      </w:r>
      <w:r>
        <w:rPr>
          <w:rFonts w:ascii="Arial" w:cs="Arial" w:eastAsia="Arial" w:hAnsi="Arial"/>
          <w:sz w:val="19"/>
          <w:szCs w:val="19"/>
          <w:color w:val="auto"/>
        </w:rPr>
        <w:t>participation in the Plan, or future awards that may be granted under the Plan, by electronic means. Grantee hereby consents to receive such documents by electronic delivery and, if requested, agrees to participate in the Plan through an online or electronic system established and maintained by the Company or another third party designated by the Company.</w:t>
      </w:r>
    </w:p>
    <w:p>
      <w:pPr>
        <w:spacing w:after="0" w:line="2" w:lineRule="exact"/>
        <w:rPr>
          <w:rFonts w:ascii="Arial" w:cs="Arial" w:eastAsia="Arial" w:hAnsi="Arial"/>
          <w:sz w:val="16"/>
          <w:szCs w:val="16"/>
          <w:color w:val="auto"/>
        </w:rPr>
      </w:pPr>
    </w:p>
    <w:p>
      <w:pPr>
        <w:ind w:right="80" w:firstLine="8"/>
        <w:spacing w:after="0" w:line="258" w:lineRule="auto"/>
        <w:tabs>
          <w:tab w:leader="none" w:pos="873" w:val="left"/>
        </w:tabs>
        <w:numPr>
          <w:ilvl w:val="0"/>
          <w:numId w:val="45"/>
        </w:numPr>
        <w:rPr>
          <w:rFonts w:ascii="Arial" w:cs="Arial" w:eastAsia="Arial" w:hAnsi="Arial"/>
          <w:sz w:val="17"/>
          <w:szCs w:val="17"/>
          <w:color w:val="auto"/>
        </w:rPr>
      </w:pPr>
      <w:r>
        <w:rPr>
          <w:rFonts w:ascii="Arial" w:cs="Arial" w:eastAsia="Arial" w:hAnsi="Arial"/>
          <w:sz w:val="21"/>
          <w:szCs w:val="21"/>
          <w:b w:val="1"/>
          <w:bCs w:val="1"/>
          <w:color w:val="auto"/>
        </w:rPr>
        <w:t>Section 409A of the Code</w:t>
      </w:r>
      <w:r>
        <w:rPr>
          <w:rFonts w:ascii="Arial" w:cs="Arial" w:eastAsia="Arial" w:hAnsi="Arial"/>
          <w:sz w:val="21"/>
          <w:szCs w:val="21"/>
          <w:color w:val="auto"/>
        </w:rPr>
        <w:t>. To the extent applicable, it is intended that this Agreement and the Plan comply with or be</w:t>
      </w:r>
      <w:r>
        <w:rPr>
          <w:rFonts w:ascii="Arial" w:cs="Arial" w:eastAsia="Arial" w:hAnsi="Arial"/>
          <w:sz w:val="21"/>
          <w:szCs w:val="21"/>
          <w:b w:val="1"/>
          <w:bCs w:val="1"/>
          <w:color w:val="auto"/>
        </w:rPr>
        <w:t xml:space="preserve"> </w:t>
      </w:r>
      <w:r>
        <w:rPr>
          <w:rFonts w:ascii="Arial" w:cs="Arial" w:eastAsia="Arial" w:hAnsi="Arial"/>
          <w:sz w:val="21"/>
          <w:szCs w:val="21"/>
          <w:color w:val="auto"/>
        </w:rPr>
        <w:t>exempt from the provisions of Section 409A of the Code. This Agreement and the Plan shall be administered in a manner consistent with this intent, and any provision that would cause this Agreement or the Plan to fail to comply with or be exempt from Section 409A of the Code shall have no force or effect until amended to comply with or be exempt from Section 409A of the Code (which amendment may be retroactive to the extent permitted by Section 409A of the Code and may be made by the Company without the consent of Grantee). Any reference in this Agreement to Section 409A of the Code will also include any proposed, temporary or final regulations, or any other guidance, promulgated with respect to such Section by the U.S. Department of the Treasury or the Internal Revenue Service. Notwithstanding anything in this Agreement or the Plan to the contrary, all payments made to Grantee</w:t>
      </w:r>
    </w:p>
    <w:p>
      <w:pPr>
        <w:sectPr>
          <w:pgSz w:w="11900" w:h="16838" w:orient="portrait"/>
          <w:cols w:equalWidth="0" w:num="1">
            <w:col w:w="11420"/>
          </w:cols>
          <w:pgMar w:left="240" w:top="591" w:right="239" w:bottom="1440" w:gutter="0" w:footer="0" w:header="0"/>
        </w:sectPr>
      </w:pPr>
    </w:p>
    <w:bookmarkStart w:id="52" w:name="page53"/>
    <w:bookmarkEnd w:id="52"/>
    <w:p>
      <w:pPr>
        <w:spacing w:after="0" w:line="251" w:lineRule="auto"/>
        <w:rPr>
          <w:sz w:val="20"/>
          <w:szCs w:val="20"/>
          <w:color w:val="auto"/>
        </w:rPr>
      </w:pPr>
      <w:r>
        <w:rPr>
          <w:rFonts w:ascii="Arial" w:cs="Arial" w:eastAsia="Arial" w:hAnsi="Arial"/>
          <w:sz w:val="22"/>
          <w:szCs w:val="22"/>
          <w:color w:val="auto"/>
        </w:rPr>
        <w:t>pursuant to this Agreement will be made within the short-term deferral period specified in Treasury Regulations Section 1.409A-1(b)(4).</w:t>
      </w:r>
    </w:p>
    <w:p>
      <w:pPr>
        <w:spacing w:after="0" w:line="2" w:lineRule="exact"/>
        <w:rPr>
          <w:sz w:val="20"/>
          <w:szCs w:val="20"/>
          <w:color w:val="auto"/>
        </w:rPr>
      </w:pPr>
    </w:p>
    <w:p>
      <w:pPr>
        <w:ind w:left="880" w:hanging="872"/>
        <w:spacing w:after="0"/>
        <w:tabs>
          <w:tab w:leader="none" w:pos="880" w:val="left"/>
        </w:tabs>
        <w:numPr>
          <w:ilvl w:val="0"/>
          <w:numId w:val="46"/>
        </w:numPr>
        <w:rPr>
          <w:rFonts w:ascii="Arial" w:cs="Arial" w:eastAsia="Arial" w:hAnsi="Arial"/>
          <w:sz w:val="17"/>
          <w:szCs w:val="17"/>
          <w:color w:val="auto"/>
        </w:rPr>
      </w:pPr>
      <w:r>
        <w:rPr>
          <w:rFonts w:ascii="Arial" w:cs="Arial" w:eastAsia="Arial" w:hAnsi="Arial"/>
          <w:sz w:val="21"/>
          <w:szCs w:val="21"/>
          <w:b w:val="1"/>
          <w:bCs w:val="1"/>
          <w:color w:val="auto"/>
        </w:rPr>
        <w:t>Counterparts</w:t>
      </w:r>
      <w:r>
        <w:rPr>
          <w:rFonts w:ascii="Arial" w:cs="Arial" w:eastAsia="Arial" w:hAnsi="Arial"/>
          <w:sz w:val="21"/>
          <w:szCs w:val="21"/>
          <w:color w:val="auto"/>
        </w:rPr>
        <w:t>. This Agreement may be executed in one or more counterparts (including facsimile and other</w:t>
      </w:r>
    </w:p>
    <w:p>
      <w:pPr>
        <w:spacing w:after="0" w:line="15" w:lineRule="exact"/>
        <w:rPr>
          <w:rFonts w:ascii="Arial" w:cs="Arial" w:eastAsia="Arial" w:hAnsi="Arial"/>
          <w:sz w:val="17"/>
          <w:szCs w:val="17"/>
          <w:color w:val="auto"/>
        </w:rPr>
      </w:pPr>
    </w:p>
    <w:p>
      <w:pPr>
        <w:ind w:right="60"/>
        <w:spacing w:after="0" w:line="259" w:lineRule="auto"/>
        <w:rPr>
          <w:rFonts w:ascii="Arial" w:cs="Arial" w:eastAsia="Arial" w:hAnsi="Arial"/>
          <w:sz w:val="17"/>
          <w:szCs w:val="17"/>
          <w:color w:val="auto"/>
        </w:rPr>
      </w:pPr>
      <w:r>
        <w:rPr>
          <w:rFonts w:ascii="Arial" w:cs="Arial" w:eastAsia="Arial" w:hAnsi="Arial"/>
          <w:sz w:val="22"/>
          <w:szCs w:val="22"/>
          <w:color w:val="auto"/>
        </w:rPr>
        <w:t>electronically transmitted counterparts), each of which shall be deemed to be an original but all of which together will constitute one and the same agreement.</w:t>
      </w:r>
    </w:p>
    <w:p>
      <w:pPr>
        <w:spacing w:after="0" w:line="389" w:lineRule="exact"/>
        <w:rPr>
          <w:sz w:val="20"/>
          <w:szCs w:val="20"/>
          <w:color w:val="auto"/>
        </w:rPr>
      </w:pPr>
    </w:p>
    <w:p>
      <w:pPr>
        <w:jc w:val="center"/>
        <w:ind w:right="-259"/>
        <w:spacing w:after="0"/>
        <w:rPr>
          <w:sz w:val="20"/>
          <w:szCs w:val="20"/>
          <w:color w:val="auto"/>
        </w:rPr>
      </w:pPr>
      <w:r>
        <w:rPr>
          <w:rFonts w:ascii="Arial" w:cs="Arial" w:eastAsia="Arial" w:hAnsi="Arial"/>
          <w:sz w:val="22"/>
          <w:szCs w:val="22"/>
          <w:b w:val="1"/>
          <w:bCs w:val="1"/>
          <w:color w:val="auto"/>
        </w:rPr>
        <w:t>[SIGNATURES ON FOLLOWING PAGE]</w:t>
      </w:r>
    </w:p>
    <w:p>
      <w:pPr>
        <w:sectPr>
          <w:pgSz w:w="11900" w:h="16838" w:orient="portrait"/>
          <w:cols w:equalWidth="0" w:num="1">
            <w:col w:w="11160"/>
          </w:cols>
          <w:pgMar w:left="240" w:top="591" w:right="499" w:bottom="1440" w:gutter="0" w:footer="0" w:header="0"/>
        </w:sectPr>
      </w:pPr>
    </w:p>
    <w:bookmarkStart w:id="53" w:name="page54"/>
    <w:bookmarkEnd w:id="53"/>
    <w:p>
      <w:pPr>
        <w:ind w:firstLine="648"/>
        <w:spacing w:after="0" w:line="263" w:lineRule="auto"/>
        <w:rPr>
          <w:sz w:val="20"/>
          <w:szCs w:val="20"/>
          <w:color w:val="auto"/>
        </w:rPr>
      </w:pPr>
      <w:r>
        <w:rPr>
          <w:rFonts w:ascii="Arial" w:cs="Arial" w:eastAsia="Arial" w:hAnsi="Arial"/>
          <w:sz w:val="22"/>
          <w:szCs w:val="22"/>
          <w:color w:val="auto"/>
        </w:rPr>
        <w:t>IN WITNESS WHEREOF, the Company has caused this Agreement to be executed on its behalf by its duly authorized officer and Grantee has executed this Agreement, as of the Date of Grant.</w:t>
      </w:r>
    </w:p>
    <w:p>
      <w:pPr>
        <w:spacing w:after="0" w:line="385" w:lineRule="exact"/>
        <w:rPr>
          <w:sz w:val="20"/>
          <w:szCs w:val="20"/>
          <w:color w:val="auto"/>
        </w:rPr>
      </w:pPr>
    </w:p>
    <w:p>
      <w:pPr>
        <w:jc w:val="center"/>
        <w:ind w:right="-339"/>
        <w:spacing w:after="0"/>
        <w:rPr>
          <w:sz w:val="20"/>
          <w:szCs w:val="20"/>
          <w:color w:val="auto"/>
        </w:rPr>
      </w:pPr>
      <w:r>
        <w:rPr>
          <w:rFonts w:ascii="Arial" w:cs="Arial" w:eastAsia="Arial" w:hAnsi="Arial"/>
          <w:sz w:val="22"/>
          <w:szCs w:val="22"/>
          <w:b w:val="1"/>
          <w:bCs w:val="1"/>
          <w:color w:val="auto"/>
        </w:rPr>
        <w:t>AGNC INVESTMENT CORP.</w:t>
      </w:r>
    </w:p>
    <w:p>
      <w:pPr>
        <w:spacing w:after="0" w:line="200" w:lineRule="exact"/>
        <w:rPr>
          <w:sz w:val="20"/>
          <w:szCs w:val="20"/>
          <w:color w:val="auto"/>
        </w:rPr>
      </w:pPr>
    </w:p>
    <w:p>
      <w:pPr>
        <w:spacing w:after="0" w:line="242"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By:</w:t>
      </w:r>
    </w:p>
    <w:p>
      <w:pPr>
        <w:spacing w:after="0" w:line="22"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Name:</w:t>
      </w:r>
    </w:p>
    <w:p>
      <w:pPr>
        <w:spacing w:after="0" w:line="17"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GRANTEE’S SIGNATURE</w:t>
      </w:r>
    </w:p>
    <w:p>
      <w:pPr>
        <w:spacing w:after="0" w:line="220"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Print Name:</w:t>
      </w:r>
    </w:p>
    <w:p>
      <w:pPr>
        <w:sectPr>
          <w:pgSz w:w="11900" w:h="16838" w:orient="portrait"/>
          <w:cols w:equalWidth="0" w:num="1">
            <w:col w:w="10940"/>
          </w:cols>
          <w:pgMar w:left="240" w:top="591" w:right="719" w:bottom="1440" w:gutter="0" w:footer="0" w:header="0"/>
        </w:sectPr>
      </w:pPr>
    </w:p>
    <w:bookmarkStart w:id="54" w:name="page55"/>
    <w:bookmarkEnd w:id="54"/>
    <w:p>
      <w:pPr>
        <w:ind w:left="10520"/>
        <w:spacing w:after="0"/>
        <w:rPr>
          <w:sz w:val="20"/>
          <w:szCs w:val="20"/>
          <w:color w:val="auto"/>
        </w:rPr>
      </w:pPr>
      <w:r>
        <w:rPr>
          <w:rFonts w:ascii="Arial" w:cs="Arial" w:eastAsia="Arial" w:hAnsi="Arial"/>
          <w:sz w:val="16"/>
          <w:szCs w:val="16"/>
          <w:color w:val="auto"/>
        </w:rPr>
        <w:t>Exhibit 31.1</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Gary D. Kain, certify that:</w:t>
      </w:r>
    </w:p>
    <w:p>
      <w:pPr>
        <w:spacing w:after="0" w:line="158" w:lineRule="exact"/>
        <w:rPr>
          <w:sz w:val="20"/>
          <w:szCs w:val="20"/>
          <w:color w:val="auto"/>
        </w:rPr>
      </w:pPr>
    </w:p>
    <w:p>
      <w:pPr>
        <w:ind w:left="860" w:hanging="467"/>
        <w:spacing w:after="0"/>
        <w:tabs>
          <w:tab w:leader="none" w:pos="8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4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4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3, 2019</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Gary D. Kain</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Chief Executive Officer and Chief Investment</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Officer (Principal Executive Officer)</w:t>
      </w:r>
    </w:p>
    <w:p>
      <w:pPr>
        <w:sectPr>
          <w:pgSz w:w="11900" w:h="16838" w:orient="portrait"/>
          <w:cols w:equalWidth="0" w:num="1">
            <w:col w:w="11400"/>
          </w:cols>
          <w:pgMar w:left="260" w:top="584" w:right="239" w:bottom="1440" w:gutter="0" w:footer="0" w:header="0"/>
        </w:sectPr>
      </w:pPr>
    </w:p>
    <w:bookmarkStart w:id="55" w:name="page56"/>
    <w:bookmarkEnd w:id="55"/>
    <w:p>
      <w:pPr>
        <w:ind w:left="10520"/>
        <w:spacing w:after="0"/>
        <w:rPr>
          <w:sz w:val="20"/>
          <w:szCs w:val="20"/>
          <w:color w:val="auto"/>
        </w:rPr>
      </w:pPr>
      <w:r>
        <w:rPr>
          <w:rFonts w:ascii="Arial" w:cs="Arial" w:eastAsia="Arial" w:hAnsi="Arial"/>
          <w:sz w:val="16"/>
          <w:szCs w:val="16"/>
          <w:color w:val="auto"/>
        </w:rPr>
        <w:t>Exhibit 31.2</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Bernice E. Bell, certify that:</w:t>
      </w:r>
    </w:p>
    <w:p>
      <w:pPr>
        <w:spacing w:after="0" w:line="158" w:lineRule="exact"/>
        <w:rPr>
          <w:sz w:val="20"/>
          <w:szCs w:val="20"/>
          <w:color w:val="auto"/>
        </w:rPr>
      </w:pPr>
    </w:p>
    <w:p>
      <w:pPr>
        <w:ind w:left="860" w:hanging="467"/>
        <w:spacing w:after="0"/>
        <w:tabs>
          <w:tab w:leader="none" w:pos="8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4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4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4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4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81"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3, 2019</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Bernice E. Bell</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Senior Vice President and Chief Financial Officer</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00"/>
          </w:cols>
          <w:pgMar w:left="260" w:top="584" w:right="239" w:bottom="1440" w:gutter="0" w:footer="0" w:header="0"/>
        </w:sectPr>
      </w:pPr>
    </w:p>
    <w:bookmarkStart w:id="56" w:name="page57"/>
    <w:bookmarkEnd w:id="56"/>
    <w:p>
      <w:pPr>
        <w:jc w:val="right"/>
        <w:spacing w:after="0"/>
        <w:rPr>
          <w:sz w:val="20"/>
          <w:szCs w:val="20"/>
          <w:color w:val="auto"/>
        </w:rPr>
      </w:pPr>
      <w:r>
        <w:rPr>
          <w:rFonts w:ascii="Arial" w:cs="Arial" w:eastAsia="Arial" w:hAnsi="Arial"/>
          <w:sz w:val="18"/>
          <w:szCs w:val="18"/>
          <w:color w:val="auto"/>
        </w:rPr>
        <w:t>Exhibit 32</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Gary D. Kain, Chief Executive Officer and Chief Investment Officer, and Bernice E. Bell, Senior Vice President and Chief Financial Officer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AGNC Investment Corp. (the “Company”), certify pursuant to Section 906 of the Sarbanes-Oxley Act of 2002, 18 U.S.C. Section 1350 that:</w:t>
      </w:r>
    </w:p>
    <w:p>
      <w:pPr>
        <w:spacing w:after="0" w:line="157" w:lineRule="exact"/>
        <w:rPr>
          <w:sz w:val="20"/>
          <w:szCs w:val="20"/>
          <w:color w:val="auto"/>
        </w:rPr>
      </w:pPr>
    </w:p>
    <w:p>
      <w:pPr>
        <w:ind w:left="660" w:right="220" w:hanging="328"/>
        <w:spacing w:after="0" w:line="277" w:lineRule="auto"/>
        <w:tabs>
          <w:tab w:leader="none" w:pos="6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March 31, 2019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4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5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Gary D. Kain</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Executive Officer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Investment Officer (Principal Executive Officer)</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May 3, 2019</w:t>
            </w:r>
          </w:p>
        </w:tc>
        <w:tc>
          <w:tcPr>
            <w:tcW w:w="0" w:type="dxa"/>
            <w:vAlign w:val="bottom"/>
          </w:tcPr>
          <w:p>
            <w:pPr>
              <w:spacing w:after="0"/>
              <w:rPr>
                <w:sz w:val="1"/>
                <w:szCs w:val="1"/>
                <w:color w:val="auto"/>
              </w:rPr>
            </w:pPr>
          </w:p>
        </w:tc>
      </w:tr>
      <w:tr>
        <w:trPr>
          <w:trHeight w:val="567"/>
        </w:trPr>
        <w:tc>
          <w:tcPr>
            <w:tcW w:w="6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Bernice E. Bell</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Senior Vice President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(Principal Financial Officer)</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May 3, 2019</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838CB2"/>
    <w:multiLevelType w:val="hybridMultilevel"/>
    <w:lvl w:ilvl="0">
      <w:lvlJc w:val="left"/>
      <w:lvlText w:val="☒"/>
      <w:numFmt w:val="bullet"/>
      <w:start w:val="1"/>
    </w:lvl>
  </w:abstractNum>
  <w:abstractNum w:abstractNumId="1">
    <w:nsid w:val="4353D0CD"/>
    <w:multiLevelType w:val="hybridMultilevel"/>
    <w:lvl w:ilvl="0">
      <w:lvlJc w:val="left"/>
      <w:lvlText w:val="o"/>
      <w:numFmt w:val="bullet"/>
      <w:start w:val="1"/>
    </w:lvl>
  </w:abstractNum>
  <w:abstractNum w:abstractNumId="2">
    <w:nsid w:val="B03E0C6"/>
    <w:multiLevelType w:val="hybridMultilevel"/>
    <w:lvl w:ilvl="0">
      <w:lvlJc w:val="left"/>
      <w:lvlText w:val="(%1)"/>
      <w:numFmt w:val="lowerRoman"/>
      <w:start w:val="1"/>
    </w:lvl>
  </w:abstractNum>
  <w:abstractNum w:abstractNumId="3">
    <w:nsid w:val="189A769B"/>
    <w:multiLevelType w:val="hybridMultilevel"/>
    <w:lvl w:ilvl="0">
      <w:lvlJc w:val="left"/>
      <w:lvlText w:val="%1."/>
      <w:numFmt w:val="decimal"/>
      <w:start w:val="1"/>
    </w:lvl>
  </w:abstractNum>
  <w:abstractNum w:abstractNumId="4">
    <w:nsid w:val="54E49EB4"/>
    <w:multiLevelType w:val="hybridMultilevel"/>
    <w:lvl w:ilvl="0">
      <w:lvlJc w:val="left"/>
      <w:lvlText w:val="%1."/>
      <w:numFmt w:val="decimal"/>
      <w:start w:val="1"/>
    </w:lvl>
  </w:abstractNum>
  <w:abstractNum w:abstractNumId="5">
    <w:nsid w:val="71F32454"/>
    <w:multiLevelType w:val="hybridMultilevel"/>
    <w:lvl w:ilvl="0">
      <w:lvlJc w:val="left"/>
      <w:lvlText w:val="%1."/>
      <w:numFmt w:val="decimal"/>
      <w:start w:val="1"/>
    </w:lvl>
  </w:abstractNum>
  <w:abstractNum w:abstractNumId="6">
    <w:nsid w:val="2CA88611"/>
    <w:multiLevelType w:val="hybridMultilevel"/>
    <w:lvl w:ilvl="0">
      <w:lvlJc w:val="left"/>
      <w:lvlText w:val="%1."/>
      <w:numFmt w:val="decimal"/>
      <w:start w:val="1"/>
    </w:lvl>
  </w:abstractNum>
  <w:abstractNum w:abstractNumId="7">
    <w:nsid w:val="836C40E"/>
    <w:multiLevelType w:val="hybridMultilevel"/>
    <w:lvl w:ilvl="0">
      <w:lvlJc w:val="left"/>
      <w:lvlText w:val="%1."/>
      <w:numFmt w:val="decimal"/>
      <w:start w:val="1"/>
    </w:lvl>
  </w:abstractNum>
  <w:abstractNum w:abstractNumId="8">
    <w:nsid w:val="2901D82"/>
    <w:multiLevelType w:val="hybridMultilevel"/>
    <w:lvl w:ilvl="0">
      <w:lvlJc w:val="left"/>
      <w:lvlText w:val="%1."/>
      <w:numFmt w:val="decimal"/>
      <w:start w:val="1"/>
    </w:lvl>
  </w:abstractNum>
  <w:abstractNum w:abstractNumId="9">
    <w:nsid w:val="3A95F874"/>
    <w:multiLevelType w:val="hybridMultilevel"/>
    <w:lvl w:ilvl="0">
      <w:lvlJc w:val="left"/>
      <w:lvlText w:val="%1."/>
      <w:numFmt w:val="decimal"/>
      <w:start w:val="1"/>
    </w:lvl>
  </w:abstractNum>
  <w:abstractNum w:abstractNumId="10">
    <w:nsid w:val="8138641"/>
    <w:multiLevelType w:val="hybridMultilevel"/>
    <w:lvl w:ilvl="0">
      <w:lvlJc w:val="left"/>
      <w:lvlText w:val="%1."/>
      <w:numFmt w:val="decimal"/>
      <w:start w:val="1"/>
    </w:lvl>
  </w:abstractNum>
  <w:abstractNum w:abstractNumId="11">
    <w:nsid w:val="1E7FF521"/>
    <w:multiLevelType w:val="hybridMultilevel"/>
    <w:lvl w:ilvl="0">
      <w:lvlJc w:val="left"/>
      <w:lvlText w:val="%1."/>
      <w:numFmt w:val="decimal"/>
      <w:start w:val="1"/>
    </w:lvl>
  </w:abstractNum>
  <w:abstractNum w:abstractNumId="12">
    <w:nsid w:val="7C3DBD3D"/>
    <w:multiLevelType w:val="hybridMultilevel"/>
    <w:lvl w:ilvl="0">
      <w:lvlJc w:val="left"/>
      <w:lvlText w:val="%1."/>
      <w:numFmt w:val="decimal"/>
      <w:start w:val="1"/>
    </w:lvl>
  </w:abstractNum>
  <w:abstractNum w:abstractNumId="13">
    <w:nsid w:val="737B8DDC"/>
    <w:multiLevelType w:val="hybridMultilevel"/>
    <w:lvl w:ilvl="0">
      <w:lvlJc w:val="left"/>
      <w:lvlText w:val="%1."/>
      <w:numFmt w:val="decimal"/>
      <w:start w:val="1"/>
    </w:lvl>
  </w:abstractNum>
  <w:abstractNum w:abstractNumId="14">
    <w:nsid w:val="6CEAF087"/>
    <w:multiLevelType w:val="hybridMultilevel"/>
    <w:lvl w:ilvl="0">
      <w:lvlJc w:val="left"/>
      <w:lvlText w:val="%1."/>
      <w:numFmt w:val="decimal"/>
      <w:start w:val="1"/>
    </w:lvl>
  </w:abstractNum>
  <w:abstractNum w:abstractNumId="15">
    <w:nsid w:val="22221A70"/>
    <w:multiLevelType w:val="hybridMultilevel"/>
    <w:lvl w:ilvl="0">
      <w:lvlJc w:val="left"/>
      <w:lvlText w:val="%1."/>
      <w:numFmt w:val="decimal"/>
      <w:start w:val="1"/>
    </w:lvl>
  </w:abstractNum>
  <w:abstractNum w:abstractNumId="16">
    <w:nsid w:val="4516DDE9"/>
    <w:multiLevelType w:val="hybridMultilevel"/>
    <w:lvl w:ilvl="0">
      <w:lvlJc w:val="left"/>
      <w:lvlText w:val="%1."/>
      <w:numFmt w:val="decimal"/>
      <w:start w:val="1"/>
    </w:lvl>
  </w:abstractNum>
  <w:abstractNum w:abstractNumId="17">
    <w:nsid w:val="3006C83E"/>
    <w:multiLevelType w:val="hybridMultilevel"/>
    <w:lvl w:ilvl="0">
      <w:lvlJc w:val="left"/>
      <w:lvlText w:val="•"/>
      <w:numFmt w:val="bullet"/>
      <w:start w:val="1"/>
    </w:lvl>
  </w:abstractNum>
  <w:abstractNum w:abstractNumId="18">
    <w:nsid w:val="614FD4A1"/>
    <w:multiLevelType w:val="hybridMultilevel"/>
    <w:lvl w:ilvl="0">
      <w:lvlJc w:val="left"/>
      <w:lvlText w:val="•"/>
      <w:numFmt w:val="bullet"/>
      <w:start w:val="1"/>
    </w:lvl>
  </w:abstractNum>
  <w:abstractNum w:abstractNumId="19">
    <w:nsid w:val="419AC241"/>
    <w:multiLevelType w:val="hybridMultilevel"/>
    <w:lvl w:ilvl="0">
      <w:lvlJc w:val="left"/>
      <w:lvlText w:val="%1."/>
      <w:numFmt w:val="decimal"/>
      <w:start w:val="1"/>
    </w:lvl>
  </w:abstractNum>
  <w:abstractNum w:abstractNumId="20">
    <w:nsid w:val="5577F8E1"/>
    <w:multiLevelType w:val="hybridMultilevel"/>
    <w:lvl w:ilvl="0">
      <w:lvlJc w:val="left"/>
      <w:lvlText w:val="%1."/>
      <w:numFmt w:val="decimal"/>
      <w:start w:val="2"/>
    </w:lvl>
  </w:abstractNum>
  <w:abstractNum w:abstractNumId="21">
    <w:nsid w:val="440BADFC"/>
    <w:multiLevelType w:val="hybridMultilevel"/>
    <w:lvl w:ilvl="0">
      <w:lvlJc w:val="left"/>
      <w:lvlText w:val="•"/>
      <w:numFmt w:val="bullet"/>
      <w:start w:val="1"/>
    </w:lvl>
  </w:abstractNum>
  <w:abstractNum w:abstractNumId="22">
    <w:nsid w:val="5072367"/>
    <w:multiLevelType w:val="hybridMultilevel"/>
    <w:lvl w:ilvl="0">
      <w:lvlJc w:val="left"/>
      <w:lvlText w:val="%1."/>
      <w:numFmt w:val="decimal"/>
      <w:start w:val="1"/>
    </w:lvl>
  </w:abstractNum>
  <w:abstractNum w:abstractNumId="23">
    <w:nsid w:val="3804823E"/>
    <w:multiLevelType w:val="hybridMultilevel"/>
    <w:lvl w:ilvl="0">
      <w:lvlJc w:val="left"/>
      <w:lvlText w:val="%1."/>
      <w:numFmt w:val="decimal"/>
      <w:start w:val="1"/>
    </w:lvl>
  </w:abstractNum>
  <w:abstractNum w:abstractNumId="24">
    <w:nsid w:val="77465F01"/>
    <w:multiLevelType w:val="hybridMultilevel"/>
    <w:lvl w:ilvl="0">
      <w:lvlJc w:val="left"/>
      <w:lvlText w:val="%1."/>
      <w:numFmt w:val="decimal"/>
      <w:start w:val="1"/>
    </w:lvl>
  </w:abstractNum>
  <w:abstractNum w:abstractNumId="25">
    <w:nsid w:val="7724C67E"/>
    <w:multiLevelType w:val="hybridMultilevel"/>
    <w:lvl w:ilvl="0">
      <w:lvlJc w:val="left"/>
      <w:lvlText w:val="%1."/>
      <w:numFmt w:val="decimal"/>
      <w:start w:val="1"/>
    </w:lvl>
  </w:abstractNum>
  <w:abstractNum w:abstractNumId="26">
    <w:nsid w:val="5C482A97"/>
    <w:multiLevelType w:val="hybridMultilevel"/>
    <w:lvl w:ilvl="0">
      <w:lvlJc w:val="left"/>
      <w:lvlText w:val="%1."/>
      <w:numFmt w:val="decimal"/>
      <w:start w:val="1"/>
    </w:lvl>
  </w:abstractNum>
  <w:abstractNum w:abstractNumId="27">
    <w:nsid w:val="2463B9EA"/>
    <w:multiLevelType w:val="hybridMultilevel"/>
    <w:lvl w:ilvl="0">
      <w:lvlJc w:val="left"/>
      <w:lvlText w:val="%1."/>
      <w:numFmt w:val="decimal"/>
      <w:start w:val="1"/>
    </w:lvl>
  </w:abstractNum>
  <w:abstractNum w:abstractNumId="28">
    <w:nsid w:val="5E884ADC"/>
    <w:multiLevelType w:val="hybridMultilevel"/>
    <w:lvl w:ilvl="0">
      <w:lvlJc w:val="left"/>
      <w:lvlText w:val="%1."/>
      <w:numFmt w:val="decimal"/>
      <w:start w:val="1"/>
    </w:lvl>
  </w:abstractNum>
  <w:abstractNum w:abstractNumId="29">
    <w:nsid w:val="51EAD36B"/>
    <w:multiLevelType w:val="hybridMultilevel"/>
    <w:lvl w:ilvl="0">
      <w:lvlJc w:val="left"/>
      <w:lvlText w:val="%1."/>
      <w:numFmt w:val="decimal"/>
      <w:start w:val="1"/>
    </w:lvl>
  </w:abstractNum>
  <w:abstractNum w:abstractNumId="30">
    <w:nsid w:val="2D517796"/>
    <w:multiLevelType w:val="hybridMultilevel"/>
    <w:lvl w:ilvl="0">
      <w:lvlJc w:val="left"/>
      <w:lvlText w:val="%1."/>
      <w:numFmt w:val="decimal"/>
      <w:start w:val="1"/>
    </w:lvl>
  </w:abstractNum>
  <w:abstractNum w:abstractNumId="31">
    <w:nsid w:val="580BD78F"/>
    <w:multiLevelType w:val="hybridMultilevel"/>
    <w:lvl w:ilvl="0">
      <w:lvlJc w:val="left"/>
      <w:lvlText w:val="%1."/>
      <w:numFmt w:val="decimal"/>
      <w:start w:val="1"/>
    </w:lvl>
  </w:abstractNum>
  <w:abstractNum w:abstractNumId="32">
    <w:nsid w:val="153EA438"/>
    <w:multiLevelType w:val="hybridMultilevel"/>
    <w:lvl w:ilvl="0">
      <w:lvlJc w:val="left"/>
      <w:lvlText w:val="%1."/>
      <w:numFmt w:val="decimal"/>
      <w:start w:val="1"/>
    </w:lvl>
  </w:abstractNum>
  <w:abstractNum w:abstractNumId="33">
    <w:nsid w:val="3855585C"/>
    <w:multiLevelType w:val="hybridMultilevel"/>
    <w:lvl w:ilvl="0">
      <w:lvlJc w:val="left"/>
      <w:lvlText w:val="%1."/>
      <w:numFmt w:val="decimal"/>
      <w:start w:val="1"/>
    </w:lvl>
  </w:abstractNum>
  <w:abstractNum w:abstractNumId="34">
    <w:nsid w:val="70A64E2A"/>
    <w:multiLevelType w:val="hybridMultilevel"/>
    <w:lvl w:ilvl="0">
      <w:lvlJc w:val="left"/>
      <w:lvlText w:val="%1."/>
      <w:numFmt w:val="decimal"/>
      <w:start w:val="1"/>
    </w:lvl>
  </w:abstractNum>
  <w:abstractNum w:abstractNumId="35">
    <w:nsid w:val="6A2342EC"/>
    <w:multiLevelType w:val="hybridMultilevel"/>
    <w:lvl w:ilvl="0">
      <w:lvlJc w:val="left"/>
      <w:lvlText w:val="%1."/>
      <w:numFmt w:val="decimal"/>
      <w:start w:val="1"/>
    </w:lvl>
  </w:abstractNum>
  <w:abstractNum w:abstractNumId="36">
    <w:nsid w:val="2A487CB0"/>
    <w:multiLevelType w:val="hybridMultilevel"/>
    <w:lvl w:ilvl="0">
      <w:lvlJc w:val="left"/>
      <w:lvlText w:val="%1."/>
      <w:numFmt w:val="decimal"/>
      <w:start w:val="1"/>
    </w:lvl>
  </w:abstractNum>
  <w:abstractNum w:abstractNumId="37">
    <w:nsid w:val="1D4ED43B"/>
    <w:multiLevelType w:val="hybridMultilevel"/>
    <w:lvl w:ilvl="0">
      <w:lvlJc w:val="left"/>
      <w:lvlText w:val="**"/>
      <w:numFmt w:val="bullet"/>
      <w:start w:val="1"/>
    </w:lvl>
  </w:abstractNum>
  <w:abstractNum w:abstractNumId="38">
    <w:nsid w:val="725A06FB"/>
    <w:multiLevelType w:val="hybridMultilevel"/>
    <w:lvl w:ilvl="0">
      <w:lvlJc w:val="left"/>
      <w:lvlText w:val="†"/>
      <w:numFmt w:val="bullet"/>
      <w:start w:val="1"/>
    </w:lvl>
    <w:lvl w:ilvl="1">
      <w:lvlJc w:val="left"/>
      <w:lvlText w:val="(%2)"/>
      <w:numFmt w:val="lowerLetter"/>
      <w:start w:val="2"/>
    </w:lvl>
  </w:abstractNum>
  <w:abstractNum w:abstractNumId="39">
    <w:nsid w:val="2CD89A32"/>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lvl w:ilvl="3">
      <w:lvlJc w:val="left"/>
      <w:lvlText w:val="%4"/>
      <w:numFmt w:val="lowerLetter"/>
      <w:start w:val="1"/>
    </w:lvl>
  </w:abstractNum>
  <w:abstractNum w:abstractNumId="40">
    <w:nsid w:val="57E4CCAF"/>
    <w:multiLevelType w:val="hybridMultilevel"/>
    <w:lvl w:ilvl="0">
      <w:lvlJc w:val="left"/>
      <w:lvlText w:val="%1."/>
      <w:numFmt w:val="decimal"/>
      <w:start w:val="2"/>
    </w:lvl>
    <w:lvl w:ilvl="1">
      <w:lvlJc w:val="left"/>
      <w:lvlText w:val="%2"/>
      <w:numFmt w:val="decimal"/>
      <w:start w:val="1"/>
    </w:lvl>
    <w:lvl w:ilvl="2">
      <w:lvlJc w:val="left"/>
      <w:lvlText w:val="(%3)"/>
      <w:numFmt w:val="lowerLetter"/>
      <w:start w:val="1"/>
    </w:lvl>
    <w:lvl w:ilvl="3">
      <w:lvlJc w:val="left"/>
      <w:lvlText w:val="(%4)"/>
      <w:numFmt w:val="lowerLetter"/>
      <w:start w:val="9"/>
    </w:lvl>
  </w:abstractNum>
  <w:abstractNum w:abstractNumId="41">
    <w:nsid w:val="7A6D8D3C"/>
    <w:multiLevelType w:val="hybridMultilevel"/>
    <w:lvl w:ilvl="0">
      <w:lvlJc w:val="left"/>
      <w:lvlText w:val="(%1)"/>
      <w:numFmt w:val="lowerRoman"/>
      <w:start w:val="2"/>
    </w:lvl>
  </w:abstractNum>
  <w:abstractNum w:abstractNumId="42">
    <w:nsid w:val="4B588F54"/>
    <w:multiLevelType w:val="hybridMultilevel"/>
    <w:lvl w:ilvl="0">
      <w:lvlJc w:val="left"/>
      <w:lvlText w:val="%1"/>
      <w:numFmt w:val="decimal"/>
      <w:start w:val="1"/>
    </w:lvl>
    <w:lvl w:ilvl="1">
      <w:lvlJc w:val="left"/>
      <w:lvlText w:val="%2."/>
      <w:numFmt w:val="decimal"/>
      <w:start w:val="8"/>
    </w:lvl>
    <w:lvl w:ilvl="2">
      <w:lvlJc w:val="left"/>
      <w:lvlText w:val="(%3)"/>
      <w:numFmt w:val="lowerLetter"/>
      <w:start w:val="1"/>
    </w:lvl>
  </w:abstractNum>
  <w:abstractNum w:abstractNumId="43">
    <w:nsid w:val="542289EC"/>
    <w:multiLevelType w:val="hybridMultilevel"/>
    <w:lvl w:ilvl="0">
      <w:lvlJc w:val="left"/>
      <w:lvlText w:val="%1."/>
      <w:numFmt w:val="decimal"/>
      <w:start w:val="9"/>
    </w:lvl>
    <w:lvl w:ilvl="1">
      <w:lvlJc w:val="left"/>
      <w:lvlText w:val="%2"/>
      <w:numFmt w:val="decimal"/>
      <w:start w:val="1"/>
    </w:lvl>
    <w:lvl w:ilvl="2">
      <w:lvlJc w:val="left"/>
      <w:lvlText w:val="%3"/>
      <w:numFmt w:val="lowerLetter"/>
      <w:start w:val="1"/>
    </w:lvl>
  </w:abstractNum>
  <w:abstractNum w:abstractNumId="44">
    <w:nsid w:val="6DE91B18"/>
    <w:multiLevelType w:val="hybridMultilevel"/>
    <w:lvl w:ilvl="0">
      <w:lvlJc w:val="left"/>
      <w:lvlText w:val="%1."/>
      <w:numFmt w:val="decimal"/>
      <w:start w:val="12"/>
    </w:lvl>
  </w:abstractNum>
  <w:abstractNum w:abstractNumId="45">
    <w:nsid w:val="38437FDB"/>
    <w:multiLevelType w:val="hybridMultilevel"/>
    <w:lvl w:ilvl="0">
      <w:lvlJc w:val="left"/>
      <w:lvlText w:val="%1."/>
      <w:numFmt w:val="decimal"/>
      <w:start w:val="22"/>
    </w:lvl>
  </w:abstractNum>
  <w:abstractNum w:abstractNumId="46">
    <w:nsid w:val="7644A45C"/>
    <w:multiLevelType w:val="hybridMultilevel"/>
    <w:lvl w:ilvl="0">
      <w:lvlJc w:val="left"/>
      <w:lvlText w:val="%1."/>
      <w:numFmt w:val="decimal"/>
      <w:start w:val="1"/>
    </w:lvl>
    <w:lvl w:ilvl="1">
      <w:lvlJc w:val="left"/>
      <w:lvlText w:val="(%2)"/>
      <w:numFmt w:val="lowerLetter"/>
      <w:start w:val="1"/>
    </w:lvl>
  </w:abstractNum>
  <w:abstractNum w:abstractNumId="47">
    <w:nsid w:val="32FFF902"/>
    <w:multiLevelType w:val="hybridMultilevel"/>
    <w:lvl w:ilvl="0">
      <w:lvlJc w:val="left"/>
      <w:lvlText w:val="%1."/>
      <w:numFmt w:val="decimal"/>
      <w:start w:val="1"/>
    </w:lvl>
    <w:lvl w:ilvl="1">
      <w:lvlJc w:val="left"/>
      <w:lvlText w:val="(%2)"/>
      <w:numFmt w:val="lowerLetter"/>
      <w:start w:val="1"/>
    </w:lvl>
  </w:abstractNum>
  <w:abstractNum w:abstractNumId="48">
    <w:nsid w:val="684A481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42" Type="http://schemas.openxmlformats.org/officeDocument/2006/relationships/image" Target="media/image22.png"/><Relationship Id="rId43" Type="http://schemas.openxmlformats.org/officeDocument/2006/relationships/image" Target="media/image23.png"/><Relationship Id="rId44" Type="http://schemas.openxmlformats.org/officeDocument/2006/relationships/image" Target="media/image24.png"/><Relationship Id="rId45" Type="http://schemas.openxmlformats.org/officeDocument/2006/relationships/image" Target="media/image25.png"/><Relationship Id="rId29" Type="http://schemas.openxmlformats.org/officeDocument/2006/relationships/hyperlink" Target="http://www.sec.gov/Archives/edgar/data/1423689/000142368918000016/agncexhibit313311810-q.htm" TargetMode="External"/><Relationship Id="rId30" Type="http://schemas.openxmlformats.org/officeDocument/2006/relationships/hyperlink" Target="http://www.sec.gov/Archives/edgar/data/1423689/000142368916000104/agncexhibit329301610-qbyla.htm" TargetMode="External"/><Relationship Id="rId31" Type="http://schemas.openxmlformats.org/officeDocument/2006/relationships/hyperlink" Target="http://www.sec.gov/Archives/edgar/data/1423689/000142368914000023/exh34certificateofdesignat.htm" TargetMode="External"/><Relationship Id="rId32" Type="http://schemas.openxmlformats.org/officeDocument/2006/relationships/hyperlink" Target="http://www.sec.gov/Archives/edgar/data/1423689/000142368917000044/ex35certificateofdesignati.htm" TargetMode="External"/><Relationship Id="rId33" Type="http://schemas.openxmlformats.org/officeDocument/2006/relationships/hyperlink" Target="http://www.sec.gov/Archives/edgar/data/1423689/000142368917000065/certificateofelimination.htm" TargetMode="External"/><Relationship Id="rId34" Type="http://schemas.openxmlformats.org/officeDocument/2006/relationships/hyperlink" Target="http://www.sec.gov/Archives/edgar/data/1423689/000142368919000019/certificateofdesignations.htm" TargetMode="External"/><Relationship Id="rId35" Type="http://schemas.openxmlformats.org/officeDocument/2006/relationships/hyperlink" Target="http://www.sec.gov/Archives/edgar/data/1423689/000142368916000104/agncexhibit43.htm" TargetMode="External"/><Relationship Id="rId36" Type="http://schemas.openxmlformats.org/officeDocument/2006/relationships/hyperlink" Target="http://www.sec.gov/Archives/edgar/data/1423689/000142368914000023/agncspecimenseriesbcumul.htm" TargetMode="External"/><Relationship Id="rId37" Type="http://schemas.openxmlformats.org/officeDocument/2006/relationships/hyperlink" Target="http://www.sec.gov/Archives/edgar/data/1423689/000142368917000044/exhibit41.htm" TargetMode="External"/><Relationship Id="rId38" Type="http://schemas.openxmlformats.org/officeDocument/2006/relationships/hyperlink" Target="http://www.sec.gov/Archives/edgar/data/1423689/000142368919000019/stockcertificateb98.htm" TargetMode="External"/><Relationship Id="rId39" Type="http://schemas.openxmlformats.org/officeDocument/2006/relationships/hyperlink" Target="http://www.sec.gov/Archives/edgar/data/1423689/000142368914000026/exhibit42depositagreement.htm" TargetMode="External"/><Relationship Id="rId40" Type="http://schemas.openxmlformats.org/officeDocument/2006/relationships/hyperlink" Target="http://www.sec.gov/Archives/edgar/data/1423689/000142368917000049/depositagreement.htm" TargetMode="External"/><Relationship Id="rId41" Type="http://schemas.openxmlformats.org/officeDocument/2006/relationships/hyperlink" Target="http://www.sec.gov/Archives/edgar/data/1423689/000142368919000021/prefddepositagmt.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2019-12-28T13:08:49Z</dcterms:created>
  <dcterms:modified xsi:type="dcterms:W3CDTF">2019-12-28T13:08:49Z</dcterms:modified>
</cp:coreProperties>
</file>