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234950</wp:posOffset>
            </wp:positionH>
            <wp:positionV relativeFrom="page">
              <wp:posOffset>534670</wp:posOffset>
            </wp:positionV>
            <wp:extent cx="7100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0057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-224155</wp:posOffset>
            </wp:positionV>
            <wp:extent cx="7100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ind w:left="3440"/>
        <w:spacing w:after="0"/>
        <w:rPr>
          <w:sz w:val="20"/>
          <w:szCs w:val="20"/>
          <w:color w:val="auto"/>
        </w:rPr>
      </w:pPr>
      <w:r>
        <w:rPr>
          <w:rFonts w:ascii="Arial" w:cs="Arial" w:eastAsia="Arial" w:hAnsi="Arial"/>
          <w:sz w:val="18"/>
          <w:szCs w:val="18"/>
          <w:color w:val="auto"/>
        </w:rPr>
        <w:t>__________________________________________________</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12"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142" w:lineRule="exact"/>
        <w:rPr>
          <w:sz w:val="24"/>
          <w:szCs w:val="24"/>
          <w:color w:val="auto"/>
        </w:rPr>
      </w:pPr>
    </w:p>
    <w:p>
      <w:pPr>
        <w:ind w:left="800" w:hanging="765"/>
        <w:spacing w:after="0"/>
        <w:tabs>
          <w:tab w:leader="none" w:pos="80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QUARTERLY REPORT PURSUANT TO SECTION 13 OR 15(D) OF THE SECURITIES EXCHANGE ACT OF</w:t>
      </w:r>
    </w:p>
    <w:p>
      <w:pPr>
        <w:spacing w:after="0" w:line="25" w:lineRule="exact"/>
        <w:rPr>
          <w:rFonts w:ascii="MS PGothic" w:cs="MS PGothic" w:eastAsia="MS PGothic" w:hAnsi="MS PGothic"/>
          <w:sz w:val="21"/>
          <w:szCs w:val="21"/>
          <w:color w:val="auto"/>
        </w:rPr>
      </w:pPr>
    </w:p>
    <w:p>
      <w:pPr>
        <w:ind w:left="584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1934</w:t>
      </w:r>
    </w:p>
    <w:p>
      <w:pPr>
        <w:spacing w:after="0" w:line="5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September 30, 2012</w:t>
      </w:r>
    </w:p>
    <w:p>
      <w:pPr>
        <w:spacing w:after="0" w:line="9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780" w:hanging="745"/>
        <w:spacing w:after="0"/>
        <w:tabs>
          <w:tab w:leader="none" w:pos="780" w:val="left"/>
        </w:tabs>
        <w:numPr>
          <w:ilvl w:val="0"/>
          <w:numId w:val="2"/>
        </w:numPr>
        <w:rPr>
          <w:rFonts w:ascii="MS PGothic" w:cs="MS PGothic" w:eastAsia="MS PGothic" w:hAnsi="MS PGothic"/>
          <w:sz w:val="21"/>
          <w:szCs w:val="21"/>
          <w:color w:val="auto"/>
        </w:rPr>
      </w:pPr>
      <w:r>
        <w:rPr>
          <w:rFonts w:ascii="Arial" w:cs="Arial" w:eastAsia="Arial" w:hAnsi="Arial"/>
          <w:sz w:val="21"/>
          <w:szCs w:val="21"/>
          <w:b w:val="1"/>
          <w:bCs w:val="1"/>
          <w:color w:val="auto"/>
        </w:rPr>
        <w:t>TRANSITION REPORT PURSUANT TO SECTION 13 OR 15(D) OF THE SECURITIES EXCHANGE ACT OF</w:t>
      </w:r>
    </w:p>
    <w:p>
      <w:pPr>
        <w:spacing w:after="0" w:line="25" w:lineRule="exact"/>
        <w:rPr>
          <w:rFonts w:ascii="MS PGothic" w:cs="MS PGothic" w:eastAsia="MS PGothic" w:hAnsi="MS PGothic"/>
          <w:sz w:val="21"/>
          <w:szCs w:val="21"/>
          <w:color w:val="auto"/>
        </w:rPr>
      </w:pPr>
    </w:p>
    <w:p>
      <w:pPr>
        <w:ind w:left="584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1934</w:t>
      </w:r>
    </w:p>
    <w:p>
      <w:pPr>
        <w:spacing w:after="0" w:line="16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001-34057</w:t>
      </w:r>
    </w:p>
    <w:p>
      <w:pPr>
        <w:spacing w:after="0" w:line="27" w:lineRule="exact"/>
        <w:rPr>
          <w:sz w:val="24"/>
          <w:szCs w:val="24"/>
          <w:color w:val="auto"/>
        </w:rPr>
      </w:pPr>
    </w:p>
    <w:p>
      <w:pPr>
        <w:ind w:left="3440"/>
        <w:spacing w:after="0"/>
        <w:rPr>
          <w:sz w:val="20"/>
          <w:szCs w:val="20"/>
          <w:color w:val="auto"/>
        </w:rPr>
      </w:pPr>
      <w:r>
        <w:rPr>
          <w:rFonts w:ascii="Arial" w:cs="Arial" w:eastAsia="Arial" w:hAnsi="Arial"/>
          <w:sz w:val="18"/>
          <w:szCs w:val="18"/>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2852420</wp:posOffset>
            </wp:positionH>
            <wp:positionV relativeFrom="paragraph">
              <wp:posOffset>108585</wp:posOffset>
            </wp:positionV>
            <wp:extent cx="1551940" cy="8407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51940" cy="8407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AMERICAN CAPITAL AGENCY CORP.</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pacing w:after="0" w:line="153" w:lineRule="exact"/>
        <w:rPr>
          <w:sz w:val="24"/>
          <w:szCs w:val="24"/>
          <w:color w:val="auto"/>
        </w:rPr>
      </w:pPr>
    </w:p>
    <w:tbl>
      <w:tblPr>
        <w:tblLayout w:type="fixed"/>
        <w:tblInd w:w="1780" w:type="dxa"/>
        <w:tblCellMar>
          <w:top w:w="0" w:type="dxa"/>
          <w:left w:w="0" w:type="dxa"/>
          <w:bottom w:w="0" w:type="dxa"/>
          <w:right w:w="0" w:type="dxa"/>
        </w:tblCellMar>
      </w:tblPr>
      <w:tr>
        <w:trPr>
          <w:trHeight w:val="234"/>
        </w:trPr>
        <w:tc>
          <w:tcPr>
            <w:tcW w:w="4200" w:type="dxa"/>
            <w:vAlign w:val="bottom"/>
          </w:tcPr>
          <w:p>
            <w:pPr>
              <w:jc w:val="center"/>
              <w:ind w:right="2182"/>
              <w:spacing w:after="0"/>
              <w:rPr>
                <w:sz w:val="20"/>
                <w:szCs w:val="20"/>
                <w:color w:val="auto"/>
              </w:rPr>
            </w:pPr>
            <w:r>
              <w:rPr>
                <w:rFonts w:ascii="Arial" w:cs="Arial" w:eastAsia="Arial" w:hAnsi="Arial"/>
                <w:sz w:val="18"/>
                <w:szCs w:val="18"/>
                <w:b w:val="1"/>
                <w:bCs w:val="1"/>
                <w:color w:val="auto"/>
                <w:w w:val="93"/>
              </w:rPr>
              <w:t>Delaware</w:t>
            </w:r>
          </w:p>
        </w:tc>
        <w:tc>
          <w:tcPr>
            <w:tcW w:w="3380" w:type="dxa"/>
            <w:vAlign w:val="bottom"/>
          </w:tcPr>
          <w:p>
            <w:pPr>
              <w:jc w:val="center"/>
              <w:ind w:left="2182"/>
              <w:spacing w:after="0"/>
              <w:rPr>
                <w:sz w:val="20"/>
                <w:szCs w:val="20"/>
                <w:color w:val="auto"/>
              </w:rPr>
            </w:pPr>
            <w:r>
              <w:rPr>
                <w:rFonts w:ascii="Arial" w:cs="Arial" w:eastAsia="Arial" w:hAnsi="Arial"/>
                <w:sz w:val="18"/>
                <w:szCs w:val="18"/>
                <w:b w:val="1"/>
                <w:bCs w:val="1"/>
                <w:color w:val="auto"/>
                <w:w w:val="91"/>
              </w:rPr>
              <w:t>26-1701984</w:t>
            </w:r>
          </w:p>
        </w:tc>
      </w:tr>
      <w:tr>
        <w:trPr>
          <w:trHeight w:val="180"/>
        </w:trPr>
        <w:tc>
          <w:tcPr>
            <w:tcW w:w="4200" w:type="dxa"/>
            <w:vAlign w:val="bottom"/>
          </w:tcPr>
          <w:p>
            <w:pPr>
              <w:jc w:val="center"/>
              <w:ind w:right="2182"/>
              <w:spacing w:after="0"/>
              <w:rPr>
                <w:sz w:val="20"/>
                <w:szCs w:val="20"/>
                <w:color w:val="auto"/>
              </w:rPr>
            </w:pPr>
            <w:r>
              <w:rPr>
                <w:rFonts w:ascii="Arial" w:cs="Arial" w:eastAsia="Arial" w:hAnsi="Arial"/>
                <w:sz w:val="14"/>
                <w:szCs w:val="14"/>
                <w:b w:val="1"/>
                <w:bCs w:val="1"/>
                <w:color w:val="auto"/>
                <w:w w:val="93"/>
              </w:rPr>
              <w:t>(State or Other Jurisdiction of</w:t>
            </w:r>
          </w:p>
        </w:tc>
        <w:tc>
          <w:tcPr>
            <w:tcW w:w="3380" w:type="dxa"/>
            <w:vAlign w:val="bottom"/>
          </w:tcPr>
          <w:p>
            <w:pPr>
              <w:jc w:val="center"/>
              <w:ind w:left="2182"/>
              <w:spacing w:after="0"/>
              <w:rPr>
                <w:sz w:val="20"/>
                <w:szCs w:val="20"/>
                <w:color w:val="auto"/>
              </w:rPr>
            </w:pPr>
            <w:r>
              <w:rPr>
                <w:rFonts w:ascii="Arial" w:cs="Arial" w:eastAsia="Arial" w:hAnsi="Arial"/>
                <w:sz w:val="14"/>
                <w:szCs w:val="14"/>
                <w:b w:val="1"/>
                <w:bCs w:val="1"/>
                <w:color w:val="auto"/>
                <w:w w:val="96"/>
              </w:rPr>
              <w:t>(I.R.S. Employer</w:t>
            </w:r>
          </w:p>
        </w:tc>
      </w:tr>
      <w:tr>
        <w:trPr>
          <w:trHeight w:val="186"/>
        </w:trPr>
        <w:tc>
          <w:tcPr>
            <w:tcW w:w="4200" w:type="dxa"/>
            <w:vAlign w:val="bottom"/>
          </w:tcPr>
          <w:p>
            <w:pPr>
              <w:jc w:val="center"/>
              <w:ind w:right="2182"/>
              <w:spacing w:after="0"/>
              <w:rPr>
                <w:sz w:val="20"/>
                <w:szCs w:val="20"/>
                <w:color w:val="auto"/>
              </w:rPr>
            </w:pPr>
            <w:r>
              <w:rPr>
                <w:rFonts w:ascii="Arial" w:cs="Arial" w:eastAsia="Arial" w:hAnsi="Arial"/>
                <w:sz w:val="14"/>
                <w:szCs w:val="14"/>
                <w:b w:val="1"/>
                <w:bCs w:val="1"/>
                <w:color w:val="auto"/>
                <w:w w:val="95"/>
              </w:rPr>
              <w:t>Incorporation or Organization)</w:t>
            </w:r>
          </w:p>
        </w:tc>
        <w:tc>
          <w:tcPr>
            <w:tcW w:w="3380" w:type="dxa"/>
            <w:vAlign w:val="bottom"/>
          </w:tcPr>
          <w:p>
            <w:pPr>
              <w:jc w:val="center"/>
              <w:ind w:left="2182"/>
              <w:spacing w:after="0"/>
              <w:rPr>
                <w:sz w:val="20"/>
                <w:szCs w:val="20"/>
                <w:color w:val="auto"/>
              </w:rPr>
            </w:pPr>
            <w:r>
              <w:rPr>
                <w:rFonts w:ascii="Arial" w:cs="Arial" w:eastAsia="Arial" w:hAnsi="Arial"/>
                <w:sz w:val="14"/>
                <w:szCs w:val="14"/>
                <w:b w:val="1"/>
                <w:bCs w:val="1"/>
                <w:color w:val="auto"/>
                <w:w w:val="94"/>
              </w:rPr>
              <w:t>Identification No.)</w:t>
            </w:r>
          </w:p>
        </w:tc>
      </w:tr>
    </w:tbl>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2 Bethesda Metro Center, 14th Floor</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(Address of principal executive offices)</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(301) 968-9300</w:t>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9"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47" w:lineRule="exact"/>
        <w:rPr>
          <w:sz w:val="24"/>
          <w:szCs w:val="24"/>
          <w:color w:val="auto"/>
        </w:rPr>
      </w:pPr>
    </w:p>
    <w:p>
      <w:pPr>
        <w:ind w:right="160"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2" w:lineRule="exact"/>
        <w:rPr>
          <w:sz w:val="24"/>
          <w:szCs w:val="24"/>
          <w:color w:val="auto"/>
        </w:rPr>
      </w:pPr>
    </w:p>
    <w:p>
      <w:pPr>
        <w:ind w:right="260"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2" w:lineRule="exact"/>
        <w:rPr>
          <w:sz w:val="24"/>
          <w:szCs w:val="24"/>
          <w:color w:val="auto"/>
        </w:rPr>
      </w:pPr>
    </w:p>
    <w:p>
      <w:pPr>
        <w:ind w:firstLine="432"/>
        <w:spacing w:after="0" w:line="277"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ectPr>
          <w:pgSz w:w="11900" w:h="16838" w:orient="portrait"/>
          <w:cols w:equalWidth="0" w:num="1">
            <w:col w:w="11420"/>
          </w:cols>
          <w:pgMar w:left="240" w:top="963" w:right="239" w:bottom="1440" w:gutter="0" w:footer="0" w:header="0"/>
        </w:sectPr>
      </w:pPr>
    </w:p>
    <w:p>
      <w:pPr>
        <w:spacing w:after="0" w:line="116" w:lineRule="exact"/>
        <w:rPr>
          <w:sz w:val="24"/>
          <w:szCs w:val="24"/>
          <w:color w:val="auto"/>
        </w:rPr>
      </w:pPr>
    </w:p>
    <w:p>
      <w:pPr>
        <w:ind w:left="40"/>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64"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96"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64"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31" w:lineRule="exact"/>
        <w:rPr>
          <w:sz w:val="24"/>
          <w:szCs w:val="24"/>
          <w:color w:val="auto"/>
        </w:rPr>
      </w:pPr>
    </w:p>
    <w:p>
      <w:pPr>
        <w:sectPr>
          <w:pgSz w:w="11900" w:h="16838" w:orient="portrait"/>
          <w:cols w:equalWidth="0" w:num="4">
            <w:col w:w="2000" w:space="720"/>
            <w:col w:w="4220" w:space="720"/>
            <w:col w:w="2520" w:space="720"/>
            <w:col w:w="520"/>
          </w:cols>
          <w:pgMar w:left="240" w:top="963" w:right="239" w:bottom="1440" w:gutter="0" w:footer="0" w:header="0"/>
          <w:type w:val="continuous"/>
        </w:sectPr>
      </w:pPr>
    </w:p>
    <w:p>
      <w:pPr>
        <w:spacing w:after="0" w:line="33" w:lineRule="exact"/>
        <w:rPr>
          <w:sz w:val="24"/>
          <w:szCs w:val="24"/>
          <w:color w:val="auto"/>
        </w:rPr>
      </w:pPr>
    </w:p>
    <w:p>
      <w:pPr>
        <w:ind w:left="40"/>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(Do not check if a smaller reporting company)</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jc w:val="center"/>
        <w:ind w:right="460"/>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136" w:lineRule="exact"/>
        <w:rPr>
          <w:sz w:val="24"/>
          <w:szCs w:val="24"/>
          <w:color w:val="auto"/>
        </w:rPr>
      </w:pPr>
    </w:p>
    <w:p>
      <w:pPr>
        <w:sectPr>
          <w:pgSz w:w="11900" w:h="16838" w:orient="portrait"/>
          <w:cols w:equalWidth="0" w:num="5">
            <w:col w:w="2000" w:space="720"/>
            <w:col w:w="160" w:space="180"/>
            <w:col w:w="3880" w:space="720"/>
            <w:col w:w="2520" w:space="720"/>
            <w:col w:w="520"/>
          </w:cols>
          <w:pgMar w:left="240" w:top="963" w:right="239" w:bottom="1440" w:gutter="0" w:footer="0" w:header="0"/>
          <w:type w:val="continuous"/>
        </w:sectPr>
      </w:pPr>
    </w:p>
    <w:p>
      <w:pPr>
        <w:spacing w:after="0" w:line="33" w:lineRule="exact"/>
        <w:rPr>
          <w:sz w:val="24"/>
          <w:szCs w:val="24"/>
          <w:color w:val="auto"/>
        </w:rPr>
      </w:pPr>
    </w:p>
    <w:p>
      <w:pPr>
        <w:ind w:left="440"/>
        <w:spacing w:after="0"/>
        <w:rPr>
          <w:sz w:val="20"/>
          <w:szCs w:val="20"/>
          <w:color w:val="auto"/>
        </w:rPr>
      </w:pPr>
      <w:r>
        <w:rPr>
          <w:rFonts w:ascii="Arial" w:cs="Arial" w:eastAsia="Arial" w:hAnsi="Arial"/>
          <w:sz w:val="16"/>
          <w:szCs w:val="16"/>
          <w:color w:val="auto"/>
        </w:rPr>
        <w:t>Indicate by check mark whether the registrant is a shell company (as defined in Rule 12b-2 of the Exchange Act).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5"/>
          <w:szCs w:val="15"/>
          <w:color w:val="auto"/>
        </w:rPr>
        <w:t>Yes</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7"/>
          <w:szCs w:val="17"/>
          <w:color w:val="auto"/>
        </w:rPr>
        <w:t>No</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143" w:lineRule="exact"/>
        <w:rPr>
          <w:sz w:val="24"/>
          <w:szCs w:val="24"/>
          <w:color w:val="auto"/>
        </w:rPr>
      </w:pPr>
    </w:p>
    <w:p>
      <w:pPr>
        <w:sectPr>
          <w:pgSz w:w="11900" w:h="16838" w:orient="portrait"/>
          <w:cols w:equalWidth="0" w:num="5">
            <w:col w:w="8620" w:space="180"/>
            <w:col w:w="260" w:space="80"/>
            <w:col w:w="160" w:space="180"/>
            <w:col w:w="220" w:space="100"/>
            <w:col w:w="1620"/>
          </w:cols>
          <w:pgMar w:left="240" w:top="963" w:right="239" w:bottom="1440" w:gutter="0" w:footer="0" w:header="0"/>
          <w:type w:val="continuous"/>
        </w:sectPr>
      </w:pPr>
    </w:p>
    <w:p>
      <w:pPr>
        <w:ind w:left="440"/>
        <w:spacing w:after="0"/>
        <w:rPr>
          <w:sz w:val="20"/>
          <w:szCs w:val="20"/>
          <w:color w:val="auto"/>
        </w:rPr>
      </w:pPr>
      <w:r>
        <w:rPr>
          <w:rFonts w:ascii="Arial" w:cs="Arial" w:eastAsia="Arial" w:hAnsi="Arial"/>
          <w:sz w:val="16"/>
          <w:szCs w:val="16"/>
          <w:color w:val="auto"/>
        </w:rPr>
        <w:t>The number of shares of the issuer’s common stock, $0.01 par value, outstanding as of October 31, 2012 was 341,598,550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201295</wp:posOffset>
            </wp:positionV>
            <wp:extent cx="71005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00570" cy="8890"/>
                    </a:xfrm>
                    <a:prstGeom prst="rect">
                      <a:avLst/>
                    </a:prstGeom>
                    <a:noFill/>
                  </pic:spPr>
                </pic:pic>
              </a:graphicData>
            </a:graphic>
          </wp:anchor>
        </w:drawing>
        <w:drawing>
          <wp:anchor simplePos="0" relativeHeight="251657728" behindDoc="1" locked="0" layoutInCell="0" allowOverlap="1">
            <wp:simplePos x="0" y="0"/>
            <wp:positionH relativeFrom="column">
              <wp:posOffset>82550</wp:posOffset>
            </wp:positionH>
            <wp:positionV relativeFrom="paragraph">
              <wp:posOffset>114935</wp:posOffset>
            </wp:positionV>
            <wp:extent cx="71005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ectPr>
          <w:pgSz w:w="11900" w:h="16838" w:orient="portrait"/>
          <w:cols w:equalWidth="0" w:num="1">
            <w:col w:w="11420"/>
          </w:cols>
          <w:pgMar w:left="240" w:top="963" w:right="239" w:bottom="1440" w:gutter="0" w:footer="0" w:header="0"/>
          <w:type w:val="continuous"/>
        </w:sectPr>
      </w:pPr>
    </w:p>
    <w:bookmarkStart w:id="1" w:name="page2"/>
    <w:bookmarkEnd w:id="1"/>
    <w:p>
      <w:pPr>
        <w:jc w:val="center"/>
        <w:ind w:right="-599"/>
        <w:spacing w:after="0"/>
        <w:rPr>
          <w:sz w:val="20"/>
          <w:szCs w:val="20"/>
          <w:color w:val="auto"/>
        </w:rPr>
      </w:pPr>
      <w:r>
        <w:rPr>
          <w:rFonts w:ascii="Arial" w:cs="Arial" w:eastAsia="Arial" w:hAnsi="Arial"/>
          <w:sz w:val="18"/>
          <w:szCs w:val="18"/>
          <w:b w:val="1"/>
          <w:bCs w:val="1"/>
          <w:color w:val="auto"/>
        </w:rPr>
        <w:t>AMERICAN CAPITAL AGENCY CORP.</w:t>
      </w:r>
    </w:p>
    <w:p>
      <w:pPr>
        <w:spacing w:after="0" w:line="90" w:lineRule="exact"/>
        <w:rPr>
          <w:sz w:val="20"/>
          <w:szCs w:val="20"/>
          <w:color w:val="auto"/>
        </w:rPr>
      </w:pPr>
    </w:p>
    <w:p>
      <w:pPr>
        <w:jc w:val="center"/>
        <w:ind w:right="-599"/>
        <w:spacing w:after="0"/>
        <w:rPr>
          <w:sz w:val="20"/>
          <w:szCs w:val="20"/>
          <w:color w:val="auto"/>
        </w:rPr>
      </w:pPr>
      <w:r>
        <w:rPr>
          <w:rFonts w:ascii="Arial" w:cs="Arial" w:eastAsia="Arial" w:hAnsi="Arial"/>
          <w:sz w:val="18"/>
          <w:szCs w:val="18"/>
          <w:b w:val="1"/>
          <w:bCs w:val="1"/>
          <w:color w:val="auto"/>
        </w:rPr>
        <w:t>TABLE OF CONTENTS</w:t>
      </w: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00" w:type="dxa"/>
            <w:vAlign w:val="bottom"/>
            <w:gridSpan w:val="4"/>
          </w:tcPr>
          <w:p>
            <w:pPr>
              <w:spacing w:after="0"/>
              <w:rPr>
                <w:rFonts w:ascii="Arial" w:cs="Arial" w:eastAsia="Arial" w:hAnsi="Arial"/>
                <w:sz w:val="18"/>
                <w:szCs w:val="18"/>
                <w:b w:val="1"/>
                <w:bCs w:val="1"/>
                <w:color w:val="0000FF"/>
              </w:rPr>
            </w:pPr>
            <w:hyperlink w:anchor="page2">
              <w:r>
                <w:rPr>
                  <w:rFonts w:ascii="Arial" w:cs="Arial" w:eastAsia="Arial" w:hAnsi="Arial"/>
                  <w:sz w:val="18"/>
                  <w:szCs w:val="18"/>
                  <w:b w:val="1"/>
                  <w:bCs w:val="1"/>
                  <w:color w:val="0000FF"/>
                </w:rPr>
                <w:t>PART I.</w:t>
              </w:r>
            </w:hyperlink>
          </w:p>
        </w:tc>
        <w:tc>
          <w:tcPr>
            <w:tcW w:w="8120" w:type="dxa"/>
            <w:vAlign w:val="bottom"/>
          </w:tcPr>
          <w:p>
            <w:pPr>
              <w:ind w:left="140"/>
              <w:spacing w:after="0"/>
              <w:rPr>
                <w:sz w:val="20"/>
                <w:szCs w:val="20"/>
                <w:color w:val="auto"/>
              </w:rPr>
            </w:pPr>
            <w:r>
              <w:rPr>
                <w:rFonts w:ascii="Arial" w:cs="Arial" w:eastAsia="Arial" w:hAnsi="Arial"/>
                <w:sz w:val="18"/>
                <w:szCs w:val="18"/>
                <w:b w:val="1"/>
                <w:bCs w:val="1"/>
                <w:color w:val="auto"/>
              </w:rPr>
              <w:t>FINANCIAL INFORMATION</w:t>
            </w:r>
          </w:p>
        </w:tc>
        <w:tc>
          <w:tcPr>
            <w:tcW w:w="1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540"/>
        </w:trPr>
        <w:tc>
          <w:tcPr>
            <w:tcW w:w="580" w:type="dxa"/>
            <w:vAlign w:val="bottom"/>
            <w:gridSpan w:val="2"/>
          </w:tcPr>
          <w:p>
            <w:pPr>
              <w:spacing w:after="0"/>
              <w:rPr>
                <w:sz w:val="20"/>
                <w:szCs w:val="20"/>
                <w:color w:val="auto"/>
              </w:rPr>
            </w:pPr>
            <w:r>
              <w:rPr>
                <w:rFonts w:ascii="Arial" w:cs="Arial" w:eastAsia="Arial" w:hAnsi="Arial"/>
                <w:sz w:val="16"/>
                <w:szCs w:val="16"/>
                <w:color w:val="0000FF"/>
              </w:rPr>
              <w:t>Item 1.</w:t>
            </w:r>
          </w:p>
        </w:tc>
        <w:tc>
          <w:tcPr>
            <w:tcW w:w="320" w:type="dxa"/>
            <w:vAlign w:val="bottom"/>
            <w:gridSpan w:val="2"/>
          </w:tcPr>
          <w:p>
            <w:pPr>
              <w:spacing w:after="0"/>
              <w:rPr>
                <w:sz w:val="24"/>
                <w:szCs w:val="24"/>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Financial Statements</w:t>
            </w:r>
          </w:p>
        </w:tc>
        <w:tc>
          <w:tcPr>
            <w:tcW w:w="1720" w:type="dxa"/>
            <w:vAlign w:val="bottom"/>
            <w:gridSpan w:val="4"/>
          </w:tcPr>
          <w:p>
            <w:pPr>
              <w:jc w:val="center"/>
              <w:ind w:left="1430"/>
              <w:spacing w:after="0"/>
              <w:rPr>
                <w:rFonts w:ascii="Arial" w:cs="Arial" w:eastAsia="Arial" w:hAnsi="Arial"/>
                <w:sz w:val="18"/>
                <w:szCs w:val="18"/>
                <w:color w:val="0000FF"/>
                <w:w w:val="79"/>
              </w:rPr>
            </w:pPr>
            <w:hyperlink w:anchor="page3">
              <w:r>
                <w:rPr>
                  <w:rFonts w:ascii="Arial" w:cs="Arial" w:eastAsia="Arial" w:hAnsi="Arial"/>
                  <w:sz w:val="18"/>
                  <w:szCs w:val="18"/>
                  <w:color w:val="0000FF"/>
                  <w:w w:val="79"/>
                </w:rPr>
                <w:t>2</w:t>
              </w:r>
            </w:hyperlink>
          </w:p>
        </w:tc>
      </w:tr>
      <w:tr>
        <w:trPr>
          <w:trHeight w:val="27"/>
        </w:trPr>
        <w:tc>
          <w:tcPr>
            <w:tcW w:w="580" w:type="dxa"/>
            <w:vAlign w:val="bottom"/>
            <w:gridSpan w:val="2"/>
            <w:shd w:val="clear" w:color="auto" w:fill="0000FF"/>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shd w:val="clear" w:color="auto" w:fill="0000FF"/>
          </w:tcPr>
          <w:p>
            <w:pPr>
              <w:spacing w:after="0"/>
              <w:rPr>
                <w:sz w:val="2"/>
                <w:szCs w:val="2"/>
                <w:color w:val="auto"/>
              </w:rPr>
            </w:pPr>
          </w:p>
        </w:tc>
        <w:tc>
          <w:tcPr>
            <w:tcW w:w="60" w:type="dxa"/>
            <w:vAlign w:val="bottom"/>
          </w:tcPr>
          <w:p>
            <w:pPr>
              <w:spacing w:after="0"/>
              <w:rPr>
                <w:sz w:val="2"/>
                <w:szCs w:val="2"/>
                <w:color w:val="auto"/>
              </w:rPr>
            </w:pPr>
          </w:p>
        </w:tc>
      </w:tr>
      <w:tr>
        <w:trPr>
          <w:trHeight w:val="243"/>
        </w:trPr>
        <w:tc>
          <w:tcPr>
            <w:tcW w:w="580" w:type="dxa"/>
            <w:vAlign w:val="bottom"/>
            <w:gridSpan w:val="2"/>
          </w:tcPr>
          <w:p>
            <w:pPr>
              <w:spacing w:after="0"/>
              <w:rPr>
                <w:rFonts w:ascii="Arial" w:cs="Arial" w:eastAsia="Arial" w:hAnsi="Arial"/>
                <w:sz w:val="16"/>
                <w:szCs w:val="16"/>
                <w:color w:val="0000FF"/>
              </w:rPr>
            </w:pPr>
            <w:hyperlink w:anchor="page46">
              <w:r>
                <w:rPr>
                  <w:rFonts w:ascii="Arial" w:cs="Arial" w:eastAsia="Arial" w:hAnsi="Arial"/>
                  <w:sz w:val="16"/>
                  <w:szCs w:val="16"/>
                  <w:color w:val="0000FF"/>
                </w:rPr>
                <w:t>Item 2.</w:t>
              </w:r>
            </w:hyperlink>
          </w:p>
        </w:tc>
        <w:tc>
          <w:tcPr>
            <w:tcW w:w="320" w:type="dxa"/>
            <w:vAlign w:val="bottom"/>
            <w:gridSpan w:val="2"/>
          </w:tcPr>
          <w:p>
            <w:pPr>
              <w:spacing w:after="0"/>
              <w:rPr>
                <w:sz w:val="21"/>
                <w:szCs w:val="21"/>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25">
              <w:r>
                <w:rPr>
                  <w:rFonts w:ascii="Arial" w:cs="Arial" w:eastAsia="Arial" w:hAnsi="Arial"/>
                  <w:sz w:val="18"/>
                  <w:szCs w:val="18"/>
                  <w:color w:val="0000FF"/>
                  <w:w w:val="89"/>
                </w:rPr>
                <w:t>24</w:t>
              </w:r>
            </w:hyperlink>
          </w:p>
        </w:tc>
      </w:tr>
      <w:tr>
        <w:trPr>
          <w:trHeight w:val="27"/>
        </w:trPr>
        <w:tc>
          <w:tcPr>
            <w:tcW w:w="580" w:type="dxa"/>
            <w:vAlign w:val="bottom"/>
            <w:gridSpan w:val="2"/>
            <w:shd w:val="clear" w:color="auto" w:fill="0000FF"/>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243"/>
        </w:trPr>
        <w:tc>
          <w:tcPr>
            <w:tcW w:w="580" w:type="dxa"/>
            <w:vAlign w:val="bottom"/>
            <w:gridSpan w:val="2"/>
          </w:tcPr>
          <w:p>
            <w:pPr>
              <w:spacing w:after="0"/>
              <w:rPr>
                <w:rFonts w:ascii="Arial" w:cs="Arial" w:eastAsia="Arial" w:hAnsi="Arial"/>
                <w:sz w:val="16"/>
                <w:szCs w:val="16"/>
                <w:color w:val="0000FF"/>
              </w:rPr>
            </w:pPr>
            <w:hyperlink w:anchor="page46">
              <w:r>
                <w:rPr>
                  <w:rFonts w:ascii="Arial" w:cs="Arial" w:eastAsia="Arial" w:hAnsi="Arial"/>
                  <w:sz w:val="16"/>
                  <w:szCs w:val="16"/>
                  <w:color w:val="0000FF"/>
                </w:rPr>
                <w:t>Item 3.</w:t>
              </w:r>
            </w:hyperlink>
          </w:p>
        </w:tc>
        <w:tc>
          <w:tcPr>
            <w:tcW w:w="320" w:type="dxa"/>
            <w:vAlign w:val="bottom"/>
            <w:gridSpan w:val="2"/>
          </w:tcPr>
          <w:p>
            <w:pPr>
              <w:spacing w:after="0"/>
              <w:rPr>
                <w:sz w:val="21"/>
                <w:szCs w:val="21"/>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Quantitative and Qualitative Disclosures About Market Risk</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3">
              <w:r>
                <w:rPr>
                  <w:rFonts w:ascii="Arial" w:cs="Arial" w:eastAsia="Arial" w:hAnsi="Arial"/>
                  <w:sz w:val="18"/>
                  <w:szCs w:val="18"/>
                  <w:color w:val="0000FF"/>
                  <w:w w:val="89"/>
                </w:rPr>
                <w:t>42</w:t>
              </w:r>
            </w:hyperlink>
          </w:p>
        </w:tc>
      </w:tr>
      <w:tr>
        <w:trPr>
          <w:trHeight w:val="27"/>
        </w:trPr>
        <w:tc>
          <w:tcPr>
            <w:tcW w:w="580" w:type="dxa"/>
            <w:vAlign w:val="bottom"/>
            <w:gridSpan w:val="2"/>
            <w:shd w:val="clear" w:color="auto" w:fill="0000FF"/>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263"/>
        </w:trPr>
        <w:tc>
          <w:tcPr>
            <w:tcW w:w="460" w:type="dxa"/>
            <w:vAlign w:val="bottom"/>
            <w:tcBorders>
              <w:bottom w:val="single" w:sz="8" w:color="0000FF"/>
            </w:tcBorders>
          </w:tcPr>
          <w:p>
            <w:pPr>
              <w:spacing w:after="0"/>
              <w:rPr>
                <w:sz w:val="20"/>
                <w:szCs w:val="20"/>
                <w:color w:val="auto"/>
              </w:rPr>
            </w:pPr>
            <w:r>
              <w:rPr>
                <w:rFonts w:ascii="Arial" w:cs="Arial" w:eastAsia="Arial" w:hAnsi="Arial"/>
                <w:sz w:val="16"/>
                <w:szCs w:val="16"/>
                <w:color w:val="0000FF"/>
                <w:w w:val="89"/>
              </w:rPr>
              <w:t>Item 4.</w:t>
            </w:r>
          </w:p>
        </w:tc>
        <w:tc>
          <w:tcPr>
            <w:tcW w:w="120" w:type="dxa"/>
            <w:vAlign w:val="bottom"/>
          </w:tcPr>
          <w:p>
            <w:pPr>
              <w:spacing w:after="0"/>
              <w:rPr>
                <w:sz w:val="22"/>
                <w:szCs w:val="22"/>
                <w:color w:val="auto"/>
              </w:rPr>
            </w:pPr>
          </w:p>
        </w:tc>
        <w:tc>
          <w:tcPr>
            <w:tcW w:w="320" w:type="dxa"/>
            <w:vAlign w:val="bottom"/>
            <w:gridSpan w:val="2"/>
          </w:tcPr>
          <w:p>
            <w:pPr>
              <w:spacing w:after="0"/>
              <w:rPr>
                <w:sz w:val="22"/>
                <w:szCs w:val="22"/>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Controls and Procedures</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5">
              <w:r>
                <w:rPr>
                  <w:rFonts w:ascii="Arial" w:cs="Arial" w:eastAsia="Arial" w:hAnsi="Arial"/>
                  <w:sz w:val="18"/>
                  <w:szCs w:val="18"/>
                  <w:color w:val="0000FF"/>
                  <w:w w:val="89"/>
                </w:rPr>
                <w:t>44</w:t>
              </w:r>
            </w:hyperlink>
          </w:p>
        </w:tc>
      </w:tr>
      <w:tr>
        <w:trPr>
          <w:trHeight w:val="608"/>
        </w:trPr>
        <w:tc>
          <w:tcPr>
            <w:tcW w:w="900" w:type="dxa"/>
            <w:vAlign w:val="bottom"/>
            <w:gridSpan w:val="4"/>
          </w:tcPr>
          <w:p>
            <w:pPr>
              <w:spacing w:after="0"/>
              <w:rPr>
                <w:rFonts w:ascii="Arial" w:cs="Arial" w:eastAsia="Arial" w:hAnsi="Arial"/>
                <w:sz w:val="18"/>
                <w:szCs w:val="18"/>
                <w:b w:val="1"/>
                <w:bCs w:val="1"/>
                <w:color w:val="0000FF"/>
              </w:rPr>
            </w:pPr>
            <w:hyperlink w:anchor="page46">
              <w:r>
                <w:rPr>
                  <w:rFonts w:ascii="Arial" w:cs="Arial" w:eastAsia="Arial" w:hAnsi="Arial"/>
                  <w:sz w:val="18"/>
                  <w:szCs w:val="18"/>
                  <w:b w:val="1"/>
                  <w:bCs w:val="1"/>
                  <w:color w:val="0000FF"/>
                </w:rPr>
                <w:t>PART II.</w:t>
              </w:r>
            </w:hyperlink>
          </w:p>
        </w:tc>
        <w:tc>
          <w:tcPr>
            <w:tcW w:w="8120" w:type="dxa"/>
            <w:vAlign w:val="bottom"/>
          </w:tcPr>
          <w:p>
            <w:pPr>
              <w:ind w:left="140"/>
              <w:spacing w:after="0"/>
              <w:rPr>
                <w:sz w:val="20"/>
                <w:szCs w:val="20"/>
                <w:color w:val="auto"/>
              </w:rPr>
            </w:pPr>
            <w:r>
              <w:rPr>
                <w:rFonts w:ascii="Arial" w:cs="Arial" w:eastAsia="Arial" w:hAnsi="Arial"/>
                <w:sz w:val="18"/>
                <w:szCs w:val="18"/>
                <w:b w:val="1"/>
                <w:bCs w:val="1"/>
                <w:color w:val="auto"/>
              </w:rPr>
              <w:t>OTHER INFORMATION</w:t>
            </w:r>
          </w:p>
        </w:tc>
        <w:tc>
          <w:tcPr>
            <w:tcW w:w="1540" w:type="dxa"/>
            <w:vAlign w:val="bottom"/>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r>
      <w:tr>
        <w:trPr>
          <w:trHeight w:val="500"/>
        </w:trPr>
        <w:tc>
          <w:tcPr>
            <w:tcW w:w="580" w:type="dxa"/>
            <w:vAlign w:val="bottom"/>
            <w:gridSpan w:val="2"/>
          </w:tcPr>
          <w:p>
            <w:pPr>
              <w:spacing w:after="0"/>
              <w:rPr>
                <w:sz w:val="20"/>
                <w:szCs w:val="20"/>
                <w:color w:val="auto"/>
              </w:rPr>
            </w:pPr>
            <w:r>
              <w:rPr>
                <w:rFonts w:ascii="Arial" w:cs="Arial" w:eastAsia="Arial" w:hAnsi="Arial"/>
                <w:sz w:val="16"/>
                <w:szCs w:val="16"/>
                <w:color w:val="0000FF"/>
              </w:rPr>
              <w:t>Item 1.</w:t>
            </w:r>
          </w:p>
        </w:tc>
        <w:tc>
          <w:tcPr>
            <w:tcW w:w="320" w:type="dxa"/>
            <w:vAlign w:val="bottom"/>
            <w:gridSpan w:val="2"/>
          </w:tcPr>
          <w:p>
            <w:pPr>
              <w:spacing w:after="0"/>
              <w:rPr>
                <w:sz w:val="24"/>
                <w:szCs w:val="24"/>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Legal Proceedings</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6">
              <w:r>
                <w:rPr>
                  <w:rFonts w:ascii="Arial" w:cs="Arial" w:eastAsia="Arial" w:hAnsi="Arial"/>
                  <w:sz w:val="18"/>
                  <w:szCs w:val="18"/>
                  <w:color w:val="0000FF"/>
                  <w:w w:val="89"/>
                </w:rPr>
                <w:t>45</w:t>
              </w:r>
            </w:hyperlink>
          </w:p>
        </w:tc>
      </w:tr>
      <w:tr>
        <w:trPr>
          <w:trHeight w:val="27"/>
        </w:trPr>
        <w:tc>
          <w:tcPr>
            <w:tcW w:w="580" w:type="dxa"/>
            <w:vAlign w:val="bottom"/>
            <w:gridSpan w:val="2"/>
            <w:shd w:val="clear" w:color="auto" w:fill="0000FF"/>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243"/>
        </w:trPr>
        <w:tc>
          <w:tcPr>
            <w:tcW w:w="580" w:type="dxa"/>
            <w:vAlign w:val="bottom"/>
            <w:gridSpan w:val="2"/>
          </w:tcPr>
          <w:p>
            <w:pPr>
              <w:spacing w:after="0"/>
              <w:rPr>
                <w:sz w:val="20"/>
                <w:szCs w:val="20"/>
                <w:color w:val="auto"/>
              </w:rPr>
            </w:pPr>
            <w:r>
              <w:rPr>
                <w:rFonts w:ascii="Arial" w:cs="Arial" w:eastAsia="Arial" w:hAnsi="Arial"/>
                <w:sz w:val="16"/>
                <w:szCs w:val="16"/>
                <w:color w:val="0000FF"/>
                <w:w w:val="93"/>
              </w:rPr>
              <w:t>Item 1A.</w:t>
            </w: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Risk Factors</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6">
              <w:r>
                <w:rPr>
                  <w:rFonts w:ascii="Arial" w:cs="Arial" w:eastAsia="Arial" w:hAnsi="Arial"/>
                  <w:sz w:val="18"/>
                  <w:szCs w:val="18"/>
                  <w:color w:val="0000FF"/>
                  <w:w w:val="89"/>
                </w:rPr>
                <w:t>45</w:t>
              </w:r>
            </w:hyperlink>
          </w:p>
        </w:tc>
      </w:tr>
      <w:tr>
        <w:trPr>
          <w:trHeight w:val="27"/>
        </w:trPr>
        <w:tc>
          <w:tcPr>
            <w:tcW w:w="760" w:type="dxa"/>
            <w:vAlign w:val="bottom"/>
            <w:gridSpan w:val="3"/>
            <w:shd w:val="clear" w:color="auto" w:fill="0000FF"/>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243"/>
        </w:trPr>
        <w:tc>
          <w:tcPr>
            <w:tcW w:w="760" w:type="dxa"/>
            <w:vAlign w:val="bottom"/>
            <w:gridSpan w:val="3"/>
          </w:tcPr>
          <w:p>
            <w:pPr>
              <w:spacing w:after="0"/>
              <w:rPr>
                <w:rFonts w:ascii="Arial" w:cs="Arial" w:eastAsia="Arial" w:hAnsi="Arial"/>
                <w:sz w:val="16"/>
                <w:szCs w:val="16"/>
                <w:color w:val="0000FF"/>
              </w:rPr>
            </w:pPr>
            <w:hyperlink w:anchor="page46">
              <w:r>
                <w:rPr>
                  <w:rFonts w:ascii="Arial" w:cs="Arial" w:eastAsia="Arial" w:hAnsi="Arial"/>
                  <w:sz w:val="16"/>
                  <w:szCs w:val="16"/>
                  <w:color w:val="0000FF"/>
                </w:rPr>
                <w:t>Item 2.</w:t>
              </w:r>
            </w:hyperlink>
          </w:p>
        </w:tc>
        <w:tc>
          <w:tcPr>
            <w:tcW w:w="140" w:type="dxa"/>
            <w:vAlign w:val="bottom"/>
          </w:tcPr>
          <w:p>
            <w:pPr>
              <w:spacing w:after="0"/>
              <w:rPr>
                <w:sz w:val="21"/>
                <w:szCs w:val="21"/>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Unregistered Sales of Equity Securities and Use of Proceeds</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6">
              <w:r>
                <w:rPr>
                  <w:rFonts w:ascii="Arial" w:cs="Arial" w:eastAsia="Arial" w:hAnsi="Arial"/>
                  <w:sz w:val="18"/>
                  <w:szCs w:val="18"/>
                  <w:color w:val="0000FF"/>
                  <w:w w:val="89"/>
                </w:rPr>
                <w:t>45</w:t>
              </w:r>
            </w:hyperlink>
          </w:p>
        </w:tc>
      </w:tr>
      <w:tr>
        <w:trPr>
          <w:trHeight w:val="27"/>
        </w:trPr>
        <w:tc>
          <w:tcPr>
            <w:tcW w:w="760" w:type="dxa"/>
            <w:vAlign w:val="bottom"/>
            <w:gridSpan w:val="3"/>
            <w:shd w:val="clear" w:color="auto" w:fill="0000FF"/>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243"/>
        </w:trPr>
        <w:tc>
          <w:tcPr>
            <w:tcW w:w="760" w:type="dxa"/>
            <w:vAlign w:val="bottom"/>
            <w:gridSpan w:val="3"/>
          </w:tcPr>
          <w:p>
            <w:pPr>
              <w:spacing w:after="0"/>
              <w:rPr>
                <w:rFonts w:ascii="Arial" w:cs="Arial" w:eastAsia="Arial" w:hAnsi="Arial"/>
                <w:sz w:val="16"/>
                <w:szCs w:val="16"/>
                <w:color w:val="0000FF"/>
              </w:rPr>
            </w:pPr>
            <w:hyperlink w:anchor="page46">
              <w:r>
                <w:rPr>
                  <w:rFonts w:ascii="Arial" w:cs="Arial" w:eastAsia="Arial" w:hAnsi="Arial"/>
                  <w:sz w:val="16"/>
                  <w:szCs w:val="16"/>
                  <w:color w:val="0000FF"/>
                </w:rPr>
                <w:t>Item 3.</w:t>
              </w:r>
            </w:hyperlink>
          </w:p>
        </w:tc>
        <w:tc>
          <w:tcPr>
            <w:tcW w:w="140" w:type="dxa"/>
            <w:vAlign w:val="bottom"/>
          </w:tcPr>
          <w:p>
            <w:pPr>
              <w:spacing w:after="0"/>
              <w:rPr>
                <w:sz w:val="21"/>
                <w:szCs w:val="21"/>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Defaults Upon Senior Securities</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6">
              <w:r>
                <w:rPr>
                  <w:rFonts w:ascii="Arial" w:cs="Arial" w:eastAsia="Arial" w:hAnsi="Arial"/>
                  <w:sz w:val="18"/>
                  <w:szCs w:val="18"/>
                  <w:color w:val="0000FF"/>
                  <w:w w:val="89"/>
                </w:rPr>
                <w:t>45</w:t>
              </w:r>
            </w:hyperlink>
          </w:p>
        </w:tc>
      </w:tr>
      <w:tr>
        <w:trPr>
          <w:trHeight w:val="27"/>
        </w:trPr>
        <w:tc>
          <w:tcPr>
            <w:tcW w:w="760" w:type="dxa"/>
            <w:vAlign w:val="bottom"/>
            <w:gridSpan w:val="3"/>
            <w:shd w:val="clear" w:color="auto" w:fill="0000FF"/>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243"/>
        </w:trPr>
        <w:tc>
          <w:tcPr>
            <w:tcW w:w="760" w:type="dxa"/>
            <w:vAlign w:val="bottom"/>
            <w:gridSpan w:val="3"/>
          </w:tcPr>
          <w:p>
            <w:pPr>
              <w:spacing w:after="0"/>
              <w:rPr>
                <w:sz w:val="20"/>
                <w:szCs w:val="20"/>
                <w:color w:val="auto"/>
              </w:rPr>
            </w:pPr>
            <w:r>
              <w:rPr>
                <w:rFonts w:ascii="Arial" w:cs="Arial" w:eastAsia="Arial" w:hAnsi="Arial"/>
                <w:sz w:val="16"/>
                <w:szCs w:val="16"/>
                <w:color w:val="0000FF"/>
              </w:rPr>
              <w:t>Item 4.</w:t>
            </w:r>
          </w:p>
        </w:tc>
        <w:tc>
          <w:tcPr>
            <w:tcW w:w="140" w:type="dxa"/>
            <w:vAlign w:val="bottom"/>
          </w:tcPr>
          <w:p>
            <w:pPr>
              <w:spacing w:after="0"/>
              <w:rPr>
                <w:sz w:val="21"/>
                <w:szCs w:val="21"/>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Mine Safety Disclosures</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6">
              <w:r>
                <w:rPr>
                  <w:rFonts w:ascii="Arial" w:cs="Arial" w:eastAsia="Arial" w:hAnsi="Arial"/>
                  <w:sz w:val="18"/>
                  <w:szCs w:val="18"/>
                  <w:color w:val="0000FF"/>
                  <w:w w:val="89"/>
                </w:rPr>
                <w:t>45</w:t>
              </w:r>
            </w:hyperlink>
          </w:p>
        </w:tc>
      </w:tr>
      <w:tr>
        <w:trPr>
          <w:trHeight w:val="27"/>
        </w:trPr>
        <w:tc>
          <w:tcPr>
            <w:tcW w:w="760" w:type="dxa"/>
            <w:vAlign w:val="bottom"/>
            <w:gridSpan w:val="3"/>
            <w:shd w:val="clear" w:color="auto" w:fill="0000FF"/>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243"/>
        </w:trPr>
        <w:tc>
          <w:tcPr>
            <w:tcW w:w="760" w:type="dxa"/>
            <w:vAlign w:val="bottom"/>
            <w:gridSpan w:val="3"/>
          </w:tcPr>
          <w:p>
            <w:pPr>
              <w:spacing w:after="0"/>
              <w:rPr>
                <w:rFonts w:ascii="Arial" w:cs="Arial" w:eastAsia="Arial" w:hAnsi="Arial"/>
                <w:sz w:val="16"/>
                <w:szCs w:val="16"/>
                <w:color w:val="0000FF"/>
              </w:rPr>
            </w:pPr>
            <w:hyperlink w:anchor="page46">
              <w:r>
                <w:rPr>
                  <w:rFonts w:ascii="Arial" w:cs="Arial" w:eastAsia="Arial" w:hAnsi="Arial"/>
                  <w:sz w:val="16"/>
                  <w:szCs w:val="16"/>
                  <w:color w:val="0000FF"/>
                </w:rPr>
                <w:t>Item 5.</w:t>
              </w:r>
            </w:hyperlink>
          </w:p>
        </w:tc>
        <w:tc>
          <w:tcPr>
            <w:tcW w:w="140" w:type="dxa"/>
            <w:vAlign w:val="bottom"/>
          </w:tcPr>
          <w:p>
            <w:pPr>
              <w:spacing w:after="0"/>
              <w:rPr>
                <w:sz w:val="21"/>
                <w:szCs w:val="21"/>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Other Information</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6">
              <w:r>
                <w:rPr>
                  <w:rFonts w:ascii="Arial" w:cs="Arial" w:eastAsia="Arial" w:hAnsi="Arial"/>
                  <w:sz w:val="18"/>
                  <w:szCs w:val="18"/>
                  <w:color w:val="0000FF"/>
                  <w:w w:val="89"/>
                </w:rPr>
                <w:t>45</w:t>
              </w:r>
            </w:hyperlink>
          </w:p>
        </w:tc>
      </w:tr>
      <w:tr>
        <w:trPr>
          <w:trHeight w:val="27"/>
        </w:trPr>
        <w:tc>
          <w:tcPr>
            <w:tcW w:w="760" w:type="dxa"/>
            <w:vAlign w:val="bottom"/>
            <w:gridSpan w:val="3"/>
            <w:shd w:val="clear" w:color="auto" w:fill="0000FF"/>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243"/>
        </w:trPr>
        <w:tc>
          <w:tcPr>
            <w:tcW w:w="760" w:type="dxa"/>
            <w:vAlign w:val="bottom"/>
            <w:gridSpan w:val="3"/>
          </w:tcPr>
          <w:p>
            <w:pPr>
              <w:spacing w:after="0"/>
              <w:rPr>
                <w:sz w:val="20"/>
                <w:szCs w:val="20"/>
                <w:color w:val="auto"/>
              </w:rPr>
            </w:pPr>
            <w:r>
              <w:rPr>
                <w:rFonts w:ascii="Arial" w:cs="Arial" w:eastAsia="Arial" w:hAnsi="Arial"/>
                <w:sz w:val="16"/>
                <w:szCs w:val="16"/>
                <w:color w:val="0000FF"/>
              </w:rPr>
              <w:t>Item 6.</w:t>
            </w:r>
          </w:p>
        </w:tc>
        <w:tc>
          <w:tcPr>
            <w:tcW w:w="140" w:type="dxa"/>
            <w:vAlign w:val="bottom"/>
          </w:tcPr>
          <w:p>
            <w:pPr>
              <w:spacing w:after="0"/>
              <w:rPr>
                <w:sz w:val="21"/>
                <w:szCs w:val="21"/>
                <w:color w:val="auto"/>
              </w:rPr>
            </w:pPr>
          </w:p>
        </w:tc>
        <w:tc>
          <w:tcPr>
            <w:tcW w:w="8120" w:type="dxa"/>
            <w:vAlign w:val="bottom"/>
          </w:tcPr>
          <w:p>
            <w:pPr>
              <w:ind w:left="140"/>
              <w:spacing w:after="0"/>
              <w:rPr>
                <w:sz w:val="20"/>
                <w:szCs w:val="20"/>
                <w:color w:val="auto"/>
              </w:rPr>
            </w:pPr>
            <w:r>
              <w:rPr>
                <w:rFonts w:ascii="Arial" w:cs="Arial" w:eastAsia="Arial" w:hAnsi="Arial"/>
                <w:sz w:val="18"/>
                <w:szCs w:val="18"/>
                <w:color w:val="auto"/>
              </w:rPr>
              <w:t>Exhibits</w:t>
            </w: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6">
              <w:r>
                <w:rPr>
                  <w:rFonts w:ascii="Arial" w:cs="Arial" w:eastAsia="Arial" w:hAnsi="Arial"/>
                  <w:sz w:val="18"/>
                  <w:szCs w:val="18"/>
                  <w:color w:val="0000FF"/>
                  <w:w w:val="89"/>
                </w:rPr>
                <w:t>45</w:t>
              </w:r>
            </w:hyperlink>
          </w:p>
        </w:tc>
      </w:tr>
      <w:tr>
        <w:trPr>
          <w:trHeight w:val="27"/>
        </w:trPr>
        <w:tc>
          <w:tcPr>
            <w:tcW w:w="760" w:type="dxa"/>
            <w:vAlign w:val="bottom"/>
            <w:gridSpan w:val="3"/>
            <w:shd w:val="clear" w:color="auto" w:fill="0000FF"/>
          </w:tcPr>
          <w:p>
            <w:pPr>
              <w:spacing w:after="0"/>
              <w:rPr>
                <w:sz w:val="2"/>
                <w:szCs w:val="2"/>
                <w:color w:val="auto"/>
              </w:rPr>
            </w:pPr>
          </w:p>
        </w:tc>
        <w:tc>
          <w:tcPr>
            <w:tcW w:w="140" w:type="dxa"/>
            <w:vAlign w:val="bottom"/>
          </w:tcPr>
          <w:p>
            <w:pPr>
              <w:spacing w:after="0"/>
              <w:rPr>
                <w:sz w:val="2"/>
                <w:szCs w:val="2"/>
                <w:color w:val="auto"/>
              </w:rPr>
            </w:pPr>
          </w:p>
        </w:tc>
        <w:tc>
          <w:tcPr>
            <w:tcW w:w="8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80" w:type="dxa"/>
            <w:vAlign w:val="bottom"/>
            <w:gridSpan w:val="3"/>
            <w:shd w:val="clear" w:color="auto" w:fill="0000FF"/>
          </w:tcPr>
          <w:p>
            <w:pPr>
              <w:spacing w:after="0"/>
              <w:rPr>
                <w:sz w:val="2"/>
                <w:szCs w:val="2"/>
                <w:color w:val="auto"/>
              </w:rPr>
            </w:pPr>
          </w:p>
        </w:tc>
      </w:tr>
      <w:tr>
        <w:trPr>
          <w:trHeight w:val="554"/>
        </w:trPr>
        <w:tc>
          <w:tcPr>
            <w:tcW w:w="760" w:type="dxa"/>
            <w:vAlign w:val="bottom"/>
            <w:gridSpan w:val="3"/>
          </w:tcPr>
          <w:p>
            <w:pPr>
              <w:spacing w:after="0"/>
              <w:rPr>
                <w:rFonts w:ascii="Arial" w:cs="Arial" w:eastAsia="Arial" w:hAnsi="Arial"/>
                <w:sz w:val="18"/>
                <w:szCs w:val="18"/>
                <w:color w:val="0000FF"/>
                <w:w w:val="85"/>
              </w:rPr>
            </w:pPr>
            <w:hyperlink w:anchor="page48">
              <w:r>
                <w:rPr>
                  <w:rFonts w:ascii="Arial" w:cs="Arial" w:eastAsia="Arial" w:hAnsi="Arial"/>
                  <w:sz w:val="18"/>
                  <w:szCs w:val="18"/>
                  <w:color w:val="0000FF"/>
                  <w:w w:val="85"/>
                </w:rPr>
                <w:t>Signatures</w:t>
              </w:r>
            </w:hyperlink>
          </w:p>
        </w:tc>
        <w:tc>
          <w:tcPr>
            <w:tcW w:w="140" w:type="dxa"/>
            <w:vAlign w:val="bottom"/>
          </w:tcPr>
          <w:p>
            <w:pPr>
              <w:spacing w:after="0"/>
              <w:rPr>
                <w:sz w:val="24"/>
                <w:szCs w:val="24"/>
                <w:color w:val="auto"/>
              </w:rPr>
            </w:pPr>
          </w:p>
        </w:tc>
        <w:tc>
          <w:tcPr>
            <w:tcW w:w="8120" w:type="dxa"/>
            <w:vAlign w:val="bottom"/>
          </w:tcPr>
          <w:p>
            <w:pPr>
              <w:spacing w:after="0"/>
              <w:rPr>
                <w:sz w:val="24"/>
                <w:szCs w:val="24"/>
                <w:color w:val="auto"/>
              </w:rPr>
            </w:pPr>
          </w:p>
        </w:tc>
        <w:tc>
          <w:tcPr>
            <w:tcW w:w="1720" w:type="dxa"/>
            <w:vAlign w:val="bottom"/>
            <w:gridSpan w:val="4"/>
          </w:tcPr>
          <w:p>
            <w:pPr>
              <w:jc w:val="center"/>
              <w:ind w:left="1450"/>
              <w:spacing w:after="0"/>
              <w:rPr>
                <w:rFonts w:ascii="Arial" w:cs="Arial" w:eastAsia="Arial" w:hAnsi="Arial"/>
                <w:sz w:val="18"/>
                <w:szCs w:val="18"/>
                <w:color w:val="0000FF"/>
                <w:w w:val="89"/>
              </w:rPr>
            </w:pPr>
            <w:hyperlink w:anchor="page48">
              <w:r>
                <w:rPr>
                  <w:rFonts w:ascii="Arial" w:cs="Arial" w:eastAsia="Arial" w:hAnsi="Arial"/>
                  <w:sz w:val="18"/>
                  <w:szCs w:val="18"/>
                  <w:color w:val="0000FF"/>
                  <w:w w:val="89"/>
                </w:rPr>
                <w:t>47</w:t>
              </w:r>
            </w:hyperlink>
          </w:p>
        </w:tc>
      </w:tr>
      <w:tr>
        <w:trPr>
          <w:trHeight w:val="723"/>
        </w:trPr>
        <w:tc>
          <w:tcPr>
            <w:tcW w:w="46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140" w:type="dxa"/>
            <w:vAlign w:val="bottom"/>
          </w:tcPr>
          <w:p>
            <w:pPr>
              <w:spacing w:after="0"/>
              <w:rPr>
                <w:sz w:val="24"/>
                <w:szCs w:val="24"/>
                <w:color w:val="auto"/>
              </w:rPr>
            </w:pPr>
          </w:p>
        </w:tc>
        <w:tc>
          <w:tcPr>
            <w:tcW w:w="8120" w:type="dxa"/>
            <w:vAlign w:val="bottom"/>
          </w:tcPr>
          <w:p>
            <w:pPr>
              <w:ind w:left="4720"/>
              <w:spacing w:after="0"/>
              <w:rPr>
                <w:sz w:val="20"/>
                <w:szCs w:val="20"/>
                <w:color w:val="auto"/>
              </w:rPr>
            </w:pPr>
            <w:r>
              <w:rPr>
                <w:rFonts w:ascii="Arial" w:cs="Arial" w:eastAsia="Arial" w:hAnsi="Arial"/>
                <w:sz w:val="18"/>
                <w:szCs w:val="18"/>
                <w:color w:val="auto"/>
              </w:rPr>
              <w:t>1</w:t>
            </w:r>
          </w:p>
        </w:tc>
        <w:tc>
          <w:tcPr>
            <w:tcW w:w="1540" w:type="dxa"/>
            <w:vAlign w:val="bottom"/>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r>
    </w:tbl>
    <w:p>
      <w:pPr>
        <w:sectPr>
          <w:pgSz w:w="11900" w:h="16838" w:orient="portrait"/>
          <w:cols w:equalWidth="0" w:num="1">
            <w:col w:w="10740"/>
          </w:cols>
          <w:pgMar w:left="280" w:top="580" w:right="87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5013325</wp:posOffset>
            </wp:positionH>
            <wp:positionV relativeFrom="paragraph">
              <wp:posOffset>408940</wp:posOffset>
            </wp:positionV>
            <wp:extent cx="22383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center"/>
              <w:ind w:right="91"/>
              <w:spacing w:after="0"/>
              <w:rPr>
                <w:sz w:val="20"/>
                <w:szCs w:val="20"/>
                <w:color w:val="auto"/>
              </w:rPr>
            </w:pPr>
            <w:r>
              <w:rPr>
                <w:rFonts w:ascii="Arial" w:cs="Arial" w:eastAsia="Arial" w:hAnsi="Arial"/>
                <w:sz w:val="14"/>
                <w:szCs w:val="14"/>
                <w:b w:val="1"/>
                <w:bCs w:val="1"/>
                <w:color w:val="auto"/>
                <w:w w:val="91"/>
              </w:rPr>
              <w:t>September 30, 2012</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w w:val="95"/>
              </w:rPr>
              <w:t>December 31, 2011</w:t>
            </w:r>
          </w:p>
        </w:tc>
      </w:tr>
      <w:tr>
        <w:trPr>
          <w:trHeight w:val="270"/>
        </w:trPr>
        <w:tc>
          <w:tcPr>
            <w:tcW w:w="79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640" w:type="dxa"/>
            <w:vAlign w:val="bottom"/>
            <w:gridSpan w:val="2"/>
            <w:shd w:val="clear" w:color="auto" w:fill="CCEEFF"/>
          </w:tcPr>
          <w:p>
            <w:pPr>
              <w:jc w:val="center"/>
              <w:ind w:right="300"/>
              <w:spacing w:after="0"/>
              <w:rPr>
                <w:sz w:val="20"/>
                <w:szCs w:val="20"/>
                <w:color w:val="auto"/>
              </w:rPr>
            </w:pPr>
            <w:r>
              <w:rPr>
                <w:rFonts w:ascii="Arial" w:cs="Arial" w:eastAsia="Arial" w:hAnsi="Arial"/>
                <w:sz w:val="14"/>
                <w:szCs w:val="14"/>
                <w:b w:val="1"/>
                <w:bCs w:val="1"/>
                <w:color w:val="auto"/>
                <w:w w:val="95"/>
              </w:rPr>
              <w:t>(Unaudited)</w:t>
            </w:r>
          </w:p>
        </w:tc>
        <w:tc>
          <w:tcPr>
            <w:tcW w:w="200" w:type="dxa"/>
            <w:vAlign w:val="bottom"/>
            <w:shd w:val="clear" w:color="auto" w:fill="CCEEFF"/>
          </w:tcPr>
          <w:p>
            <w:pPr>
              <w:spacing w:after="0"/>
              <w:rPr>
                <w:sz w:val="23"/>
                <w:szCs w:val="23"/>
                <w:color w:val="auto"/>
              </w:rPr>
            </w:pPr>
          </w:p>
        </w:tc>
        <w:tc>
          <w:tcPr>
            <w:tcW w:w="1500" w:type="dxa"/>
            <w:vAlign w:val="bottom"/>
            <w:shd w:val="clear" w:color="auto" w:fill="CCEEFF"/>
          </w:tcPr>
          <w:p>
            <w:pPr>
              <w:spacing w:after="0"/>
              <w:rPr>
                <w:sz w:val="23"/>
                <w:szCs w:val="23"/>
                <w:color w:val="auto"/>
              </w:rPr>
            </w:pP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b w:val="1"/>
                <w:bCs w:val="1"/>
                <w:color w:val="auto"/>
              </w:rPr>
              <w:t>Assets:</w:t>
            </w: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w w:val="95"/>
              </w:rPr>
              <w:t>Agency securities, at fair value (including pledged securities of $83,600 and $50,667, respectively)</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88,020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54,625</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Agency securities transferred to consolidated variable interest entities, at fair value</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1,620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58</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Treasury securities, at fair value (pledged security)</w:t>
            </w:r>
          </w:p>
        </w:tc>
        <w:tc>
          <w:tcPr>
            <w:tcW w:w="1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Cash and cash equivalents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2,569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1,367</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Restricted cash</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336</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Derivative assets, at fair value</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292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82</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Receivable for securities sold (including pledged securities of $1,466 and $319, respectively)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2,326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443</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Receivable under reverse repurchase agreements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6,712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763</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assets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269</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197</w:t>
            </w:r>
          </w:p>
        </w:tc>
      </w:tr>
      <w:tr>
        <w:trPr>
          <w:trHeight w:val="297"/>
        </w:trPr>
        <w:tc>
          <w:tcPr>
            <w:tcW w:w="7900" w:type="dxa"/>
            <w:vAlign w:val="bottom"/>
            <w:tcBorders>
              <w:bottom w:val="single" w:sz="8" w:color="CCEEFF"/>
            </w:tcBorders>
          </w:tcPr>
          <w:p>
            <w:pPr>
              <w:ind w:left="720"/>
              <w:spacing w:after="0"/>
              <w:rPr>
                <w:sz w:val="20"/>
                <w:szCs w:val="20"/>
                <w:color w:val="auto"/>
              </w:rPr>
            </w:pPr>
            <w:r>
              <w:rPr>
                <w:rFonts w:ascii="Arial" w:cs="Arial" w:eastAsia="Arial" w:hAnsi="Arial"/>
                <w:sz w:val="18"/>
                <w:szCs w:val="18"/>
                <w:color w:val="auto"/>
              </w:rPr>
              <w:t>Total assets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102,177</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57,972</w:t>
            </w:r>
          </w:p>
        </w:tc>
      </w:tr>
      <w:tr>
        <w:trPr>
          <w:trHeight w:val="23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1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Repurchase agreements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79,254</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47,681</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Debt of consolidated variable interest entities, at fair value</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1,008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Payable for securities purchased</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1,311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1,919</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Derivative liabilities, at fair value</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1,562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853</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Dividends payable</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430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314</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29"/>
        </w:trPr>
        <w:tc>
          <w:tcPr>
            <w:tcW w:w="79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Obligation to return securities borrowed under reverse repurchase agreements, at</w:t>
            </w:r>
          </w:p>
        </w:tc>
        <w:tc>
          <w:tcPr>
            <w:tcW w:w="18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r>
      <w:tr>
        <w:trPr>
          <w:trHeight w:val="237"/>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fair value</w:t>
            </w:r>
          </w:p>
        </w:tc>
        <w:tc>
          <w:tcPr>
            <w:tcW w:w="1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7,265</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899</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Accounts payable and other accrued liabilities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40</w:t>
            </w:r>
          </w:p>
        </w:tc>
      </w:tr>
      <w:tr>
        <w:trPr>
          <w:trHeight w:val="27"/>
        </w:trPr>
        <w:tc>
          <w:tcPr>
            <w:tcW w:w="79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64"/>
        </w:trPr>
        <w:tc>
          <w:tcPr>
            <w:tcW w:w="79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 liabilities</w:t>
            </w:r>
          </w:p>
        </w:tc>
        <w:tc>
          <w:tcPr>
            <w:tcW w:w="18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90,904</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51,760</w:t>
            </w:r>
          </w:p>
        </w:tc>
      </w:tr>
      <w:tr>
        <w:trPr>
          <w:trHeight w:val="237"/>
        </w:trPr>
        <w:tc>
          <w:tcPr>
            <w:tcW w:w="7900" w:type="dxa"/>
            <w:vAlign w:val="bottom"/>
          </w:tcPr>
          <w:p>
            <w:pPr>
              <w:ind w:left="40"/>
              <w:spacing w:after="0"/>
              <w:rPr>
                <w:sz w:val="20"/>
                <w:szCs w:val="20"/>
                <w:color w:val="auto"/>
              </w:rPr>
            </w:pPr>
            <w:r>
              <w:rPr>
                <w:rFonts w:ascii="Arial" w:cs="Arial" w:eastAsia="Arial" w:hAnsi="Arial"/>
                <w:sz w:val="18"/>
                <w:szCs w:val="18"/>
                <w:b w:val="1"/>
                <w:bCs w:val="1"/>
                <w:color w:val="auto"/>
              </w:rPr>
              <w:t>Stockholders’ equity:</w:t>
            </w:r>
          </w:p>
        </w:tc>
        <w:tc>
          <w:tcPr>
            <w:tcW w:w="18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spacing w:after="0"/>
              <w:rPr>
                <w:sz w:val="20"/>
                <w:szCs w:val="20"/>
                <w:color w:val="auto"/>
              </w:rPr>
            </w:pP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29"/>
        </w:trPr>
        <w:tc>
          <w:tcPr>
            <w:tcW w:w="7900" w:type="dxa"/>
            <w:vAlign w:val="bottom"/>
            <w:shd w:val="clear" w:color="auto" w:fill="CCEEFF"/>
          </w:tcPr>
          <w:p>
            <w:pPr>
              <w:ind w:left="380"/>
              <w:spacing w:after="0"/>
              <w:rPr>
                <w:sz w:val="20"/>
                <w:szCs w:val="20"/>
                <w:color w:val="auto"/>
              </w:rPr>
            </w:pPr>
            <w:r>
              <w:rPr>
                <w:rFonts w:ascii="Arial" w:cs="Arial" w:eastAsia="Arial" w:hAnsi="Arial"/>
                <w:sz w:val="18"/>
                <w:szCs w:val="18"/>
                <w:color w:val="auto"/>
                <w:w w:val="89"/>
              </w:rPr>
              <w:t>8.000% Series A Cumulative Redeemable Preferred Stock; $0.01 par value; 6.9 and 0 shares issued and</w:t>
            </w:r>
          </w:p>
        </w:tc>
        <w:tc>
          <w:tcPr>
            <w:tcW w:w="18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r>
      <w:tr>
        <w:trPr>
          <w:trHeight w:val="237"/>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outstanding, respectively; liquidation preference of $25 per share ($173 and $0, respectively)</w:t>
            </w:r>
          </w:p>
        </w:tc>
        <w:tc>
          <w:tcPr>
            <w:tcW w:w="1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167</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29"/>
        </w:trPr>
        <w:tc>
          <w:tcPr>
            <w:tcW w:w="7900" w:type="dxa"/>
            <w:vAlign w:val="bottom"/>
          </w:tcPr>
          <w:p>
            <w:pPr>
              <w:ind w:left="380"/>
              <w:spacing w:after="0"/>
              <w:rPr>
                <w:sz w:val="20"/>
                <w:szCs w:val="20"/>
                <w:color w:val="auto"/>
              </w:rPr>
            </w:pPr>
            <w:r>
              <w:rPr>
                <w:rFonts w:ascii="Arial" w:cs="Arial" w:eastAsia="Arial" w:hAnsi="Arial"/>
                <w:sz w:val="18"/>
                <w:szCs w:val="18"/>
                <w:color w:val="auto"/>
                <w:w w:val="89"/>
              </w:rPr>
              <w:t>Common stock, $0.01 par value; 600.0 and 300.0 shares authorized; 341.6 and 224.1 shares issued and</w:t>
            </w:r>
          </w:p>
        </w:tc>
        <w:tc>
          <w:tcPr>
            <w:tcW w:w="1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r>
      <w:tr>
        <w:trPr>
          <w:trHeight w:val="230"/>
        </w:trPr>
        <w:tc>
          <w:tcPr>
            <w:tcW w:w="7900" w:type="dxa"/>
            <w:vAlign w:val="bottom"/>
          </w:tcPr>
          <w:p>
            <w:pPr>
              <w:ind w:left="380"/>
              <w:spacing w:after="0"/>
              <w:rPr>
                <w:sz w:val="20"/>
                <w:szCs w:val="20"/>
                <w:color w:val="auto"/>
              </w:rPr>
            </w:pPr>
            <w:r>
              <w:rPr>
                <w:rFonts w:ascii="Arial" w:cs="Arial" w:eastAsia="Arial" w:hAnsi="Arial"/>
                <w:sz w:val="18"/>
                <w:szCs w:val="18"/>
                <w:color w:val="auto"/>
              </w:rPr>
              <w:t>outstanding, respectively</w:t>
            </w:r>
          </w:p>
        </w:tc>
        <w:tc>
          <w:tcPr>
            <w:tcW w:w="180" w:type="dxa"/>
            <w:vAlign w:val="bottom"/>
          </w:tcPr>
          <w:p>
            <w:pPr>
              <w:spacing w:after="0"/>
              <w:rPr>
                <w:sz w:val="20"/>
                <w:szCs w:val="20"/>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Additional paid-in capital</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9,536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5,937</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Retained deficit</w:t>
            </w:r>
          </w:p>
        </w:tc>
        <w:tc>
          <w:tcPr>
            <w:tcW w:w="18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(672)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Accumulated other comprehensive income</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2,239</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311</w:t>
            </w:r>
          </w:p>
        </w:tc>
      </w:tr>
      <w:tr>
        <w:trPr>
          <w:trHeight w:val="237"/>
        </w:trPr>
        <w:tc>
          <w:tcPr>
            <w:tcW w:w="7900" w:type="dxa"/>
            <w:vAlign w:val="bottom"/>
          </w:tcPr>
          <w:p>
            <w:pPr>
              <w:ind w:left="720"/>
              <w:spacing w:after="0"/>
              <w:rPr>
                <w:sz w:val="20"/>
                <w:szCs w:val="20"/>
                <w:color w:val="auto"/>
              </w:rPr>
            </w:pPr>
            <w:r>
              <w:rPr>
                <w:rFonts w:ascii="Arial" w:cs="Arial" w:eastAsia="Arial" w:hAnsi="Arial"/>
                <w:sz w:val="18"/>
                <w:szCs w:val="18"/>
                <w:color w:val="auto"/>
              </w:rPr>
              <w:t>Total stockholders’ equity</w:t>
            </w:r>
          </w:p>
        </w:tc>
        <w:tc>
          <w:tcPr>
            <w:tcW w:w="18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11,273</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6,212</w:t>
            </w:r>
          </w:p>
        </w:tc>
      </w:tr>
      <w:tr>
        <w:trPr>
          <w:trHeight w:val="27"/>
        </w:trPr>
        <w:tc>
          <w:tcPr>
            <w:tcW w:w="79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57"/>
        </w:trPr>
        <w:tc>
          <w:tcPr>
            <w:tcW w:w="79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 liabilities and stockholders’ equity</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102,177</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57,972</w:t>
            </w:r>
          </w:p>
        </w:tc>
      </w:tr>
      <w:tr>
        <w:trPr>
          <w:trHeight w:val="20"/>
        </w:trPr>
        <w:tc>
          <w:tcPr>
            <w:tcW w:w="7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0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60" w:type="dxa"/>
            <w:vAlign w:val="bottom"/>
            <w:gridSpan w:val="5"/>
          </w:tcPr>
          <w:p>
            <w:pPr>
              <w:jc w:val="center"/>
              <w:ind w:right="320"/>
              <w:spacing w:after="0"/>
              <w:rPr>
                <w:sz w:val="20"/>
                <w:szCs w:val="20"/>
                <w:color w:val="auto"/>
              </w:rPr>
            </w:pPr>
            <w:r>
              <w:rPr>
                <w:rFonts w:ascii="Arial" w:cs="Arial" w:eastAsia="Arial" w:hAnsi="Arial"/>
                <w:sz w:val="16"/>
                <w:szCs w:val="16"/>
                <w:b w:val="1"/>
                <w:bCs w:val="1"/>
                <w:color w:val="auto"/>
                <w:w w:val="90"/>
              </w:rPr>
              <w:t>Three months ended</w:t>
            </w:r>
          </w:p>
        </w:tc>
        <w:tc>
          <w:tcPr>
            <w:tcW w:w="200" w:type="dxa"/>
            <w:vAlign w:val="bottom"/>
          </w:tcPr>
          <w:p>
            <w:pPr>
              <w:spacing w:after="0"/>
              <w:rPr>
                <w:sz w:val="17"/>
                <w:szCs w:val="17"/>
                <w:color w:val="auto"/>
              </w:rPr>
            </w:pPr>
          </w:p>
        </w:tc>
        <w:tc>
          <w:tcPr>
            <w:tcW w:w="1840" w:type="dxa"/>
            <w:vAlign w:val="bottom"/>
            <w:gridSpan w:val="4"/>
          </w:tcPr>
          <w:p>
            <w:pPr>
              <w:jc w:val="right"/>
              <w:ind w:right="250"/>
              <w:spacing w:after="0"/>
              <w:rPr>
                <w:sz w:val="20"/>
                <w:szCs w:val="20"/>
                <w:color w:val="auto"/>
              </w:rPr>
            </w:pPr>
            <w:r>
              <w:rPr>
                <w:rFonts w:ascii="Arial" w:cs="Arial" w:eastAsia="Arial" w:hAnsi="Arial"/>
                <w:sz w:val="16"/>
                <w:szCs w:val="16"/>
                <w:b w:val="1"/>
                <w:bCs w:val="1"/>
                <w:color w:val="auto"/>
                <w:w w:val="99"/>
              </w:rPr>
              <w:t>Nine months ended</w:t>
            </w:r>
          </w:p>
        </w:tc>
      </w:tr>
      <w:tr>
        <w:trPr>
          <w:trHeight w:val="210"/>
        </w:trPr>
        <w:tc>
          <w:tcPr>
            <w:tcW w:w="7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60" w:type="dxa"/>
            <w:vAlign w:val="bottom"/>
            <w:gridSpan w:val="5"/>
          </w:tcPr>
          <w:p>
            <w:pPr>
              <w:jc w:val="center"/>
              <w:ind w:right="320"/>
              <w:spacing w:after="0"/>
              <w:rPr>
                <w:sz w:val="20"/>
                <w:szCs w:val="20"/>
                <w:color w:val="auto"/>
              </w:rPr>
            </w:pPr>
            <w:r>
              <w:rPr>
                <w:rFonts w:ascii="Arial" w:cs="Arial" w:eastAsia="Arial" w:hAnsi="Arial"/>
                <w:sz w:val="16"/>
                <w:szCs w:val="16"/>
                <w:b w:val="1"/>
                <w:bCs w:val="1"/>
                <w:color w:val="auto"/>
                <w:w w:val="89"/>
              </w:rPr>
              <w:t>September 30,</w:t>
            </w:r>
          </w:p>
        </w:tc>
        <w:tc>
          <w:tcPr>
            <w:tcW w:w="200" w:type="dxa"/>
            <w:vAlign w:val="bottom"/>
          </w:tcPr>
          <w:p>
            <w:pPr>
              <w:spacing w:after="0"/>
              <w:rPr>
                <w:sz w:val="18"/>
                <w:szCs w:val="18"/>
                <w:color w:val="auto"/>
              </w:rPr>
            </w:pPr>
          </w:p>
        </w:tc>
        <w:tc>
          <w:tcPr>
            <w:tcW w:w="1840" w:type="dxa"/>
            <w:vAlign w:val="bottom"/>
            <w:gridSpan w:val="4"/>
          </w:tcPr>
          <w:p>
            <w:pPr>
              <w:jc w:val="right"/>
              <w:ind w:right="430"/>
              <w:spacing w:after="0"/>
              <w:rPr>
                <w:sz w:val="20"/>
                <w:szCs w:val="20"/>
                <w:color w:val="auto"/>
              </w:rPr>
            </w:pPr>
            <w:r>
              <w:rPr>
                <w:rFonts w:ascii="Arial" w:cs="Arial" w:eastAsia="Arial" w:hAnsi="Arial"/>
                <w:sz w:val="16"/>
                <w:szCs w:val="16"/>
                <w:b w:val="1"/>
                <w:bCs w:val="1"/>
                <w:color w:val="auto"/>
              </w:rPr>
              <w:t>September 30,</w:t>
            </w:r>
          </w:p>
        </w:tc>
      </w:tr>
      <w:tr>
        <w:trPr>
          <w:trHeight w:val="33"/>
        </w:trPr>
        <w:tc>
          <w:tcPr>
            <w:tcW w:w="70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1"/>
        </w:trPr>
        <w:tc>
          <w:tcPr>
            <w:tcW w:w="70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271"/>
              <w:spacing w:after="0"/>
              <w:rPr>
                <w:sz w:val="20"/>
                <w:szCs w:val="20"/>
                <w:color w:val="auto"/>
              </w:rPr>
            </w:pPr>
            <w:r>
              <w:rPr>
                <w:rFonts w:ascii="Arial" w:cs="Arial" w:eastAsia="Arial" w:hAnsi="Arial"/>
                <w:sz w:val="16"/>
                <w:szCs w:val="16"/>
                <w:b w:val="1"/>
                <w:bCs w:val="1"/>
                <w:color w:val="auto"/>
              </w:rPr>
              <w:t>2012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6"/>
                <w:szCs w:val="16"/>
                <w:b w:val="1"/>
                <w:bCs w:val="1"/>
                <w:color w:val="auto"/>
              </w:rPr>
              <w:t>2011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ind w:right="191"/>
              <w:spacing w:after="0"/>
              <w:rPr>
                <w:sz w:val="20"/>
                <w:szCs w:val="20"/>
                <w:color w:val="auto"/>
              </w:rPr>
            </w:pPr>
            <w:r>
              <w:rPr>
                <w:rFonts w:ascii="Arial" w:cs="Arial" w:eastAsia="Arial" w:hAnsi="Arial"/>
                <w:sz w:val="16"/>
                <w:szCs w:val="16"/>
                <w:b w:val="1"/>
                <w:bCs w:val="1"/>
                <w:color w:val="auto"/>
              </w:rPr>
              <w:t>2012</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6"/>
                <w:szCs w:val="16"/>
                <w:b w:val="1"/>
                <w:bCs w:val="1"/>
                <w:color w:val="auto"/>
              </w:rPr>
              <w:t>2011</w:t>
            </w:r>
          </w:p>
        </w:tc>
      </w:tr>
      <w:tr>
        <w:trPr>
          <w:trHeight w:val="33"/>
        </w:trPr>
        <w:tc>
          <w:tcPr>
            <w:tcW w:w="7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Interest income:</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Interest income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520</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327</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1,538</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756</w:t>
            </w:r>
          </w:p>
        </w:tc>
      </w:tr>
      <w:tr>
        <w:trPr>
          <w:trHeight w:val="27"/>
        </w:trPr>
        <w:tc>
          <w:tcPr>
            <w:tcW w:w="70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Interest expense</w:t>
            </w:r>
          </w:p>
        </w:tc>
        <w:tc>
          <w:tcPr>
            <w:tcW w:w="24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139</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95</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365</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w:t>
            </w:r>
          </w:p>
        </w:tc>
      </w:tr>
      <w:tr>
        <w:trPr>
          <w:trHeight w:val="237"/>
        </w:trPr>
        <w:tc>
          <w:tcPr>
            <w:tcW w:w="7080" w:type="dxa"/>
            <w:vAlign w:val="bottom"/>
          </w:tcPr>
          <w:p>
            <w:pPr>
              <w:ind w:left="720"/>
              <w:spacing w:after="0"/>
              <w:rPr>
                <w:sz w:val="20"/>
                <w:szCs w:val="20"/>
                <w:color w:val="auto"/>
              </w:rPr>
            </w:pPr>
            <w:r>
              <w:rPr>
                <w:rFonts w:ascii="Arial" w:cs="Arial" w:eastAsia="Arial" w:hAnsi="Arial"/>
                <w:sz w:val="18"/>
                <w:szCs w:val="18"/>
                <w:color w:val="auto"/>
              </w:rPr>
              <w:t>Net interest income</w:t>
            </w:r>
          </w:p>
        </w:tc>
        <w:tc>
          <w:tcPr>
            <w:tcW w:w="24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381</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232</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1,173</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561</w:t>
            </w:r>
          </w:p>
        </w:tc>
      </w:tr>
      <w:tr>
        <w:trPr>
          <w:trHeight w:val="27"/>
        </w:trPr>
        <w:tc>
          <w:tcPr>
            <w:tcW w:w="7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Other (loss) income, net:</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Gain on sale of agency securities, net</w:t>
            </w:r>
          </w:p>
        </w:tc>
        <w:tc>
          <w:tcPr>
            <w:tcW w:w="24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210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263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843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361</w:t>
            </w:r>
          </w:p>
        </w:tc>
      </w:tr>
      <w:tr>
        <w:trPr>
          <w:trHeight w:val="27"/>
        </w:trPr>
        <w:tc>
          <w:tcPr>
            <w:tcW w:w="70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Loss on derivative instruments and other securities, net</w:t>
            </w:r>
          </w:p>
        </w:tc>
        <w:tc>
          <w:tcPr>
            <w:tcW w:w="24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(460)</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(1,442)</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w:t>
            </w:r>
          </w:p>
        </w:tc>
      </w:tr>
      <w:tr>
        <w:trPr>
          <w:trHeight w:val="237"/>
        </w:trPr>
        <w:tc>
          <w:tcPr>
            <w:tcW w:w="7080" w:type="dxa"/>
            <w:vAlign w:val="bottom"/>
          </w:tcPr>
          <w:p>
            <w:pPr>
              <w:ind w:left="720"/>
              <w:spacing w:after="0"/>
              <w:rPr>
                <w:sz w:val="20"/>
                <w:szCs w:val="20"/>
                <w:color w:val="auto"/>
              </w:rPr>
            </w:pPr>
            <w:r>
              <w:rPr>
                <w:rFonts w:ascii="Arial" w:cs="Arial" w:eastAsia="Arial" w:hAnsi="Arial"/>
                <w:sz w:val="18"/>
                <w:szCs w:val="18"/>
                <w:color w:val="auto"/>
              </w:rPr>
              <w:t>Total other (loss) income, net</w:t>
            </w:r>
          </w:p>
        </w:tc>
        <w:tc>
          <w:tcPr>
            <w:tcW w:w="24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(250)</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(599)</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51</w:t>
            </w:r>
          </w:p>
        </w:tc>
      </w:tr>
      <w:tr>
        <w:trPr>
          <w:trHeight w:val="27"/>
        </w:trPr>
        <w:tc>
          <w:tcPr>
            <w:tcW w:w="7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Expenses:</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Management fees</w:t>
            </w:r>
          </w:p>
        </w:tc>
        <w:tc>
          <w:tcPr>
            <w:tcW w:w="24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36</w:t>
            </w:r>
          </w:p>
        </w:tc>
      </w:tr>
      <w:tr>
        <w:trPr>
          <w:trHeight w:val="27"/>
        </w:trPr>
        <w:tc>
          <w:tcPr>
            <w:tcW w:w="70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General and administrative expenses</w:t>
            </w:r>
          </w:p>
        </w:tc>
        <w:tc>
          <w:tcPr>
            <w:tcW w:w="24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w:t>
            </w:r>
          </w:p>
        </w:tc>
      </w:tr>
      <w:tr>
        <w:trPr>
          <w:trHeight w:val="237"/>
        </w:trPr>
        <w:tc>
          <w:tcPr>
            <w:tcW w:w="7080" w:type="dxa"/>
            <w:vAlign w:val="bottom"/>
          </w:tcPr>
          <w:p>
            <w:pPr>
              <w:ind w:left="720"/>
              <w:spacing w:after="0"/>
              <w:rPr>
                <w:sz w:val="20"/>
                <w:szCs w:val="20"/>
                <w:color w:val="auto"/>
              </w:rPr>
            </w:pPr>
            <w:r>
              <w:rPr>
                <w:rFonts w:ascii="Arial" w:cs="Arial" w:eastAsia="Arial" w:hAnsi="Arial"/>
                <w:sz w:val="18"/>
                <w:szCs w:val="18"/>
                <w:color w:val="auto"/>
              </w:rPr>
              <w:t>Total expenses</w:t>
            </w:r>
          </w:p>
        </w:tc>
        <w:tc>
          <w:tcPr>
            <w:tcW w:w="24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49</w:t>
            </w:r>
          </w:p>
        </w:tc>
      </w:tr>
      <w:tr>
        <w:trPr>
          <w:trHeight w:val="27"/>
        </w:trPr>
        <w:tc>
          <w:tcPr>
            <w:tcW w:w="7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Income before income tax provision</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563</w:t>
            </w: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Income tax provision, net</w:t>
            </w:r>
          </w:p>
        </w:tc>
        <w:tc>
          <w:tcPr>
            <w:tcW w:w="24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w:t>
            </w:r>
          </w:p>
        </w:tc>
      </w:tr>
      <w:tr>
        <w:trPr>
          <w:trHeight w:val="27"/>
        </w:trPr>
        <w:tc>
          <w:tcPr>
            <w:tcW w:w="7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562</w:t>
            </w: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Dividend on preferred stock</w:t>
            </w:r>
          </w:p>
        </w:tc>
        <w:tc>
          <w:tcPr>
            <w:tcW w:w="24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7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7"/>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available to common shareholders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83</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250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460</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562</w:t>
            </w:r>
          </w:p>
        </w:tc>
      </w:tr>
      <w:tr>
        <w:trPr>
          <w:trHeight w:val="20"/>
        </w:trPr>
        <w:tc>
          <w:tcPr>
            <w:tcW w:w="70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311"/>
        </w:trPr>
        <w:tc>
          <w:tcPr>
            <w:tcW w:w="70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562</w:t>
            </w:r>
          </w:p>
        </w:tc>
      </w:tr>
      <w:tr>
        <w:trPr>
          <w:trHeight w:val="243"/>
        </w:trPr>
        <w:tc>
          <w:tcPr>
            <w:tcW w:w="7080" w:type="dxa"/>
            <w:vAlign w:val="bottom"/>
          </w:tcPr>
          <w:p>
            <w:pPr>
              <w:ind w:left="40"/>
              <w:spacing w:after="0"/>
              <w:rPr>
                <w:sz w:val="20"/>
                <w:szCs w:val="20"/>
                <w:color w:val="auto"/>
              </w:rPr>
            </w:pPr>
            <w:r>
              <w:rPr>
                <w:rFonts w:ascii="Arial" w:cs="Arial" w:eastAsia="Arial" w:hAnsi="Arial"/>
                <w:sz w:val="18"/>
                <w:szCs w:val="18"/>
                <w:b w:val="1"/>
                <w:bCs w:val="1"/>
                <w:color w:val="auto"/>
              </w:rPr>
              <w:t>Other comprehensive income:</w:t>
            </w:r>
          </w:p>
        </w:tc>
        <w:tc>
          <w:tcPr>
            <w:tcW w:w="2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r>
      <w:tr>
        <w:trPr>
          <w:trHeight w:val="27"/>
        </w:trPr>
        <w:tc>
          <w:tcPr>
            <w:tcW w:w="70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Unrealized gain on available-for-sale securities, net</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1,190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1,773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815</w:t>
            </w: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Unrealized gain (loss) on derivative instruments, net</w:t>
            </w:r>
          </w:p>
        </w:tc>
        <w:tc>
          <w:tcPr>
            <w:tcW w:w="24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(512)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155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(704)</w:t>
            </w:r>
          </w:p>
        </w:tc>
      </w:tr>
      <w:tr>
        <w:trPr>
          <w:trHeight w:val="27"/>
        </w:trPr>
        <w:tc>
          <w:tcPr>
            <w:tcW w:w="70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708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Other comprehensive income</w:t>
            </w:r>
          </w:p>
        </w:tc>
        <w:tc>
          <w:tcPr>
            <w:tcW w:w="24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1,241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1,928</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w:t>
            </w:r>
          </w:p>
        </w:tc>
      </w:tr>
      <w:tr>
        <w:trPr>
          <w:trHeight w:val="237"/>
        </w:trPr>
        <w:tc>
          <w:tcPr>
            <w:tcW w:w="7080" w:type="dxa"/>
            <w:vAlign w:val="bottom"/>
          </w:tcPr>
          <w:p>
            <w:pPr>
              <w:ind w:left="40"/>
              <w:spacing w:after="0"/>
              <w:rPr>
                <w:sz w:val="20"/>
                <w:szCs w:val="20"/>
                <w:color w:val="auto"/>
              </w:rPr>
            </w:pPr>
            <w:r>
              <w:rPr>
                <w:rFonts w:ascii="Arial" w:cs="Arial" w:eastAsia="Arial" w:hAnsi="Arial"/>
                <w:sz w:val="18"/>
                <w:szCs w:val="18"/>
                <w:b w:val="1"/>
                <w:bCs w:val="1"/>
                <w:color w:val="auto"/>
              </w:rPr>
              <w:t>Comprehensive income</w:t>
            </w:r>
          </w:p>
        </w:tc>
        <w:tc>
          <w:tcPr>
            <w:tcW w:w="24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1,327</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274</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2,394</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673</w:t>
            </w:r>
          </w:p>
        </w:tc>
      </w:tr>
      <w:tr>
        <w:trPr>
          <w:trHeight w:val="27"/>
        </w:trPr>
        <w:tc>
          <w:tcPr>
            <w:tcW w:w="70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Dividend on preferred stock</w:t>
            </w:r>
          </w:p>
        </w:tc>
        <w:tc>
          <w:tcPr>
            <w:tcW w:w="24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97"/>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Comprehensive income available to common shareholders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1,324</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274</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2,388</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673</w:t>
            </w:r>
          </w:p>
        </w:tc>
      </w:tr>
      <w:tr>
        <w:trPr>
          <w:trHeight w:val="311"/>
        </w:trPr>
        <w:tc>
          <w:tcPr>
            <w:tcW w:w="708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304"/>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Weighted average number of common shares outstanding - basic and diluted</w:t>
            </w:r>
          </w:p>
        </w:tc>
        <w:tc>
          <w:tcPr>
            <w:tcW w:w="2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332.8</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180.7</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291.6</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134.2</w:t>
            </w:r>
          </w:p>
        </w:tc>
      </w:tr>
      <w:tr>
        <w:trPr>
          <w:trHeight w:val="251"/>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per common share - basic and diluted</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0.25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1.58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4.19</w:t>
            </w:r>
          </w:p>
        </w:tc>
      </w:tr>
      <w:tr>
        <w:trPr>
          <w:trHeight w:val="20"/>
        </w:trPr>
        <w:tc>
          <w:tcPr>
            <w:tcW w:w="70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91"/>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Comprehensive income per common share - basic and diluted</w:t>
            </w: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3.98</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1.52</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8.19</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5.01</w:t>
            </w:r>
          </w:p>
        </w:tc>
      </w:tr>
      <w:tr>
        <w:trPr>
          <w:trHeight w:val="251"/>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Dividends declared per common share</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1.25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1.40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3.75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4.20</w:t>
            </w:r>
          </w:p>
        </w:tc>
      </w:tr>
      <w:tr>
        <w:trPr>
          <w:trHeight w:val="20"/>
        </w:trPr>
        <w:tc>
          <w:tcPr>
            <w:tcW w:w="70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0"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60" w:type="dxa"/>
            <w:vAlign w:val="bottom"/>
          </w:tcPr>
          <w:p>
            <w:pPr>
              <w:spacing w:after="0"/>
              <w:rPr>
                <w:sz w:val="14"/>
                <w:szCs w:val="14"/>
                <w:color w:val="auto"/>
              </w:rPr>
            </w:pPr>
          </w:p>
        </w:tc>
        <w:tc>
          <w:tcPr>
            <w:tcW w:w="1420" w:type="dxa"/>
            <w:vAlign w:val="bottom"/>
            <w:gridSpan w:val="4"/>
            <w:vMerge w:val="restart"/>
          </w:tcPr>
          <w:p>
            <w:pPr>
              <w:jc w:val="right"/>
              <w:ind w:right="110"/>
              <w:spacing w:after="0"/>
              <w:rPr>
                <w:sz w:val="20"/>
                <w:szCs w:val="20"/>
                <w:color w:val="auto"/>
              </w:rPr>
            </w:pPr>
            <w:r>
              <w:rPr>
                <w:rFonts w:ascii="Arial" w:cs="Arial" w:eastAsia="Arial" w:hAnsi="Arial"/>
                <w:sz w:val="14"/>
                <w:szCs w:val="14"/>
                <w:b w:val="1"/>
                <w:bCs w:val="1"/>
                <w:color w:val="auto"/>
              </w:rPr>
              <w:t>Preferred Stock</w:t>
            </w:r>
          </w:p>
        </w:tc>
        <w:tc>
          <w:tcPr>
            <w:tcW w:w="120" w:type="dxa"/>
            <w:vAlign w:val="bottom"/>
            <w:vMerge w:val="restart"/>
          </w:tcPr>
          <w:p>
            <w:pPr>
              <w:spacing w:after="0"/>
              <w:rPr>
                <w:sz w:val="14"/>
                <w:szCs w:val="14"/>
                <w:color w:val="auto"/>
              </w:rPr>
            </w:pPr>
          </w:p>
        </w:tc>
        <w:tc>
          <w:tcPr>
            <w:tcW w:w="130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Common Stock</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6"/>
              </w:rPr>
              <w:t>Additional</w:t>
            </w:r>
          </w:p>
        </w:tc>
        <w:tc>
          <w:tcPr>
            <w:tcW w:w="160" w:type="dxa"/>
            <w:vAlign w:val="bottom"/>
          </w:tcPr>
          <w:p>
            <w:pPr>
              <w:spacing w:after="0"/>
              <w:rPr>
                <w:sz w:val="14"/>
                <w:szCs w:val="14"/>
                <w:color w:val="auto"/>
              </w:rPr>
            </w:pPr>
          </w:p>
        </w:tc>
        <w:tc>
          <w:tcPr>
            <w:tcW w:w="8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Retained</w:t>
            </w:r>
          </w:p>
        </w:tc>
        <w:tc>
          <w:tcPr>
            <w:tcW w:w="14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Accumulated</w:t>
            </w: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3660" w:type="dxa"/>
            <w:vAlign w:val="bottom"/>
          </w:tcPr>
          <w:p>
            <w:pPr>
              <w:spacing w:after="0"/>
              <w:rPr>
                <w:sz w:val="13"/>
                <w:szCs w:val="13"/>
                <w:color w:val="auto"/>
              </w:rPr>
            </w:pPr>
          </w:p>
        </w:tc>
        <w:tc>
          <w:tcPr>
            <w:tcW w:w="1420" w:type="dxa"/>
            <w:vAlign w:val="bottom"/>
            <w:tcBorders>
              <w:bottom w:val="single" w:sz="8" w:color="auto"/>
            </w:tcBorders>
            <w:gridSpan w:val="4"/>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1300" w:type="dxa"/>
            <w:vAlign w:val="bottom"/>
            <w:tcBorders>
              <w:bottom w:val="single" w:sz="8" w:color="auto"/>
            </w:tcBorders>
            <w:gridSpan w:val="3"/>
            <w:vMerge w:val="continue"/>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2"/>
          </w:tcPr>
          <w:p>
            <w:pPr>
              <w:jc w:val="center"/>
              <w:ind w:right="240"/>
              <w:spacing w:after="0" w:line="158" w:lineRule="exact"/>
              <w:rPr>
                <w:sz w:val="20"/>
                <w:szCs w:val="20"/>
                <w:color w:val="auto"/>
              </w:rPr>
            </w:pPr>
            <w:r>
              <w:rPr>
                <w:rFonts w:ascii="Arial" w:cs="Arial" w:eastAsia="Arial" w:hAnsi="Arial"/>
                <w:sz w:val="14"/>
                <w:szCs w:val="14"/>
                <w:b w:val="1"/>
                <w:bCs w:val="1"/>
                <w:color w:val="auto"/>
              </w:rPr>
              <w:t>Other</w:t>
            </w:r>
          </w:p>
        </w:tc>
        <w:tc>
          <w:tcPr>
            <w:tcW w:w="2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366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Shares</w:t>
            </w:r>
          </w:p>
        </w:tc>
        <w:tc>
          <w:tcPr>
            <w:tcW w:w="140" w:type="dxa"/>
            <w:vAlign w:val="bottom"/>
            <w:vMerge w:val="restart"/>
          </w:tcPr>
          <w:p>
            <w:pPr>
              <w:spacing w:after="0"/>
              <w:rPr>
                <w:sz w:val="10"/>
                <w:szCs w:val="10"/>
                <w:color w:val="auto"/>
              </w:rPr>
            </w:pPr>
          </w:p>
        </w:tc>
        <w:tc>
          <w:tcPr>
            <w:tcW w:w="700" w:type="dxa"/>
            <w:vAlign w:val="bottom"/>
            <w:gridSpan w:val="2"/>
            <w:vMerge w:val="restart"/>
          </w:tcPr>
          <w:p>
            <w:pPr>
              <w:jc w:val="right"/>
              <w:ind w:right="10"/>
              <w:spacing w:after="0"/>
              <w:rPr>
                <w:sz w:val="20"/>
                <w:szCs w:val="20"/>
                <w:color w:val="auto"/>
              </w:rPr>
            </w:pPr>
            <w:r>
              <w:rPr>
                <w:rFonts w:ascii="Arial" w:cs="Arial" w:eastAsia="Arial" w:hAnsi="Arial"/>
                <w:sz w:val="14"/>
                <w:szCs w:val="14"/>
                <w:b w:val="1"/>
                <w:bCs w:val="1"/>
                <w:color w:val="auto"/>
              </w:rPr>
              <w:t>Amount</w:t>
            </w:r>
          </w:p>
        </w:tc>
        <w:tc>
          <w:tcPr>
            <w:tcW w:w="120" w:type="dxa"/>
            <w:vAlign w:val="bottom"/>
            <w:vMerge w:val="restart"/>
          </w:tcPr>
          <w:p>
            <w:pPr>
              <w:spacing w:after="0"/>
              <w:rPr>
                <w:sz w:val="10"/>
                <w:szCs w:val="10"/>
                <w:color w:val="auto"/>
              </w:rPr>
            </w:pPr>
          </w:p>
        </w:tc>
        <w:tc>
          <w:tcPr>
            <w:tcW w:w="800" w:type="dxa"/>
            <w:vAlign w:val="bottom"/>
            <w:vMerge w:val="restart"/>
          </w:tcPr>
          <w:p>
            <w:pPr>
              <w:jc w:val="right"/>
              <w:ind w:right="91"/>
              <w:spacing w:after="0"/>
              <w:rPr>
                <w:sz w:val="20"/>
                <w:szCs w:val="20"/>
                <w:color w:val="auto"/>
              </w:rPr>
            </w:pPr>
            <w:r>
              <w:rPr>
                <w:rFonts w:ascii="Arial" w:cs="Arial" w:eastAsia="Arial" w:hAnsi="Arial"/>
                <w:sz w:val="14"/>
                <w:szCs w:val="14"/>
                <w:b w:val="1"/>
                <w:bCs w:val="1"/>
                <w:color w:val="auto"/>
              </w:rPr>
              <w:t>Shares</w:t>
            </w:r>
          </w:p>
        </w:tc>
        <w:tc>
          <w:tcPr>
            <w:tcW w:w="120" w:type="dxa"/>
            <w:vAlign w:val="bottom"/>
            <w:vMerge w:val="restart"/>
          </w:tcPr>
          <w:p>
            <w:pPr>
              <w:spacing w:after="0"/>
              <w:rPr>
                <w:sz w:val="10"/>
                <w:szCs w:val="10"/>
                <w:color w:val="auto"/>
              </w:rPr>
            </w:pPr>
          </w:p>
        </w:tc>
        <w:tc>
          <w:tcPr>
            <w:tcW w:w="6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vMerge w:val="restart"/>
          </w:tcPr>
          <w:p>
            <w:pPr>
              <w:spacing w:after="0"/>
              <w:rPr>
                <w:sz w:val="10"/>
                <w:szCs w:val="10"/>
                <w:color w:val="auto"/>
              </w:rPr>
            </w:pPr>
          </w:p>
        </w:tc>
        <w:tc>
          <w:tcPr>
            <w:tcW w:w="120" w:type="dxa"/>
            <w:vAlign w:val="bottom"/>
          </w:tcPr>
          <w:p>
            <w:pPr>
              <w:spacing w:after="0"/>
              <w:rPr>
                <w:sz w:val="10"/>
                <w:szCs w:val="10"/>
                <w:color w:val="auto"/>
              </w:rPr>
            </w:pPr>
          </w:p>
        </w:tc>
        <w:tc>
          <w:tcPr>
            <w:tcW w:w="88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Paid-in</w:t>
            </w:r>
          </w:p>
        </w:tc>
        <w:tc>
          <w:tcPr>
            <w:tcW w:w="160" w:type="dxa"/>
            <w:vAlign w:val="bottom"/>
          </w:tcPr>
          <w:p>
            <w:pPr>
              <w:spacing w:after="0"/>
              <w:rPr>
                <w:sz w:val="10"/>
                <w:szCs w:val="10"/>
                <w:color w:val="auto"/>
              </w:rPr>
            </w:pPr>
          </w:p>
        </w:tc>
        <w:tc>
          <w:tcPr>
            <w:tcW w:w="860" w:type="dxa"/>
            <w:vAlign w:val="bottom"/>
            <w:gridSpan w:val="2"/>
          </w:tcPr>
          <w:p>
            <w:pPr>
              <w:ind w:left="40"/>
              <w:spacing w:after="0" w:line="119" w:lineRule="exact"/>
              <w:rPr>
                <w:sz w:val="20"/>
                <w:szCs w:val="20"/>
                <w:color w:val="auto"/>
              </w:rPr>
            </w:pPr>
            <w:r>
              <w:rPr>
                <w:rFonts w:ascii="Arial" w:cs="Arial" w:eastAsia="Arial" w:hAnsi="Arial"/>
                <w:sz w:val="13"/>
                <w:szCs w:val="13"/>
                <w:b w:val="1"/>
                <w:bCs w:val="1"/>
                <w:color w:val="auto"/>
              </w:rPr>
              <w:t>(Deficit)</w:t>
            </w:r>
          </w:p>
        </w:tc>
        <w:tc>
          <w:tcPr>
            <w:tcW w:w="140" w:type="dxa"/>
            <w:vAlign w:val="bottom"/>
          </w:tcPr>
          <w:p>
            <w:pPr>
              <w:spacing w:after="0"/>
              <w:rPr>
                <w:sz w:val="10"/>
                <w:szCs w:val="10"/>
                <w:color w:val="auto"/>
              </w:rPr>
            </w:pPr>
          </w:p>
        </w:tc>
        <w:tc>
          <w:tcPr>
            <w:tcW w:w="122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96"/>
              </w:rPr>
              <w:t>Comprehensive</w:t>
            </w:r>
          </w:p>
        </w:tc>
        <w:tc>
          <w:tcPr>
            <w:tcW w:w="260" w:type="dxa"/>
            <w:vAlign w:val="bottom"/>
          </w:tcPr>
          <w:p>
            <w:pPr>
              <w:spacing w:after="0"/>
              <w:rPr>
                <w:sz w:val="10"/>
                <w:szCs w:val="10"/>
                <w:color w:val="auto"/>
              </w:rPr>
            </w:pPr>
          </w:p>
        </w:tc>
        <w:tc>
          <w:tcPr>
            <w:tcW w:w="880" w:type="dxa"/>
            <w:vAlign w:val="bottom"/>
            <w:vMerge w:val="restart"/>
          </w:tcPr>
          <w:p>
            <w:pPr>
              <w:jc w:val="right"/>
              <w:ind w:right="31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660" w:type="dxa"/>
            <w:vAlign w:val="bottom"/>
            <w:tcBorders>
              <w:bottom w:val="single" w:sz="8" w:color="CCEEFF"/>
            </w:tcBorders>
          </w:tcPr>
          <w:p>
            <w:pPr>
              <w:spacing w:after="0"/>
              <w:rPr>
                <w:sz w:val="16"/>
                <w:szCs w:val="16"/>
                <w:color w:val="auto"/>
              </w:rPr>
            </w:pPr>
          </w:p>
        </w:tc>
        <w:tc>
          <w:tcPr>
            <w:tcW w:w="58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70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66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98"/>
              </w:rPr>
              <w:t>Capital</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Earnings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53"/>
              <w:spacing w:after="0"/>
              <w:rPr>
                <w:sz w:val="20"/>
                <w:szCs w:val="20"/>
                <w:color w:val="auto"/>
              </w:rPr>
            </w:pPr>
            <w:r>
              <w:rPr>
                <w:rFonts w:ascii="Arial" w:cs="Arial" w:eastAsia="Arial" w:hAnsi="Arial"/>
                <w:sz w:val="14"/>
                <w:szCs w:val="14"/>
                <w:b w:val="1"/>
                <w:bCs w:val="1"/>
                <w:color w:val="auto"/>
                <w:w w:val="90"/>
              </w:rPr>
              <w:t>Income (Loss)</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2011</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224.1</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96"/>
              <w:spacing w:after="0"/>
              <w:rPr>
                <w:sz w:val="20"/>
                <w:szCs w:val="20"/>
                <w:color w:val="auto"/>
              </w:rPr>
            </w:pPr>
            <w:r>
              <w:rPr>
                <w:rFonts w:ascii="Arial" w:cs="Arial" w:eastAsia="Arial" w:hAnsi="Arial"/>
                <w:sz w:val="18"/>
                <w:szCs w:val="18"/>
                <w:color w:val="auto"/>
                <w:w w:val="79"/>
              </w:rPr>
              <w:t>$</w:t>
            </w:r>
          </w:p>
        </w:tc>
        <w:tc>
          <w:tcPr>
            <w:tcW w:w="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5,937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6,212</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Net income</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760" w:type="dxa"/>
            <w:vAlign w:val="bottom"/>
          </w:tcPr>
          <w:p>
            <w:pPr>
              <w:jc w:val="right"/>
              <w:ind w:right="32"/>
              <w:spacing w:after="0"/>
              <w:rPr>
                <w:sz w:val="20"/>
                <w:szCs w:val="20"/>
                <w:color w:val="auto"/>
              </w:rPr>
            </w:pPr>
            <w:r>
              <w:rPr>
                <w:rFonts w:ascii="Arial" w:cs="Arial" w:eastAsia="Arial" w:hAnsi="Arial"/>
                <w:sz w:val="18"/>
                <w:szCs w:val="18"/>
                <w:color w:val="auto"/>
              </w:rPr>
              <w:t>641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641</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comprehensive (loss) income:</w:t>
            </w:r>
          </w:p>
        </w:tc>
        <w:tc>
          <w:tcPr>
            <w:tcW w:w="5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660" w:type="dxa"/>
            <w:vAlign w:val="bottom"/>
          </w:tcPr>
          <w:p>
            <w:pPr>
              <w:ind w:left="380"/>
              <w:spacing w:after="0"/>
              <w:rPr>
                <w:sz w:val="20"/>
                <w:szCs w:val="20"/>
                <w:color w:val="auto"/>
              </w:rPr>
            </w:pPr>
            <w:r>
              <w:rPr>
                <w:rFonts w:ascii="Arial" w:cs="Arial" w:eastAsia="Arial" w:hAnsi="Arial"/>
                <w:sz w:val="18"/>
                <w:szCs w:val="18"/>
                <w:color w:val="auto"/>
              </w:rPr>
              <w:t>Unrealized loss on available- for-sale</w:t>
            </w: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380"/>
              <w:spacing w:after="0"/>
              <w:rPr>
                <w:sz w:val="20"/>
                <w:szCs w:val="20"/>
                <w:color w:val="auto"/>
              </w:rPr>
            </w:pPr>
            <w:r>
              <w:rPr>
                <w:rFonts w:ascii="Arial" w:cs="Arial" w:eastAsia="Arial" w:hAnsi="Arial"/>
                <w:sz w:val="18"/>
                <w:szCs w:val="18"/>
                <w:color w:val="auto"/>
              </w:rPr>
              <w:t>securities, net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66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7"/>
              </w:rPr>
              <w:t>Unrealized gain on derivative instruments,</w:t>
            </w:r>
          </w:p>
        </w:tc>
        <w:tc>
          <w:tcPr>
            <w:tcW w:w="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Issuance of common stock</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75.9</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2,204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2,205</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Common dividends declared</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(286)</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(286)</w:t>
            </w:r>
          </w:p>
        </w:tc>
        <w:tc>
          <w:tcPr>
            <w:tcW w:w="0" w:type="dxa"/>
            <w:vAlign w:val="bottom"/>
          </w:tcPr>
          <w:p>
            <w:pPr>
              <w:spacing w:after="0"/>
              <w:rPr>
                <w:sz w:val="1"/>
                <w:szCs w:val="1"/>
                <w:color w:val="auto"/>
              </w:rPr>
            </w:pPr>
          </w:p>
        </w:tc>
      </w:tr>
      <w:tr>
        <w:trPr>
          <w:trHeight w:val="237"/>
        </w:trPr>
        <w:tc>
          <w:tcPr>
            <w:tcW w:w="3660" w:type="dxa"/>
            <w:vAlign w:val="bottom"/>
          </w:tcPr>
          <w:p>
            <w:pPr>
              <w:ind w:left="40"/>
              <w:spacing w:after="0"/>
              <w:rPr>
                <w:sz w:val="20"/>
                <w:szCs w:val="20"/>
                <w:color w:val="auto"/>
              </w:rPr>
            </w:pPr>
            <w:r>
              <w:rPr>
                <w:rFonts w:ascii="Arial" w:cs="Arial" w:eastAsia="Arial" w:hAnsi="Arial"/>
                <w:sz w:val="18"/>
                <w:szCs w:val="18"/>
                <w:b w:val="1"/>
                <w:bCs w:val="1"/>
                <w:color w:val="auto"/>
              </w:rPr>
              <w:t>Balance, March 31, 2012 (Unaudited)</w:t>
            </w:r>
          </w:p>
        </w:tc>
        <w:tc>
          <w:tcPr>
            <w:tcW w:w="5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300.0</w:t>
            </w:r>
          </w:p>
        </w:tc>
        <w:tc>
          <w:tcPr>
            <w:tcW w:w="1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8,141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317</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257</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8,718</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loss</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Other comprehensive income:</w:t>
            </w: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6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Unrealized gain on available- for-sale</w:t>
            </w:r>
          </w:p>
        </w:tc>
        <w:tc>
          <w:tcPr>
            <w:tcW w:w="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securities, net</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689</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689</w:t>
            </w:r>
          </w:p>
        </w:tc>
        <w:tc>
          <w:tcPr>
            <w:tcW w:w="0" w:type="dxa"/>
            <w:vAlign w:val="bottom"/>
          </w:tcPr>
          <w:p>
            <w:pPr>
              <w:spacing w:after="0"/>
              <w:rPr>
                <w:sz w:val="1"/>
                <w:szCs w:val="1"/>
                <w:color w:val="auto"/>
              </w:rPr>
            </w:pPr>
          </w:p>
        </w:tc>
      </w:tr>
      <w:tr>
        <w:trPr>
          <w:trHeight w:val="229"/>
        </w:trPr>
        <w:tc>
          <w:tcPr>
            <w:tcW w:w="3660" w:type="dxa"/>
            <w:vAlign w:val="bottom"/>
          </w:tcPr>
          <w:p>
            <w:pPr>
              <w:ind w:left="380"/>
              <w:spacing w:after="0"/>
              <w:rPr>
                <w:sz w:val="20"/>
                <w:szCs w:val="20"/>
                <w:color w:val="auto"/>
              </w:rPr>
            </w:pPr>
            <w:r>
              <w:rPr>
                <w:rFonts w:ascii="Arial" w:cs="Arial" w:eastAsia="Arial" w:hAnsi="Arial"/>
                <w:sz w:val="18"/>
                <w:szCs w:val="18"/>
                <w:color w:val="auto"/>
                <w:w w:val="97"/>
              </w:rPr>
              <w:t>Unrealized gain on derivative instruments,</w:t>
            </w: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380"/>
              <w:spacing w:after="0"/>
              <w:rPr>
                <w:sz w:val="20"/>
                <w:szCs w:val="20"/>
                <w:color w:val="auto"/>
              </w:rPr>
            </w:pPr>
            <w:r>
              <w:rPr>
                <w:rFonts w:ascii="Arial" w:cs="Arial" w:eastAsia="Arial" w:hAnsi="Arial"/>
                <w:sz w:val="18"/>
                <w:szCs w:val="18"/>
                <w:color w:val="auto"/>
              </w:rPr>
              <w:t>net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Issuance of preferred stock</w:t>
            </w:r>
          </w:p>
        </w:tc>
        <w:tc>
          <w:tcPr>
            <w:tcW w:w="5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6.9</w:t>
            </w:r>
          </w:p>
        </w:tc>
        <w:tc>
          <w:tcPr>
            <w:tcW w:w="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167</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167</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Issuance of common stock</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4.8</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155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155</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Preferred dividends declared</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Common dividends declared</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(381)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7"/>
        </w:trPr>
        <w:tc>
          <w:tcPr>
            <w:tcW w:w="366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June 30, 2012 (Unaudited)</w:t>
            </w:r>
          </w:p>
        </w:tc>
        <w:tc>
          <w:tcPr>
            <w:tcW w:w="5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6.9</w:t>
            </w:r>
          </w:p>
        </w:tc>
        <w:tc>
          <w:tcPr>
            <w:tcW w:w="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167</w:t>
            </w:r>
          </w:p>
        </w:tc>
        <w:tc>
          <w:tcPr>
            <w:tcW w:w="1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304.8</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8,296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998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9,136</w:t>
            </w:r>
          </w:p>
        </w:tc>
        <w:tc>
          <w:tcPr>
            <w:tcW w:w="0" w:type="dxa"/>
            <w:vAlign w:val="bottom"/>
          </w:tcPr>
          <w:p>
            <w:pPr>
              <w:spacing w:after="0"/>
              <w:rPr>
                <w:sz w:val="1"/>
                <w:szCs w:val="1"/>
                <w:color w:val="auto"/>
              </w:rPr>
            </w:pPr>
          </w:p>
        </w:tc>
      </w:tr>
      <w:tr>
        <w:trPr>
          <w:trHeight w:val="243"/>
        </w:trPr>
        <w:tc>
          <w:tcPr>
            <w:tcW w:w="3660" w:type="dxa"/>
            <w:vAlign w:val="bottom"/>
          </w:tcPr>
          <w:p>
            <w:pPr>
              <w:ind w:left="380"/>
              <w:spacing w:after="0"/>
              <w:rPr>
                <w:sz w:val="20"/>
                <w:szCs w:val="20"/>
                <w:color w:val="auto"/>
              </w:rPr>
            </w:pPr>
            <w:r>
              <w:rPr>
                <w:rFonts w:ascii="Arial" w:cs="Arial" w:eastAsia="Arial" w:hAnsi="Arial"/>
                <w:sz w:val="18"/>
                <w:szCs w:val="18"/>
                <w:color w:val="auto"/>
              </w:rPr>
              <w:t>Net income</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760" w:type="dxa"/>
            <w:vAlign w:val="bottom"/>
          </w:tcPr>
          <w:p>
            <w:pPr>
              <w:jc w:val="right"/>
              <w:ind w:right="32"/>
              <w:spacing w:after="0"/>
              <w:rPr>
                <w:sz w:val="20"/>
                <w:szCs w:val="20"/>
                <w:color w:val="auto"/>
              </w:rPr>
            </w:pPr>
            <w:r>
              <w:rPr>
                <w:rFonts w:ascii="Arial" w:cs="Arial" w:eastAsia="Arial" w:hAnsi="Arial"/>
                <w:sz w:val="18"/>
                <w:szCs w:val="18"/>
                <w:color w:val="auto"/>
              </w:rPr>
              <w:t>86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Other comprehensive income:</w:t>
            </w:r>
          </w:p>
        </w:tc>
        <w:tc>
          <w:tcPr>
            <w:tcW w:w="5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660" w:type="dxa"/>
            <w:vAlign w:val="bottom"/>
          </w:tcPr>
          <w:p>
            <w:pPr>
              <w:ind w:left="380"/>
              <w:spacing w:after="0"/>
              <w:rPr>
                <w:sz w:val="20"/>
                <w:szCs w:val="20"/>
                <w:color w:val="auto"/>
              </w:rPr>
            </w:pPr>
            <w:r>
              <w:rPr>
                <w:rFonts w:ascii="Arial" w:cs="Arial" w:eastAsia="Arial" w:hAnsi="Arial"/>
                <w:sz w:val="18"/>
                <w:szCs w:val="18"/>
                <w:color w:val="auto"/>
              </w:rPr>
              <w:t>Unrealized gain on available- for-sale</w:t>
            </w: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380"/>
              <w:spacing w:after="0"/>
              <w:rPr>
                <w:sz w:val="20"/>
                <w:szCs w:val="20"/>
                <w:color w:val="auto"/>
              </w:rPr>
            </w:pPr>
            <w:r>
              <w:rPr>
                <w:rFonts w:ascii="Arial" w:cs="Arial" w:eastAsia="Arial" w:hAnsi="Arial"/>
                <w:sz w:val="18"/>
                <w:szCs w:val="18"/>
                <w:color w:val="auto"/>
              </w:rPr>
              <w:t>securities, net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1,190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1,190</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66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7"/>
              </w:rPr>
              <w:t>Unrealized gain on derivative instruments,</w:t>
            </w:r>
          </w:p>
        </w:tc>
        <w:tc>
          <w:tcPr>
            <w:tcW w:w="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51</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Issuance of common stock</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36.8</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1,240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1,240</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Preferred dividends declared</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Common dividends declared</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(427)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(427)</w:t>
            </w:r>
          </w:p>
        </w:tc>
        <w:tc>
          <w:tcPr>
            <w:tcW w:w="0" w:type="dxa"/>
            <w:vAlign w:val="bottom"/>
          </w:tcPr>
          <w:p>
            <w:pPr>
              <w:spacing w:after="0"/>
              <w:rPr>
                <w:sz w:val="1"/>
                <w:szCs w:val="1"/>
                <w:color w:val="auto"/>
              </w:rPr>
            </w:pPr>
          </w:p>
        </w:tc>
      </w:tr>
      <w:tr>
        <w:trPr>
          <w:trHeight w:val="27"/>
        </w:trPr>
        <w:tc>
          <w:tcPr>
            <w:tcW w:w="366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September 30, 2012 (Unaudited)</w:t>
            </w:r>
          </w:p>
        </w:tc>
        <w:tc>
          <w:tcPr>
            <w:tcW w:w="5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6.9</w:t>
            </w:r>
          </w:p>
        </w:tc>
        <w:tc>
          <w:tcPr>
            <w:tcW w:w="1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167</w:t>
            </w:r>
          </w:p>
        </w:tc>
        <w:tc>
          <w:tcPr>
            <w:tcW w:w="1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341.6</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96"/>
              <w:spacing w:after="0"/>
              <w:rPr>
                <w:sz w:val="20"/>
                <w:szCs w:val="20"/>
                <w:color w:val="auto"/>
              </w:rPr>
            </w:pPr>
            <w:r>
              <w:rPr>
                <w:rFonts w:ascii="Arial" w:cs="Arial" w:eastAsia="Arial" w:hAnsi="Arial"/>
                <w:sz w:val="18"/>
                <w:szCs w:val="18"/>
                <w:color w:val="auto"/>
                <w:w w:val="79"/>
              </w:rPr>
              <w:t>$</w:t>
            </w:r>
          </w:p>
        </w:tc>
        <w:tc>
          <w:tcPr>
            <w:tcW w:w="2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9,536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2,239</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11,273</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80"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(in millions)</w:t>
      </w: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40" w:type="dxa"/>
            <w:vAlign w:val="bottom"/>
            <w:gridSpan w:val="4"/>
          </w:tcPr>
          <w:p>
            <w:pPr>
              <w:jc w:val="right"/>
              <w:ind w:right="259"/>
              <w:spacing w:after="0"/>
              <w:rPr>
                <w:sz w:val="20"/>
                <w:szCs w:val="20"/>
                <w:color w:val="auto"/>
              </w:rPr>
            </w:pPr>
            <w:r>
              <w:rPr>
                <w:rFonts w:ascii="Arial" w:cs="Arial" w:eastAsia="Arial" w:hAnsi="Arial"/>
                <w:sz w:val="16"/>
                <w:szCs w:val="16"/>
                <w:b w:val="1"/>
                <w:bCs w:val="1"/>
                <w:color w:val="auto"/>
                <w:w w:val="94"/>
              </w:rPr>
              <w:t>Nine months ended September 30,</w:t>
            </w:r>
          </w:p>
        </w:tc>
      </w:tr>
      <w:tr>
        <w:trPr>
          <w:trHeight w:val="33"/>
        </w:trPr>
        <w:tc>
          <w:tcPr>
            <w:tcW w:w="83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1"/>
        </w:trPr>
        <w:tc>
          <w:tcPr>
            <w:tcW w:w="8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jc w:val="right"/>
              <w:ind w:right="499"/>
              <w:spacing w:after="0"/>
              <w:rPr>
                <w:sz w:val="20"/>
                <w:szCs w:val="20"/>
                <w:color w:val="auto"/>
              </w:rPr>
            </w:pPr>
            <w:r>
              <w:rPr>
                <w:rFonts w:ascii="Arial" w:cs="Arial" w:eastAsia="Arial" w:hAnsi="Arial"/>
                <w:sz w:val="16"/>
                <w:szCs w:val="16"/>
                <w:b w:val="1"/>
                <w:bCs w:val="1"/>
                <w:color w:val="auto"/>
              </w:rPr>
              <w:t>2012</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99"/>
              <w:spacing w:after="0"/>
              <w:rPr>
                <w:sz w:val="20"/>
                <w:szCs w:val="20"/>
                <w:color w:val="auto"/>
              </w:rPr>
            </w:pPr>
            <w:r>
              <w:rPr>
                <w:rFonts w:ascii="Arial" w:cs="Arial" w:eastAsia="Arial" w:hAnsi="Arial"/>
                <w:sz w:val="16"/>
                <w:szCs w:val="16"/>
                <w:b w:val="1"/>
                <w:bCs w:val="1"/>
                <w:color w:val="auto"/>
              </w:rPr>
              <w:t>2011</w:t>
            </w:r>
          </w:p>
        </w:tc>
      </w:tr>
      <w:tr>
        <w:trPr>
          <w:trHeight w:val="33"/>
        </w:trPr>
        <w:tc>
          <w:tcPr>
            <w:tcW w:w="83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Operating activities: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466</w:t>
            </w:r>
          </w:p>
        </w:tc>
        <w:tc>
          <w:tcPr>
            <w:tcW w:w="12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562</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Amortization of agency securities premiums and discounts, net</w:t>
            </w:r>
          </w:p>
        </w:tc>
        <w:tc>
          <w:tcPr>
            <w:tcW w:w="24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515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240</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w w:val="98"/>
              </w:rPr>
              <w:t>Amortization of accumulated other comprehensive loss on interest rate swaps de-designated as qualifying hedges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Gain on sale of agency securities, net</w:t>
            </w:r>
          </w:p>
        </w:tc>
        <w:tc>
          <w:tcPr>
            <w:tcW w:w="24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(843)</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(361)</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Loss on derivative instruments and other securities, net</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1,442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310</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Increase in other assets</w:t>
            </w:r>
          </w:p>
        </w:tc>
        <w:tc>
          <w:tcPr>
            <w:tcW w:w="24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(79)</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(91)</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in accounts payable and other accrued liabilities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Accretion of discounts on debt of consolidated variable interest entities</w:t>
            </w:r>
          </w:p>
        </w:tc>
        <w:tc>
          <w:tcPr>
            <w:tcW w:w="24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2</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83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cash provided by operating activities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1,683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669</w:t>
            </w:r>
          </w:p>
        </w:tc>
      </w:tr>
      <w:tr>
        <w:trPr>
          <w:trHeight w:val="231"/>
        </w:trPr>
        <w:tc>
          <w:tcPr>
            <w:tcW w:w="8340" w:type="dxa"/>
            <w:vAlign w:val="bottom"/>
          </w:tcPr>
          <w:p>
            <w:pPr>
              <w:ind w:left="40"/>
              <w:spacing w:after="0"/>
              <w:rPr>
                <w:sz w:val="20"/>
                <w:szCs w:val="20"/>
                <w:color w:val="auto"/>
              </w:rPr>
            </w:pPr>
            <w:r>
              <w:rPr>
                <w:rFonts w:ascii="Arial" w:cs="Arial" w:eastAsia="Arial" w:hAnsi="Arial"/>
                <w:sz w:val="16"/>
                <w:szCs w:val="16"/>
                <w:b w:val="1"/>
                <w:bCs w:val="1"/>
                <w:color w:val="auto"/>
              </w:rPr>
              <w:t>Investing activities:</w:t>
            </w:r>
          </w:p>
        </w:tc>
        <w:tc>
          <w:tcPr>
            <w:tcW w:w="2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agency securities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(86,435)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(56,423)</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Proceeds from sale of agency securities</w:t>
            </w:r>
          </w:p>
        </w:tc>
        <w:tc>
          <w:tcPr>
            <w:tcW w:w="24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44,218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24,351</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Principal collections on agency securities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6,906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3,058</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Purchases of U.S. Treasury securities</w:t>
            </w:r>
          </w:p>
        </w:tc>
        <w:tc>
          <w:tcPr>
            <w:tcW w:w="24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(2,444)</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(4,059)</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sale of U.S. Treasury securities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2,545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3,791</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Proceeds from short sales of U.S. Treasury securities</w:t>
            </w:r>
          </w:p>
        </w:tc>
        <w:tc>
          <w:tcPr>
            <w:tcW w:w="24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29,698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12,054</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U.S. Treasury securities to cover short sales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(23,450)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(11,919)</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Proceeds from reverse repurchase agreements</w:t>
            </w:r>
          </w:p>
        </w:tc>
        <w:tc>
          <w:tcPr>
            <w:tcW w:w="24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50,715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28,615</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Payments made on reverse repurchase agreements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(56,661)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(28,842)</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Net payments on other derivative instruments not designated as qualifying hedges</w:t>
            </w:r>
          </w:p>
        </w:tc>
        <w:tc>
          <w:tcPr>
            <w:tcW w:w="24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(816)</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(194)</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in restricted cash</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(298)</w:t>
            </w:r>
          </w:p>
        </w:tc>
      </w:tr>
      <w:tr>
        <w:trPr>
          <w:trHeight w:val="217"/>
        </w:trPr>
        <w:tc>
          <w:tcPr>
            <w:tcW w:w="8340" w:type="dxa"/>
            <w:vAlign w:val="bottom"/>
          </w:tcPr>
          <w:p>
            <w:pPr>
              <w:ind w:left="40"/>
              <w:spacing w:after="0"/>
              <w:rPr>
                <w:sz w:val="20"/>
                <w:szCs w:val="20"/>
                <w:color w:val="auto"/>
              </w:rPr>
            </w:pPr>
            <w:r>
              <w:rPr>
                <w:rFonts w:ascii="Arial" w:cs="Arial" w:eastAsia="Arial" w:hAnsi="Arial"/>
                <w:sz w:val="16"/>
                <w:szCs w:val="16"/>
                <w:color w:val="auto"/>
              </w:rPr>
              <w:t>Net cash used in investing activities</w:t>
            </w:r>
          </w:p>
        </w:tc>
        <w:tc>
          <w:tcPr>
            <w:tcW w:w="2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(35,757)</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(29,866)</w:t>
            </w:r>
          </w:p>
        </w:tc>
      </w:tr>
      <w:tr>
        <w:trPr>
          <w:trHeight w:val="33"/>
        </w:trPr>
        <w:tc>
          <w:tcPr>
            <w:tcW w:w="83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Financing activities: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Proceeds from repurchase arrangements</w:t>
            </w:r>
          </w:p>
        </w:tc>
        <w:tc>
          <w:tcPr>
            <w:tcW w:w="24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310,225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247,495</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Payments made on repurchase agreements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(278,652)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(220,333)</w:t>
            </w:r>
          </w:p>
        </w:tc>
      </w:tr>
      <w:tr>
        <w:trPr>
          <w:trHeight w:val="243"/>
        </w:trPr>
        <w:tc>
          <w:tcPr>
            <w:tcW w:w="8340" w:type="dxa"/>
            <w:vAlign w:val="bottom"/>
          </w:tcPr>
          <w:p>
            <w:pPr>
              <w:ind w:left="380"/>
              <w:spacing w:after="0"/>
              <w:rPr>
                <w:sz w:val="20"/>
                <w:szCs w:val="20"/>
                <w:color w:val="auto"/>
              </w:rPr>
            </w:pPr>
            <w:r>
              <w:rPr>
                <w:rFonts w:ascii="Arial" w:cs="Arial" w:eastAsia="Arial" w:hAnsi="Arial"/>
                <w:sz w:val="16"/>
                <w:szCs w:val="16"/>
                <w:color w:val="auto"/>
              </w:rPr>
              <w:t>Proceeds from debt of consolidated variable interest entities</w:t>
            </w:r>
          </w:p>
        </w:tc>
        <w:tc>
          <w:tcPr>
            <w:tcW w:w="240" w:type="dxa"/>
            <w:vAlign w:val="bottom"/>
          </w:tcPr>
          <w:p>
            <w:pPr>
              <w:spacing w:after="0"/>
              <w:rPr>
                <w:sz w:val="21"/>
                <w:szCs w:val="21"/>
                <w:color w:val="auto"/>
              </w:rPr>
            </w:pPr>
          </w:p>
        </w:tc>
        <w:tc>
          <w:tcPr>
            <w:tcW w:w="1260" w:type="dxa"/>
            <w:vAlign w:val="bottom"/>
          </w:tcPr>
          <w:p>
            <w:pPr>
              <w:jc w:val="right"/>
              <w:ind w:right="39"/>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9"/>
              <w:spacing w:after="0"/>
              <w:rPr>
                <w:sz w:val="20"/>
                <w:szCs w:val="20"/>
                <w:color w:val="auto"/>
              </w:rPr>
            </w:pPr>
            <w:r>
              <w:rPr>
                <w:rFonts w:ascii="Arial" w:cs="Arial" w:eastAsia="Arial" w:hAnsi="Arial"/>
                <w:sz w:val="18"/>
                <w:szCs w:val="18"/>
                <w:color w:val="auto"/>
              </w:rPr>
              <w:t>—</w:t>
            </w:r>
          </w:p>
        </w:tc>
      </w:tr>
      <w:tr>
        <w:trPr>
          <w:trHeight w:val="27"/>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Repayments on debt of consolidated variable interest entities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Net proceeds from preferred stock issuances</w:t>
            </w:r>
          </w:p>
        </w:tc>
        <w:tc>
          <w:tcPr>
            <w:tcW w:w="240" w:type="dxa"/>
            <w:vAlign w:val="bottom"/>
          </w:tcPr>
          <w:p>
            <w:pPr>
              <w:spacing w:after="0"/>
              <w:rPr>
                <w:sz w:val="20"/>
                <w:szCs w:val="20"/>
                <w:color w:val="auto"/>
              </w:rPr>
            </w:pP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167</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common stock issuances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3,600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3,268</w:t>
            </w:r>
          </w:p>
        </w:tc>
      </w:tr>
      <w:tr>
        <w:trPr>
          <w:trHeight w:val="237"/>
        </w:trPr>
        <w:tc>
          <w:tcPr>
            <w:tcW w:w="8340" w:type="dxa"/>
            <w:vAlign w:val="bottom"/>
          </w:tcPr>
          <w:p>
            <w:pPr>
              <w:ind w:left="380"/>
              <w:spacing w:after="0"/>
              <w:rPr>
                <w:sz w:val="20"/>
                <w:szCs w:val="20"/>
                <w:color w:val="auto"/>
              </w:rPr>
            </w:pPr>
            <w:r>
              <w:rPr>
                <w:rFonts w:ascii="Arial" w:cs="Arial" w:eastAsia="Arial" w:hAnsi="Arial"/>
                <w:sz w:val="16"/>
                <w:szCs w:val="16"/>
                <w:color w:val="auto"/>
              </w:rPr>
              <w:t>Cash dividends paid</w:t>
            </w:r>
          </w:p>
        </w:tc>
        <w:tc>
          <w:tcPr>
            <w:tcW w:w="24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(984)</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(406)</w:t>
            </w:r>
          </w:p>
        </w:tc>
      </w:tr>
      <w:tr>
        <w:trPr>
          <w:trHeight w:val="33"/>
        </w:trPr>
        <w:tc>
          <w:tcPr>
            <w:tcW w:w="83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cash provided by financing activities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35,276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30,008</w:t>
            </w:r>
          </w:p>
        </w:tc>
      </w:tr>
      <w:tr>
        <w:trPr>
          <w:trHeight w:val="217"/>
        </w:trPr>
        <w:tc>
          <w:tcPr>
            <w:tcW w:w="8340" w:type="dxa"/>
            <w:vAlign w:val="bottom"/>
          </w:tcPr>
          <w:p>
            <w:pPr>
              <w:ind w:left="40"/>
              <w:spacing w:after="0"/>
              <w:rPr>
                <w:sz w:val="20"/>
                <w:szCs w:val="20"/>
                <w:color w:val="auto"/>
              </w:rPr>
            </w:pPr>
            <w:r>
              <w:rPr>
                <w:rFonts w:ascii="Arial" w:cs="Arial" w:eastAsia="Arial" w:hAnsi="Arial"/>
                <w:sz w:val="16"/>
                <w:szCs w:val="16"/>
                <w:color w:val="auto"/>
              </w:rPr>
              <w:t>Net change in cash and cash equivalents</w:t>
            </w:r>
          </w:p>
        </w:tc>
        <w:tc>
          <w:tcPr>
            <w:tcW w:w="2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1,202</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811</w:t>
            </w:r>
          </w:p>
        </w:tc>
      </w:tr>
      <w:tr>
        <w:trPr>
          <w:trHeight w:val="33"/>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and cash equivalents at beginning of period</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1,367</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173</w:t>
            </w:r>
          </w:p>
        </w:tc>
      </w:tr>
      <w:tr>
        <w:trPr>
          <w:trHeight w:val="244"/>
        </w:trPr>
        <w:tc>
          <w:tcPr>
            <w:tcW w:w="8340" w:type="dxa"/>
            <w:vAlign w:val="bottom"/>
          </w:tcPr>
          <w:p>
            <w:pPr>
              <w:ind w:left="40"/>
              <w:spacing w:after="0"/>
              <w:rPr>
                <w:sz w:val="20"/>
                <w:szCs w:val="20"/>
                <w:color w:val="auto"/>
              </w:rPr>
            </w:pPr>
            <w:r>
              <w:rPr>
                <w:rFonts w:ascii="Arial" w:cs="Arial" w:eastAsia="Arial" w:hAnsi="Arial"/>
                <w:sz w:val="16"/>
                <w:szCs w:val="16"/>
                <w:color w:val="auto"/>
              </w:rPr>
              <w:t>Cash and cash equivalents at end of period</w:t>
            </w: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2,569</w:t>
            </w:r>
          </w:p>
        </w:tc>
        <w:tc>
          <w:tcPr>
            <w:tcW w:w="12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984</w:t>
            </w:r>
          </w:p>
        </w:tc>
      </w:tr>
      <w:tr>
        <w:trPr>
          <w:trHeight w:val="20"/>
        </w:trPr>
        <w:tc>
          <w:tcPr>
            <w:tcW w:w="83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0"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9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interim consolidated financial statements of American Capital Agency Corp. (referred throughout this report as the “Company”, “we”, “us” and “our”) are prepared in accordance with U.S. generally accepted accounting principles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Our unaudited consolidated financial statements include the accounts of our wholly-owned taxable REIT subsidiary, American Capital Agency TRS, LLC, and variable interest entities for which the Company is the primary beneficiary. Significant intercompany accounts and transactions have been eliminated.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(“IPO”). Our common stock is traded on The NASDAQ Global Select Market under the symbol “AGNC”.</w:t>
      </w:r>
    </w:p>
    <w:p>
      <w:pPr>
        <w:spacing w:after="0" w:line="116"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operate so as to qualify to be taxed as a real estate investment trust (“REIT”) under the Internal Revenue Code of 1986, as amended (the “Internal Revenue Code”). Therefore, substantially all of our assets, other than our taxable REIT subsidiary ("TRS"), consist of qualified real estate assets (as defined under the Internal Revenue Code). As a REIT,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It is our intention to distribute 100% of our taxable income, after application of available tax attributes, within the limits prescribed by the Internal Revenue Code, which may extend into the subsequent taxable year.</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are externally managed by American Capital AGNC Management, LLC (our “Manager”), an affiliate of American Capital, Ltd. (“American Capital”).</w:t>
      </w:r>
    </w:p>
    <w:p>
      <w:pPr>
        <w:spacing w:after="0" w:line="116"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We earn income primarily from investing on a leveraged basis in agency mortgage-backed securities ("agency MBS"). These investments consist of residential mortgage pass-through securities and collateralized mortgage obligations (“CMOs”) for which the principal and interest payments are guaranteed by government-sponsored entities, such as the Federal National Mortgage Association (“Fannie Mae”) and the Federal Home Loan Mortgage Corporation (“Freddie Mac”), or by a U.S. Government agency, such as the Government National Mortgage Association (“Ginnie Mae”) (collectively referred to as “GSEs”). We may also invest in agency debenture securities issued by Freddie Mac, Fannie Mae or the Federal Home Loan Bank ("FHLB"). We refer to agency MBS and agency debenture securities collectively as "investment securities" and we refer to the specific investment securities in which we invest as our "investment portfolio".</w:t>
      </w:r>
    </w:p>
    <w:p>
      <w:pPr>
        <w:spacing w:after="0" w:line="14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principal objective is to preserve our net asset value (also referred to as "net book value", "NAV" and "stockholders' equity") while generating attractive risk-adjusted returns for distribution to our stockholders through regular quarterly dividends from the combination of our net interest income and net realized gains and losses on our investments and hedging activities. We fund our investments primarily through short-term borrowings structured as repurchase agreements.</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 xml:space="preserve">ASC Topic 320, </w:t>
      </w:r>
      <w:r>
        <w:rPr>
          <w:rFonts w:ascii="Arial" w:cs="Arial" w:eastAsia="Arial" w:hAnsi="Arial"/>
          <w:sz w:val="18"/>
          <w:szCs w:val="18"/>
          <w:i w:val="1"/>
          <w:iCs w:val="1"/>
          <w:color w:val="auto"/>
        </w:rPr>
        <w:t>Investments—Debt and Equity Securities</w:t>
      </w:r>
      <w:r>
        <w:rPr>
          <w:rFonts w:ascii="Arial" w:cs="Arial" w:eastAsia="Arial" w:hAnsi="Arial"/>
          <w:sz w:val="18"/>
          <w:szCs w:val="18"/>
          <w:color w:val="auto"/>
        </w:rPr>
        <w:t xml:space="preserve"> (“ASC 320”),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We may, from time to time, sell any of our investment securities as part of our overall management of our investment portfolio. Accordingly, we typically designate our investment securities as available-for-sale. All securities classified as available-for-sale are reported at fair value, with unrealized gains and losses reported in other comprehensive income</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0" w:right="239" w:bottom="1440" w:gutter="0" w:footer="0" w:header="0"/>
        </w:sectPr>
      </w:pPr>
    </w:p>
    <w:bookmarkStart w:id="7" w:name="page8"/>
    <w:bookmarkEnd w:id="7"/>
    <w:p>
      <w:pPr>
        <w:jc w:val="both"/>
        <w:spacing w:after="0" w:line="277" w:lineRule="auto"/>
        <w:rPr>
          <w:sz w:val="20"/>
          <w:szCs w:val="20"/>
          <w:color w:val="auto"/>
        </w:rPr>
      </w:pPr>
      <w:r>
        <w:rPr>
          <w:rFonts w:ascii="Arial" w:cs="Arial" w:eastAsia="Arial" w:hAnsi="Arial"/>
          <w:sz w:val="18"/>
          <w:szCs w:val="18"/>
          <w:color w:val="auto"/>
        </w:rPr>
        <w:t>("OCI") a separate component of stockholders’ equity. Upon the sale of a security, we determine the cost of the security and the amount of unrealized gains or losses to reclassify out of accumulated OCI into earnings based on the specific identification method.</w:t>
      </w:r>
    </w:p>
    <w:p>
      <w:pPr>
        <w:spacing w:after="0" w:line="116"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Interest-only securities and inverse interest-only securities (collectively referred to as “interest-only securities”) represent our right to receive a specified proportion of the contractual interest flows of specific agency CMO securities. Principal-only securities represent our right to receive the contractual principal flows of specific agency CMO securities. Interest-only and principal-only securities are measured at fair value through earnings in gain (loss) on derivative instruments and other securities, net in our consolidated statements of comprehensive income. Our investments in interest-only and principal-only securities are included in agency MBS securities, at fair value on the accompanying consolidated balance sheets.</w:t>
      </w:r>
    </w:p>
    <w:p>
      <w:pPr>
        <w:spacing w:after="0" w:line="119"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estimate the fair value of our investment securities based on a market approach using Level 2 inputs from third-party pricing services and dealer quotes. The third-party pricing services use pricing models that incorporate such factors as coupons, primary and secondary mortgage rates, prepayment speeds, spread to the Treasury and interest rate swap curves, convexity, duration, periodic and life caps and credit enhancements. The dealer quotes incorporate common market pricing methods, including a spread measurement to the Treasury or interest rate swap curve as well as underlying characteristics of the particular security including coupon, periodic and life caps, rate reset period, issuer, additional credit support and expected life of the security. Refer to Note 7 for further discussion of fair value measurements.</w:t>
      </w:r>
    </w:p>
    <w:p>
      <w:pPr>
        <w:spacing w:after="0" w:line="139"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evaluate securities for other-than-temporary impairment (“OTTI”) on at least a quarterly basis, and more frequently when economic or market conditions warrant such evaluation. The determination of whether a security is other-than-temporarily impaired involves judgments and assumptions based on subjective and objective factors. When an investment security is impaired, an OTTI is considered to have occurred if (i) we intend to sell the investment security (i.e. a decision has been made as the reporting date) or (ii) it is more likely than not that we will be required to sell the investment security before recovery of its amortized cost basis. If we intend to sell the security or if it is more likely than not that we will be required to sell the investment security before recovery of its amortized cost basis, the entire amount of the impairment loss, if any, is recognized in earnings as a realized loss and the cost basis of the security is adjusted to its fair value.</w:t>
      </w:r>
    </w:p>
    <w:p>
      <w:pPr>
        <w:spacing w:after="0" w:line="135" w:lineRule="exact"/>
        <w:rPr>
          <w:sz w:val="20"/>
          <w:szCs w:val="20"/>
          <w:color w:val="auto"/>
        </w:rPr>
      </w:pPr>
    </w:p>
    <w:p>
      <w:pPr>
        <w:ind w:right="660" w:firstLine="432"/>
        <w:spacing w:after="0" w:line="438" w:lineRule="auto"/>
        <w:rPr>
          <w:sz w:val="20"/>
          <w:szCs w:val="20"/>
          <w:color w:val="auto"/>
        </w:rPr>
      </w:pPr>
      <w:r>
        <w:rPr>
          <w:rFonts w:ascii="Arial" w:cs="Arial" w:eastAsia="Arial" w:hAnsi="Arial"/>
          <w:sz w:val="18"/>
          <w:szCs w:val="18"/>
          <w:color w:val="auto"/>
        </w:rPr>
        <w:t xml:space="preserve">We did not recognize any OTTI charges on any of our investment securities for the three and nine months ended September 30, 2012 and 2011. </w:t>
      </w:r>
      <w:r>
        <w:rPr>
          <w:rFonts w:ascii="Arial" w:cs="Arial" w:eastAsia="Arial" w:hAnsi="Arial"/>
          <w:sz w:val="18"/>
          <w:szCs w:val="18"/>
          <w:b w:val="1"/>
          <w:bCs w:val="1"/>
          <w:i w:val="1"/>
          <w:iCs w:val="1"/>
          <w:color w:val="auto"/>
        </w:rPr>
        <w:t>Interest Income</w:t>
      </w:r>
    </w:p>
    <w:p>
      <w:pPr>
        <w:spacing w:after="0" w:line="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Interest income is accrued based on the outstanding principal amount of the investment securities and their contractual terms. Premiums and discounts associated with the purchase of investment securities are amortized or accreted into interest income over the projected lives of the securities, including contractual payments and estimated prepayments using the interest method in accordance with ASC Subtopic 310-20, </w:t>
      </w:r>
      <w:r>
        <w:rPr>
          <w:rFonts w:ascii="Arial" w:cs="Arial" w:eastAsia="Arial" w:hAnsi="Arial"/>
          <w:sz w:val="18"/>
          <w:szCs w:val="18"/>
          <w:i w:val="1"/>
          <w:iCs w:val="1"/>
          <w:color w:val="auto"/>
        </w:rPr>
        <w:t>Receivables—Nonrefundable Fees and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Other Costs </w:t>
      </w:r>
      <w:r>
        <w:rPr>
          <w:rFonts w:ascii="Arial" w:cs="Arial" w:eastAsia="Arial" w:hAnsi="Arial"/>
          <w:sz w:val="18"/>
          <w:szCs w:val="18"/>
          <w:color w:val="auto"/>
        </w:rPr>
        <w:t>(“ASC 310-20”).</w:t>
      </w:r>
    </w:p>
    <w:p>
      <w:pPr>
        <w:spacing w:after="0" w:line="133"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estimate long-term prepayment speeds of our agency securities using a third-party service and market data. The third-party service estimates prepayment speeds using models that incorporate the forward yield curve, current mortgage rates, current mortgage rates of the outstanding loans, loan age, volatility and other factors. We review the prepayment speeds estimated by the third-party service and compare the results to market consensus prepayment speeds, if available. We also consider historical prepayment speeds and current market conditions to validate the reasonableness of the prepayment speeds estimated by the third-party service and, based on our Manager’s judgment, we may make adjustments to their estimates. Actual and anticipated prepayment experience is reviewed quarterly and effective yields are recalculated when differences arise between (i) our previously estimated future prepayments and (ii) actual prepayments to date plus current estimated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through the reporting date.</w:t>
      </w:r>
    </w:p>
    <w:p>
      <w:pPr>
        <w:spacing w:after="0" w:line="12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yield on our adjustable rate securities further assumes that the securities reset at a rate equal to the underlying index rate in effect as of the date we acquired the security plus the stated margin.</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and other Hedging Instruments</w:t>
      </w:r>
    </w:p>
    <w:p>
      <w:pPr>
        <w:spacing w:after="0" w:line="171"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We use a variety of derivative instruments to economically hedge a portion of our exposure to market risks, including interest rate and prepayment risk.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principal instruments that we use are interest rate swaps and options to enter into interest rate swaps (“interest rate swaptions”). We also purchase or sell to-be-announced agency MBS forward contracts (“TBAs”), specified agency MBS on a forward basis, U.S. Treasury securities and U.S. Treasury futures contracts. We may also purchase or write put or call options on TBA securities and invest in other types of mortgage derivatives, such as interest-only securities, and synthetic</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46"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t>total return swaps, such as the Markit IOS Synthetic Total Return Swap Index (“Markit IOS Index”).</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 entity to recognize all derivatives as either assets or liabilities in the balance sheet and to measure those instruments at fair value. Hedging instruments that are not derivatives under ASC 815 are accounted for as securities in accordance with ASC 320.</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accounting for changes in the fair value of derivative instruments depends on whether the instruments are designated and qualify as part of a hedging relationship pursuant to ASC 815.</w:t>
      </w:r>
    </w:p>
    <w:p>
      <w:pPr>
        <w:spacing w:after="0" w:line="116"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Changes in fair value related to derivatives not in hedge designated relationships are recorded in gain (loss) on derivative instruments and other securities, net; whereas changes in fair value related to derivatives in hedge designated relationships are initially recorded in OCI and later reclassified to income at the time that the hedged transactions affect earnings. Any portion of the changes in fair value due to hedge ineffectiveness is immediately recognized in gain (loss) on derivative instruments and other securities, net.</w:t>
      </w:r>
    </w:p>
    <w:p>
      <w:pPr>
        <w:spacing w:after="0" w:line="133"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Our derivative agreements and repurchase agreements generally contain provisions that allow for netting or setting off receivables and payables with each counterparty. We report amounts in our consolidated balance sheets on a gross basis without regard for such rights of offset or master netting arrangements.</w:t>
      </w:r>
    </w:p>
    <w:p>
      <w:pPr>
        <w:spacing w:after="0" w:line="127"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Derivatives in a gain position are reported as derivative assets at fair value and derivatives in a loss position are reported as derivative liabilities at fair value in our consolidated balance sheets. In our consolidated statements of cash flows, cash receipts and payments related to derivative instruments are classified according to the underlying nature or purpose of the derivative transaction, generally in the operating section for derivatives designated in hedging relationships and the investing section for derivatives not designated in hedging relationships.</w:t>
      </w:r>
    </w:p>
    <w:p>
      <w:pPr>
        <w:spacing w:after="0" w:line="133"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use of derivatives creates exposure to credit risk relating to potential losses that could be recognized in the event that the counterparties to these instruments fail to perform their obligations under the contracts. We attempt to minimize this risk by limiting our counterparties to major financial institutions with acceptable credit ratings, monitoring positions with individual counterparties and adjusting posted collateral as required.</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Discontinuation of hedge accounting for interest rate swap agreements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Prior to the third quarter of 2011, we entered into interest rate swap agreements typically with the intention of qualifying for hedge accounting under ASC 815. However, as of September 30, 2011, we elected to discontinue hedge accounting for our interest rate swaps. Our net asset value was not impacted by our election to discontinue hedge accounting since our net asset value is the same irrespective of whether we apply hedge accounting.</w:t>
      </w:r>
    </w:p>
    <w:p>
      <w:pPr>
        <w:spacing w:after="0" w:line="111"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Upon discontinuation of hedge accounting, the net deferred loss related to our de-designated interest rate swaps remained in accumulated OCI and is being reclassified from accumulated OCI into interest expense on a straight-line basis over the remaining term of each interest rate swap. Although the reclassification of accumulated OCI into interest expense is similar to as if the interest rate swaps had not been de-designated, the actual net periodic interest costs associated with our de-designated interest rates swaps may be more or less than amounts reclassified into interest expense. The difference, as well as net periodic interest costs on interest rate swaps that were never in a hedge designation, along with subsequent changes in the fair value of our interest rates swaps, is reported in our consolidated statement of comprehensive income in gain (loss) on derivative instruments and other securities, net.</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We use interest rate swaps to economically hedge the variable cash flows associated with borrowings made under our repurchase agreement facilities. Under our interest rate swap agreements, we typically pay a fixed rate and receive a floating rate based on one or three-month LIBOR ("payer swap") with terms up to 10 years, which has the effect of modifying the repricing characteristics of our repurchase agreements and cash flows on such liabilities.</w:t>
      </w:r>
    </w:p>
    <w:p>
      <w:pPr>
        <w:spacing w:after="0" w:line="93"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We estimate the fair value of interest rate swaps using a third-party pricing model. The third-party pricing model incorporates such factors as the LIBOR curve and the pay rate on the interest rate swaps. We also incorporate both our own and our counterparties’ nonperformance risk in estimating the fair value of our interest rate swaps. In considering the effect of nonperformance risk, we consider the impact of netting and credit enhancements, such as collateral postings and guarantees, and have concluded that our own and our counterparty risk is not significant to the overall valuation of these agreements.</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746"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purchase interest rate swaptions to help mitigate the potential impact of increases or decreases in interest rates on the performance of our investment portfolio (referred to as “convexity risk”). The interest rate swaptions provide us the option to enter into an interest rate swap agreement for a predetermined notional amount, stated term and pay and receive interest rates in the future. Our swaption agreements typically provide us the option to enter into a pay fixed rate interest rate swap, which we refer as “payer swaptions”. We may also enter into swaption agreements that provide us the option to enter into a receive fixed interest rate swap, which we refer to as "receiver swaptions". The premium paid for interest rate swaptions is reported as an asset in our consolidated balance sheets. The premium is valued at an amount equal to the fair value of the swaption that would have the effect of closing the position adjusted for nonperformance risk, if any. The difference between the premium and the fair value of the swaption is reported in gain (loss) on derivative instruments and other securities, net in our consolidated statement of comprehensive income. If a swaption expires unexercised, the loss on the swaption would be equal to the premium paid. If we sell or exercise a swaption, the realized gain or loss on the swaption would be equal to the difference between the cash or the fair value of the underlying interest rate swap received and the premium paid.</w:t>
      </w:r>
    </w:p>
    <w:p>
      <w:pPr>
        <w:spacing w:after="0" w:line="124" w:lineRule="exact"/>
        <w:rPr>
          <w:sz w:val="20"/>
          <w:szCs w:val="20"/>
          <w:color w:val="auto"/>
        </w:rPr>
      </w:pPr>
    </w:p>
    <w:p>
      <w:pPr>
        <w:jc w:val="both"/>
        <w:ind w:right="20" w:firstLine="432"/>
        <w:spacing w:after="0" w:line="308" w:lineRule="auto"/>
        <w:rPr>
          <w:sz w:val="20"/>
          <w:szCs w:val="20"/>
          <w:color w:val="auto"/>
        </w:rPr>
      </w:pPr>
      <w:r>
        <w:rPr>
          <w:rFonts w:ascii="Arial" w:cs="Arial" w:eastAsia="Arial" w:hAnsi="Arial"/>
          <w:sz w:val="17"/>
          <w:szCs w:val="17"/>
          <w:color w:val="auto"/>
        </w:rPr>
        <w:t>We estimate the fair value of interest rate swaptions using a third-party pricing model based on the fair value of the future interest rate swap that we have the option to enter into as well as the remaining length of time that we have to exercise the option, adjusted for non-performance risk, if any.</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A TBA security is a forward contract for the purchase ("long position") or sale ("short position") of agency MBS at a predetermined price, face amount, issuer, coupon and stated maturity on an agreed-upon future date. The specific agency MBS delivered into the contract upon the settlement date, published each month by the Securities Industry and Financial Markets Association, are not known at the time of the transaction. The difference between the contract price and the fair value of the TBA security is reported in gain (loss) on derivative instruments and other securities, net in our consolidated statement of comprehensive income. Upon settlement of the TBA contract, the realized gain or loss on the TBA contract is equal to the difference between the fair value of the underlying agency MBS physically received/delivered and the contract price, or if cash settled, is equal to the net cash amount paid or received.</w:t>
      </w:r>
    </w:p>
    <w:p>
      <w:pPr>
        <w:spacing w:after="0" w:line="1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estimate the fair value of TBA securities based on similar methods used to value our agency MBS securities.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Forward commitments to purchase or sell specified agency MBS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enter into forward commitments to purchase or sell specified agency MBS from time to time as a means of acquiring assets or as a hedge against short-term changes in interest rates. We account for contracts for the purchase or sale of specified agency MBS securities as derivatives if the delivery of the specified agency MBS and settlement extends beyond the shortest period possible for that type of security. Realized and unrealized gains and losses associated with forward commitments accounted for as derivatives are recognized in our consolidated statements of comprehensive income in gain (loss) on derivative instruments and other securities, net.</w:t>
      </w:r>
    </w:p>
    <w:p>
      <w:pPr>
        <w:spacing w:after="0" w:line="13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estimate the fair value of forward commitments to purchase or sell specified agency MBS based on similar methods used to value agency MBS, as well as the remaining length of time of the forward commitment.</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purchase or sell short U.S. Treasury securities and U.S. Treasury futures contracts to help mitigate the potential impact of changes in interest rates on the performance of our portfolio. We borrow securities to cover short sales of U.S. Treasury securities under reverse repurchase agreements. We account for these as securities borrowing transactions and recognize an obligation to return the borrowed securities at fair value on the balance sheet based on the value of the underlying borrowed securities as of the reporting date. Gains and losses associated with purchases and short sales of U.S. Treasury securities are recognized in gain (loss) on derivative instruments and other securities, net in our consolidated statements of comprehensive income.</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Total return swaps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enter into total return swaps to obtain exposure to a security or market sector without owning such security or investing directly in that market sector. Total return swaps are agreements in which there is an exchange of cash flows whereby one party commits to make payments based on the total return (coupon plus the mark-to-market movement) of an underlying instrument or index in exchange for fixed or floating rate interest payments. To the extent the total return of the instrument or index underlying the transaction exceeds or falls short of the offsetting interest rate obligation, we will receive a payment from or make a payment to the counterparty.</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46" w:right="239" w:bottom="1440" w:gutter="0" w:footer="0" w:header="0"/>
        </w:sectPr>
      </w:pPr>
    </w:p>
    <w:bookmarkStart w:id="10" w:name="page11"/>
    <w:bookmarkEnd w:id="10"/>
    <w:p>
      <w:pPr>
        <w:jc w:val="both"/>
        <w:ind w:firstLine="432"/>
        <w:spacing w:after="0" w:line="259" w:lineRule="auto"/>
        <w:rPr>
          <w:sz w:val="20"/>
          <w:szCs w:val="20"/>
          <w:color w:val="auto"/>
        </w:rPr>
      </w:pPr>
      <w:r>
        <w:rPr>
          <w:rFonts w:ascii="Arial" w:cs="Arial" w:eastAsia="Arial" w:hAnsi="Arial"/>
          <w:sz w:val="18"/>
          <w:szCs w:val="18"/>
          <w:color w:val="auto"/>
        </w:rPr>
        <w:t>The primary total return swap index in which we invest is the Markit IOS Index. Total return swaps based on the Markit IOS Index are intended to synthetically replicate the performance of interest-only securities. We determine the fair value of our total return swaps based on published index prices. Gains and losses associated with changes in market value of the underlying index and coupon interest are recognized in gain (loss) on derivative instruments and other securities, net in our consolidated statements of comprehensive income.</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Entities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 xml:space="preserve">ASC Topic 810, </w:t>
      </w:r>
      <w:r>
        <w:rPr>
          <w:rFonts w:ascii="Arial" w:cs="Arial" w:eastAsia="Arial" w:hAnsi="Arial"/>
          <w:sz w:val="17"/>
          <w:szCs w:val="17"/>
          <w:i w:val="1"/>
          <w:iCs w:val="1"/>
          <w:color w:val="auto"/>
        </w:rPr>
        <w:t>Consolidation</w:t>
      </w:r>
      <w:r>
        <w:rPr>
          <w:rFonts w:ascii="Arial" w:cs="Arial" w:eastAsia="Arial" w:hAnsi="Arial"/>
          <w:sz w:val="17"/>
          <w:szCs w:val="17"/>
          <w:color w:val="auto"/>
        </w:rPr>
        <w:t xml:space="preserve"> (“ASC 810”), requires an enterprise to consolidate a variable interest entity ("VIE") if it is deemed the primary beneficiary of the VIE. Further, ASC 810 requires a qualitative assessment to determine the primary beneficiary of a VIE and ongoing assessments of whether an enterprise is the primary beneficiary of a VIE as well as additional disclosures for entities that have variable interests in VIEs.</w:t>
      </w:r>
    </w:p>
    <w:p>
      <w:pPr>
        <w:spacing w:after="0" w:line="111"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have entered into transactions involving CMO trusts (e.g. a VIE) whereby, in each case, we transferred agency MBS to an investment bank in exchange for cash proceeds and at the same time entered into a commitment with the same investment bank to purchase to-be-issued securities collateralized by the agency MBS transferred, which resulted in our consolidation of the CMO trusts. We will consolidate a CMO trust if we are the CMO trust’s primary beneficiary; that is, if we have a variable interest that provides us with a controlling financial interest in the CMO trust. An entity is deemed to have a controlling financial interest if the entity has the power to direct the activities of a VIE that most significantly impact the VIE’s economic performance and the obligation to absorb losses of or right to receive benefits from the VIE that could potentially be significant to the VIE. As part of the qualitative assessment in determining if we have a controlling financial interest, we evaluate whether we control the selection of financial assets transferred to the CMO trust.</w:t>
      </w:r>
    </w:p>
    <w:p>
      <w:pPr>
        <w:spacing w:after="0" w:line="113"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Agency MBS transferred to consolidated VIEs are reported on our consolidated balance sheets in agency securities transferred to consolidated variable interest entities, at fair value and can only be used to settle the obligations of each respective VIE.</w:t>
      </w:r>
    </w:p>
    <w:p>
      <w:pPr>
        <w:spacing w:after="0" w:line="116"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report debt issued in connection with the CMO trusts on our consolidated balance sheets in debt of consolidated VIEs, at fair value, which represents tranches within the trusts sold to third-parties and excludes tranches acquired by us that eliminate in consolidation. The third-party beneficial interest holders in the VIEs have no recourse against our general credit. For transactions entered into subsequent to December 31, 2011, we have elected the option to account for the consolidated debt at fair value, with changes in fair value reflected in earnings during the period in which they occur. We believe this election more appropriately reflects our financial position as both the consolidated assets and consolidated debt are presented in a consistent manner on our consolidated balance sheets. We estimate the fair value of the consolidated debt based on a market approach using Level 2 inputs from third-party pricing services and dealer quotes.</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 xml:space="preserve">In December 2011, the FASB issued ASU No. 2011-11, </w:t>
      </w:r>
      <w:r>
        <w:rPr>
          <w:rFonts w:ascii="Arial" w:cs="Arial" w:eastAsia="Arial" w:hAnsi="Arial"/>
          <w:sz w:val="16"/>
          <w:szCs w:val="16"/>
          <w:i w:val="1"/>
          <w:iCs w:val="1"/>
          <w:color w:val="auto"/>
        </w:rPr>
        <w:t>Balance Sheet (Topic 210): Disclosures about Offsetting Assets and Liabilities</w:t>
      </w:r>
      <w:r>
        <w:rPr>
          <w:rFonts w:ascii="Arial" w:cs="Arial" w:eastAsia="Arial" w:hAnsi="Arial"/>
          <w:sz w:val="16"/>
          <w:szCs w:val="16"/>
          <w:color w:val="auto"/>
        </w:rPr>
        <w:t xml:space="preserve"> (“ASU 2011-11”). The update requires new disclosures about balance sheet offsetting and related arrangements. For derivatives and financial assets and liabilities, the amendments require disclosure of gross asset and liability amounts, amounts offset on the balance sheet, and amounts subject to the offsetting requirements but not offset on the balance sheet. The guidance is effective January 1, 2013 and is to be applied retrospectively. This guidance does not amend the existing guidance on when it is appropriate to offset. As a result, we do not expect this guidance to have a material effect on our financial statements.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Certain prior period amounts in the consolidated financial statements have been reclassified to conform to the current period presentation.</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Investment Securities</w:t>
      </w:r>
    </w:p>
    <w:p>
      <w:pPr>
        <w:spacing w:after="0" w:line="310"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As of September 30, 2012, we had agency MBS at fair value of $89.6 billion, with a total cost basis of $86.9 billion. The net unamortized premium balance on our investment portfolio as of September 30, 2012 was $4.4 billion, including interest-only and principal-only strips. The following tables summarize our investments in agency MBS as of September 30, 2012 (dollars in millions):</w:t>
      </w: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746"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10"/>
        </w:trPr>
        <w:tc>
          <w:tcPr>
            <w:tcW w:w="6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520" w:type="dxa"/>
            <w:vAlign w:val="bottom"/>
            <w:gridSpan w:val="5"/>
          </w:tcPr>
          <w:p>
            <w:pPr>
              <w:ind w:left="480"/>
              <w:spacing w:after="0"/>
              <w:rPr>
                <w:sz w:val="20"/>
                <w:szCs w:val="20"/>
                <w:color w:val="auto"/>
              </w:rPr>
            </w:pPr>
            <w:r>
              <w:rPr>
                <w:rFonts w:ascii="Arial" w:cs="Arial" w:eastAsia="Arial" w:hAnsi="Arial"/>
                <w:sz w:val="16"/>
                <w:szCs w:val="16"/>
                <w:b w:val="1"/>
                <w:bCs w:val="1"/>
                <w:color w:val="auto"/>
              </w:rPr>
              <w:t>September 30, 2012</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33"/>
        </w:trPr>
        <w:tc>
          <w:tcPr>
            <w:tcW w:w="60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1"/>
        </w:trPr>
        <w:tc>
          <w:tcPr>
            <w:tcW w:w="6060" w:type="dxa"/>
            <w:vAlign w:val="bottom"/>
          </w:tcPr>
          <w:p>
            <w:pPr>
              <w:ind w:left="40"/>
              <w:spacing w:after="0"/>
              <w:rPr>
                <w:sz w:val="20"/>
                <w:szCs w:val="20"/>
                <w:color w:val="auto"/>
              </w:rPr>
            </w:pPr>
            <w:r>
              <w:rPr>
                <w:rFonts w:ascii="Arial" w:cs="Arial" w:eastAsia="Arial" w:hAnsi="Arial"/>
                <w:sz w:val="16"/>
                <w:szCs w:val="16"/>
                <w:b w:val="1"/>
                <w:bCs w:val="1"/>
                <w:color w:val="auto"/>
              </w:rPr>
              <w:t>Agency MBS</w:t>
            </w:r>
          </w:p>
        </w:tc>
        <w:tc>
          <w:tcPr>
            <w:tcW w:w="160" w:type="dxa"/>
            <w:vAlign w:val="bottom"/>
          </w:tcPr>
          <w:p>
            <w:pPr>
              <w:spacing w:after="0"/>
              <w:rPr>
                <w:sz w:val="20"/>
                <w:szCs w:val="20"/>
                <w:color w:val="auto"/>
              </w:rPr>
            </w:pPr>
          </w:p>
        </w:tc>
        <w:tc>
          <w:tcPr>
            <w:tcW w:w="1220" w:type="dxa"/>
            <w:vAlign w:val="bottom"/>
            <w:gridSpan w:val="2"/>
          </w:tcPr>
          <w:p>
            <w:pPr>
              <w:ind w:left="60"/>
              <w:spacing w:after="0"/>
              <w:rPr>
                <w:sz w:val="20"/>
                <w:szCs w:val="20"/>
                <w:color w:val="auto"/>
              </w:rPr>
            </w:pPr>
            <w:r>
              <w:rPr>
                <w:rFonts w:ascii="Arial" w:cs="Arial" w:eastAsia="Arial" w:hAnsi="Arial"/>
                <w:sz w:val="16"/>
                <w:szCs w:val="16"/>
                <w:b w:val="1"/>
                <w:bCs w:val="1"/>
                <w:color w:val="auto"/>
              </w:rPr>
              <w:t>Fannie Mae</w:t>
            </w:r>
          </w:p>
        </w:tc>
        <w:tc>
          <w:tcPr>
            <w:tcW w:w="160" w:type="dxa"/>
            <w:vAlign w:val="bottom"/>
          </w:tcPr>
          <w:p>
            <w:pPr>
              <w:spacing w:after="0"/>
              <w:rPr>
                <w:sz w:val="20"/>
                <w:szCs w:val="20"/>
                <w:color w:val="auto"/>
              </w:rPr>
            </w:pPr>
          </w:p>
        </w:tc>
        <w:tc>
          <w:tcPr>
            <w:tcW w:w="1240" w:type="dxa"/>
            <w:vAlign w:val="bottom"/>
            <w:gridSpan w:val="2"/>
          </w:tcPr>
          <w:p>
            <w:pPr>
              <w:ind w:left="40"/>
              <w:spacing w:after="0"/>
              <w:rPr>
                <w:sz w:val="20"/>
                <w:szCs w:val="20"/>
                <w:color w:val="auto"/>
              </w:rPr>
            </w:pPr>
            <w:r>
              <w:rPr>
                <w:rFonts w:ascii="Arial" w:cs="Arial" w:eastAsia="Arial" w:hAnsi="Arial"/>
                <w:sz w:val="16"/>
                <w:szCs w:val="16"/>
                <w:b w:val="1"/>
                <w:bCs w:val="1"/>
                <w:color w:val="auto"/>
              </w:rPr>
              <w:t>Freddie Mac</w:t>
            </w:r>
          </w:p>
        </w:tc>
        <w:tc>
          <w:tcPr>
            <w:tcW w:w="140" w:type="dxa"/>
            <w:vAlign w:val="bottom"/>
          </w:tcPr>
          <w:p>
            <w:pPr>
              <w:spacing w:after="0"/>
              <w:rPr>
                <w:sz w:val="20"/>
                <w:szCs w:val="20"/>
                <w:color w:val="auto"/>
              </w:rPr>
            </w:pPr>
          </w:p>
        </w:tc>
        <w:tc>
          <w:tcPr>
            <w:tcW w:w="1140" w:type="dxa"/>
            <w:vAlign w:val="bottom"/>
            <w:gridSpan w:val="2"/>
          </w:tcPr>
          <w:p>
            <w:pPr>
              <w:ind w:left="40"/>
              <w:spacing w:after="0"/>
              <w:rPr>
                <w:sz w:val="20"/>
                <w:szCs w:val="20"/>
                <w:color w:val="auto"/>
              </w:rPr>
            </w:pPr>
            <w:r>
              <w:rPr>
                <w:rFonts w:ascii="Arial" w:cs="Arial" w:eastAsia="Arial" w:hAnsi="Arial"/>
                <w:sz w:val="16"/>
                <w:szCs w:val="16"/>
                <w:b w:val="1"/>
                <w:bCs w:val="1"/>
                <w:color w:val="auto"/>
              </w:rPr>
              <w:t>Ginnie Mae</w:t>
            </w:r>
          </w:p>
        </w:tc>
        <w:tc>
          <w:tcPr>
            <w:tcW w:w="300" w:type="dxa"/>
            <w:vAlign w:val="bottom"/>
          </w:tcPr>
          <w:p>
            <w:pPr>
              <w:spacing w:after="0"/>
              <w:rPr>
                <w:sz w:val="20"/>
                <w:szCs w:val="20"/>
                <w:color w:val="auto"/>
              </w:rPr>
            </w:pPr>
          </w:p>
        </w:tc>
        <w:tc>
          <w:tcPr>
            <w:tcW w:w="1000" w:type="dxa"/>
            <w:vAlign w:val="bottom"/>
          </w:tcPr>
          <w:p>
            <w:pPr>
              <w:jc w:val="right"/>
              <w:ind w:right="399"/>
              <w:spacing w:after="0"/>
              <w:rPr>
                <w:sz w:val="20"/>
                <w:szCs w:val="20"/>
                <w:color w:val="auto"/>
              </w:rPr>
            </w:pPr>
            <w:r>
              <w:rPr>
                <w:rFonts w:ascii="Arial" w:cs="Arial" w:eastAsia="Arial" w:hAnsi="Arial"/>
                <w:sz w:val="16"/>
                <w:szCs w:val="16"/>
                <w:b w:val="1"/>
                <w:bCs w:val="1"/>
                <w:color w:val="auto"/>
              </w:rPr>
              <w:t>Total</w:t>
            </w:r>
          </w:p>
        </w:tc>
      </w:tr>
      <w:tr>
        <w:trPr>
          <w:trHeight w:val="33"/>
        </w:trPr>
        <w:tc>
          <w:tcPr>
            <w:tcW w:w="6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Available-for-sale agency MBS:</w:t>
            </w:r>
          </w:p>
        </w:tc>
        <w:tc>
          <w:tcPr>
            <w:tcW w:w="1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r>
      <w:tr>
        <w:trPr>
          <w:trHeight w:val="237"/>
        </w:trPr>
        <w:tc>
          <w:tcPr>
            <w:tcW w:w="6060" w:type="dxa"/>
            <w:vAlign w:val="bottom"/>
          </w:tcPr>
          <w:p>
            <w:pPr>
              <w:ind w:left="1200"/>
              <w:spacing w:after="0"/>
              <w:rPr>
                <w:sz w:val="20"/>
                <w:szCs w:val="20"/>
                <w:color w:val="auto"/>
              </w:rPr>
            </w:pPr>
            <w:r>
              <w:rPr>
                <w:rFonts w:ascii="Arial" w:cs="Arial" w:eastAsia="Arial" w:hAnsi="Arial"/>
                <w:sz w:val="16"/>
                <w:szCs w:val="16"/>
                <w:color w:val="auto"/>
              </w:rPr>
              <w:t>Agency MBS, par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64,352</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79"/>
              <w:spacing w:after="0"/>
              <w:rPr>
                <w:sz w:val="20"/>
                <w:szCs w:val="20"/>
                <w:color w:val="auto"/>
              </w:rPr>
            </w:pPr>
            <w:r>
              <w:rPr>
                <w:rFonts w:ascii="Arial" w:cs="Arial" w:eastAsia="Arial" w:hAnsi="Arial"/>
                <w:sz w:val="16"/>
                <w:szCs w:val="16"/>
                <w:color w:val="auto"/>
              </w:rPr>
              <w:t>17,512</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79"/>
              <w:spacing w:after="0"/>
              <w:rPr>
                <w:sz w:val="20"/>
                <w:szCs w:val="20"/>
                <w:color w:val="auto"/>
              </w:rPr>
            </w:pPr>
            <w:r>
              <w:rPr>
                <w:rFonts w:ascii="Arial" w:cs="Arial" w:eastAsia="Arial" w:hAnsi="Arial"/>
                <w:sz w:val="16"/>
                <w:szCs w:val="16"/>
                <w:color w:val="auto"/>
              </w:rPr>
              <w:t>260</w:t>
            </w:r>
          </w:p>
        </w:tc>
        <w:tc>
          <w:tcPr>
            <w:tcW w:w="100" w:type="dxa"/>
            <w:vAlign w:val="bottom"/>
          </w:tcPr>
          <w:p>
            <w:pPr>
              <w:spacing w:after="0"/>
              <w:rPr>
                <w:sz w:val="20"/>
                <w:szCs w:val="20"/>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79"/>
              <w:spacing w:after="0"/>
              <w:rPr>
                <w:sz w:val="20"/>
                <w:szCs w:val="20"/>
                <w:color w:val="auto"/>
              </w:rPr>
            </w:pPr>
            <w:r>
              <w:rPr>
                <w:rFonts w:ascii="Arial" w:cs="Arial" w:eastAsia="Arial" w:hAnsi="Arial"/>
                <w:sz w:val="16"/>
                <w:szCs w:val="16"/>
                <w:color w:val="auto"/>
              </w:rPr>
              <w:t>82,124</w:t>
            </w:r>
          </w:p>
        </w:tc>
      </w:tr>
      <w:tr>
        <w:trPr>
          <w:trHeight w:val="33"/>
        </w:trPr>
        <w:tc>
          <w:tcPr>
            <w:tcW w:w="60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1200"/>
              <w:spacing w:after="0"/>
              <w:rPr>
                <w:sz w:val="20"/>
                <w:szCs w:val="20"/>
                <w:color w:val="auto"/>
              </w:rPr>
            </w:pPr>
            <w:r>
              <w:rPr>
                <w:rFonts w:ascii="Arial" w:cs="Arial" w:eastAsia="Arial" w:hAnsi="Arial"/>
                <w:sz w:val="16"/>
                <w:szCs w:val="16"/>
                <w:color w:val="auto"/>
              </w:rPr>
              <w:t>Unamortized premium</w:t>
            </w:r>
          </w:p>
        </w:tc>
        <w:tc>
          <w:tcPr>
            <w:tcW w:w="1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3,319</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827</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4,158</w:t>
            </w:r>
          </w:p>
        </w:tc>
      </w:tr>
      <w:tr>
        <w:trPr>
          <w:trHeight w:val="217"/>
        </w:trPr>
        <w:tc>
          <w:tcPr>
            <w:tcW w:w="6060" w:type="dxa"/>
            <w:vAlign w:val="bottom"/>
          </w:tcPr>
          <w:p>
            <w:pPr>
              <w:ind w:left="1040"/>
              <w:spacing w:after="0"/>
              <w:rPr>
                <w:sz w:val="20"/>
                <w:szCs w:val="20"/>
                <w:color w:val="auto"/>
              </w:rPr>
            </w:pPr>
            <w:r>
              <w:rPr>
                <w:rFonts w:ascii="Arial" w:cs="Arial" w:eastAsia="Arial" w:hAnsi="Arial"/>
                <w:sz w:val="16"/>
                <w:szCs w:val="16"/>
                <w:color w:val="auto"/>
              </w:rPr>
              <w:t>Amortized cost</w:t>
            </w:r>
          </w:p>
        </w:tc>
        <w:tc>
          <w:tcPr>
            <w:tcW w:w="1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67,671</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18,339</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272</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86,282</w:t>
            </w:r>
          </w:p>
        </w:tc>
      </w:tr>
      <w:tr>
        <w:trPr>
          <w:trHeight w:val="33"/>
        </w:trPr>
        <w:tc>
          <w:tcPr>
            <w:tcW w:w="60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1200"/>
              <w:spacing w:after="0"/>
              <w:rPr>
                <w:sz w:val="20"/>
                <w:szCs w:val="20"/>
                <w:color w:val="auto"/>
              </w:rPr>
            </w:pPr>
            <w:r>
              <w:rPr>
                <w:rFonts w:ascii="Arial" w:cs="Arial" w:eastAsia="Arial" w:hAnsi="Arial"/>
                <w:sz w:val="16"/>
                <w:szCs w:val="16"/>
                <w:color w:val="auto"/>
              </w:rPr>
              <w:t>Gross unrealized gains</w:t>
            </w:r>
          </w:p>
        </w:tc>
        <w:tc>
          <w:tcPr>
            <w:tcW w:w="1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2,161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617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2,784</w:t>
            </w:r>
          </w:p>
        </w:tc>
      </w:tr>
      <w:tr>
        <w:trPr>
          <w:trHeight w:val="237"/>
        </w:trPr>
        <w:tc>
          <w:tcPr>
            <w:tcW w:w="6060" w:type="dxa"/>
            <w:vAlign w:val="bottom"/>
          </w:tcPr>
          <w:p>
            <w:pPr>
              <w:ind w:left="1200"/>
              <w:spacing w:after="0"/>
              <w:rPr>
                <w:sz w:val="20"/>
                <w:szCs w:val="20"/>
                <w:color w:val="auto"/>
              </w:rPr>
            </w:pPr>
            <w:r>
              <w:rPr>
                <w:rFonts w:ascii="Arial" w:cs="Arial" w:eastAsia="Arial" w:hAnsi="Arial"/>
                <w:sz w:val="16"/>
                <w:szCs w:val="16"/>
                <w:color w:val="auto"/>
              </w:rPr>
              <w:t>Gross unrealized losses</w:t>
            </w:r>
          </w:p>
        </w:tc>
        <w:tc>
          <w:tcPr>
            <w:tcW w:w="16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w:t>
            </w:r>
          </w:p>
        </w:tc>
      </w:tr>
      <w:tr>
        <w:trPr>
          <w:trHeight w:val="33"/>
        </w:trPr>
        <w:tc>
          <w:tcPr>
            <w:tcW w:w="60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1040"/>
              <w:spacing w:after="0"/>
              <w:rPr>
                <w:sz w:val="20"/>
                <w:szCs w:val="20"/>
                <w:color w:val="auto"/>
              </w:rPr>
            </w:pPr>
            <w:r>
              <w:rPr>
                <w:rFonts w:ascii="Arial" w:cs="Arial" w:eastAsia="Arial" w:hAnsi="Arial"/>
                <w:sz w:val="16"/>
                <w:szCs w:val="16"/>
                <w:color w:val="auto"/>
              </w:rPr>
              <w:t>Total available-for-sale agency MBS, at fair value</w:t>
            </w:r>
          </w:p>
        </w:tc>
        <w:tc>
          <w:tcPr>
            <w:tcW w:w="1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69,831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18,956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278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89,065</w:t>
            </w:r>
          </w:p>
        </w:tc>
      </w:tr>
      <w:tr>
        <w:trPr>
          <w:trHeight w:val="231"/>
        </w:trPr>
        <w:tc>
          <w:tcPr>
            <w:tcW w:w="6060" w:type="dxa"/>
            <w:vAlign w:val="bottom"/>
          </w:tcPr>
          <w:p>
            <w:pPr>
              <w:ind w:left="40"/>
              <w:spacing w:after="0"/>
              <w:rPr>
                <w:sz w:val="20"/>
                <w:szCs w:val="20"/>
                <w:color w:val="auto"/>
              </w:rPr>
            </w:pPr>
            <w:r>
              <w:rPr>
                <w:rFonts w:ascii="Arial" w:cs="Arial" w:eastAsia="Arial" w:hAnsi="Arial"/>
                <w:sz w:val="16"/>
                <w:szCs w:val="16"/>
                <w:color w:val="auto"/>
              </w:rPr>
              <w:t>Agency MBS remeasured at fair value through earnings:</w:t>
            </w:r>
          </w:p>
        </w:tc>
        <w:tc>
          <w:tcPr>
            <w:tcW w:w="1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r>
      <w:tr>
        <w:trPr>
          <w:trHeight w:val="33"/>
        </w:trPr>
        <w:tc>
          <w:tcPr>
            <w:tcW w:w="60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6060" w:type="dxa"/>
            <w:vAlign w:val="bottom"/>
            <w:shd w:val="clear" w:color="auto" w:fill="CCEEFF"/>
          </w:tcPr>
          <w:p>
            <w:pPr>
              <w:ind w:left="1200"/>
              <w:spacing w:after="0"/>
              <w:rPr>
                <w:sz w:val="20"/>
                <w:szCs w:val="20"/>
                <w:color w:val="auto"/>
              </w:rPr>
            </w:pPr>
            <w:r>
              <w:rPr>
                <w:rFonts w:ascii="Arial" w:cs="Arial" w:eastAsia="Arial" w:hAnsi="Arial"/>
                <w:sz w:val="16"/>
                <w:szCs w:val="16"/>
                <w:color w:val="auto"/>
              </w:rPr>
              <w:t xml:space="preserve">Interest-only and principal-only strips, amortized cost </w:t>
            </w:r>
            <w:r>
              <w:rPr>
                <w:rFonts w:ascii="Arial" w:cs="Arial" w:eastAsia="Arial" w:hAnsi="Arial"/>
                <w:sz w:val="21"/>
                <w:szCs w:val="21"/>
                <w:color w:val="auto"/>
                <w:vertAlign w:val="superscript"/>
              </w:rPr>
              <w:t>(1)</w:t>
            </w:r>
          </w:p>
        </w:tc>
        <w:tc>
          <w:tcPr>
            <w:tcW w:w="1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508</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60</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568</w:t>
            </w:r>
          </w:p>
        </w:tc>
      </w:tr>
      <w:tr>
        <w:trPr>
          <w:trHeight w:val="237"/>
        </w:trPr>
        <w:tc>
          <w:tcPr>
            <w:tcW w:w="6060" w:type="dxa"/>
            <w:vAlign w:val="bottom"/>
          </w:tcPr>
          <w:p>
            <w:pPr>
              <w:ind w:left="1200"/>
              <w:spacing w:after="0"/>
              <w:rPr>
                <w:sz w:val="20"/>
                <w:szCs w:val="20"/>
                <w:color w:val="auto"/>
              </w:rPr>
            </w:pPr>
            <w:r>
              <w:rPr>
                <w:rFonts w:ascii="Arial" w:cs="Arial" w:eastAsia="Arial" w:hAnsi="Arial"/>
                <w:sz w:val="16"/>
                <w:szCs w:val="16"/>
                <w:color w:val="auto"/>
              </w:rPr>
              <w:t>Gross unrealized gains</w:t>
            </w:r>
          </w:p>
        </w:tc>
        <w:tc>
          <w:tcPr>
            <w:tcW w:w="160" w:type="dxa"/>
            <w:vAlign w:val="bottom"/>
          </w:tcPr>
          <w:p>
            <w:pPr>
              <w:spacing w:after="0"/>
              <w:rPr>
                <w:sz w:val="20"/>
                <w:szCs w:val="20"/>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30</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40" w:type="dxa"/>
            <w:vAlign w:val="bottom"/>
          </w:tcPr>
          <w:p>
            <w:pPr>
              <w:jc w:val="right"/>
              <w:ind w:right="79"/>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1000" w:type="dxa"/>
            <w:vAlign w:val="bottom"/>
          </w:tcPr>
          <w:p>
            <w:pPr>
              <w:jc w:val="right"/>
              <w:ind w:right="79"/>
              <w:spacing w:after="0"/>
              <w:rPr>
                <w:sz w:val="20"/>
                <w:szCs w:val="20"/>
                <w:color w:val="auto"/>
              </w:rPr>
            </w:pPr>
            <w:r>
              <w:rPr>
                <w:rFonts w:ascii="Arial" w:cs="Arial" w:eastAsia="Arial" w:hAnsi="Arial"/>
                <w:sz w:val="16"/>
                <w:szCs w:val="16"/>
                <w:color w:val="auto"/>
              </w:rPr>
              <w:t>31</w:t>
            </w:r>
          </w:p>
        </w:tc>
      </w:tr>
      <w:tr>
        <w:trPr>
          <w:trHeight w:val="33"/>
        </w:trPr>
        <w:tc>
          <w:tcPr>
            <w:tcW w:w="60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1200"/>
              <w:spacing w:after="0"/>
              <w:rPr>
                <w:sz w:val="20"/>
                <w:szCs w:val="20"/>
                <w:color w:val="auto"/>
              </w:rPr>
            </w:pPr>
            <w:r>
              <w:rPr>
                <w:rFonts w:ascii="Arial" w:cs="Arial" w:eastAsia="Arial" w:hAnsi="Arial"/>
                <w:sz w:val="16"/>
                <w:szCs w:val="16"/>
                <w:color w:val="auto"/>
              </w:rPr>
              <w:t>Gross unrealized losses</w:t>
            </w:r>
          </w:p>
        </w:tc>
        <w:tc>
          <w:tcPr>
            <w:tcW w:w="1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(24)</w:t>
            </w:r>
          </w:p>
        </w:tc>
      </w:tr>
      <w:tr>
        <w:trPr>
          <w:trHeight w:val="217"/>
        </w:trPr>
        <w:tc>
          <w:tcPr>
            <w:tcW w:w="6060" w:type="dxa"/>
            <w:vAlign w:val="bottom"/>
          </w:tcPr>
          <w:p>
            <w:pPr>
              <w:ind w:left="1040"/>
              <w:spacing w:after="0"/>
              <w:rPr>
                <w:sz w:val="20"/>
                <w:szCs w:val="20"/>
                <w:color w:val="auto"/>
              </w:rPr>
            </w:pPr>
            <w:r>
              <w:rPr>
                <w:rFonts w:ascii="Arial" w:cs="Arial" w:eastAsia="Arial" w:hAnsi="Arial"/>
                <w:sz w:val="16"/>
                <w:szCs w:val="16"/>
                <w:color w:val="auto"/>
              </w:rPr>
              <w:t>Total agency MBS remeasured at fair value through earnings</w:t>
            </w:r>
          </w:p>
        </w:tc>
        <w:tc>
          <w:tcPr>
            <w:tcW w:w="1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526</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49</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575</w:t>
            </w:r>
          </w:p>
        </w:tc>
      </w:tr>
      <w:tr>
        <w:trPr>
          <w:trHeight w:val="33"/>
        </w:trPr>
        <w:tc>
          <w:tcPr>
            <w:tcW w:w="60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agency MBS, at fair value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70,357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19,005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278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89,640</w:t>
            </w:r>
          </w:p>
        </w:tc>
      </w:tr>
      <w:tr>
        <w:trPr>
          <w:trHeight w:val="20"/>
        </w:trPr>
        <w:tc>
          <w:tcPr>
            <w:tcW w:w="60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244"/>
        </w:trPr>
        <w:tc>
          <w:tcPr>
            <w:tcW w:w="6060" w:type="dxa"/>
            <w:vAlign w:val="bottom"/>
          </w:tcPr>
          <w:p>
            <w:pPr>
              <w:ind w:left="40"/>
              <w:spacing w:after="0"/>
              <w:rPr>
                <w:sz w:val="20"/>
                <w:szCs w:val="20"/>
                <w:color w:val="auto"/>
              </w:rPr>
            </w:pPr>
            <w:r>
              <w:rPr>
                <w:rFonts w:ascii="Arial" w:cs="Arial" w:eastAsia="Arial" w:hAnsi="Arial"/>
                <w:sz w:val="16"/>
                <w:szCs w:val="16"/>
                <w:color w:val="auto"/>
              </w:rPr>
              <w:t xml:space="preserve">Weighted average coupon as of September 30, 2012 </w:t>
            </w:r>
            <w:r>
              <w:rPr>
                <w:rFonts w:ascii="Arial" w:cs="Arial" w:eastAsia="Arial" w:hAnsi="Arial"/>
                <w:sz w:val="21"/>
                <w:szCs w:val="21"/>
                <w:color w:val="auto"/>
                <w:vertAlign w:val="superscript"/>
              </w:rPr>
              <w:t>(2)</w:t>
            </w:r>
          </w:p>
        </w:tc>
        <w:tc>
          <w:tcPr>
            <w:tcW w:w="1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3.74%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3.88%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3.78%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3.77%</w:t>
            </w:r>
          </w:p>
        </w:tc>
      </w:tr>
      <w:tr>
        <w:trPr>
          <w:trHeight w:val="270"/>
        </w:trPr>
        <w:tc>
          <w:tcPr>
            <w:tcW w:w="6060" w:type="dxa"/>
            <w:vAlign w:val="bottom"/>
            <w:shd w:val="clear" w:color="auto" w:fill="CCEEFF"/>
          </w:tcPr>
          <w:p>
            <w:pPr>
              <w:ind w:left="40"/>
              <w:spacing w:after="0"/>
              <w:rPr>
                <w:sz w:val="20"/>
                <w:szCs w:val="20"/>
                <w:color w:val="auto"/>
              </w:rPr>
            </w:pPr>
            <w:r>
              <w:rPr>
                <w:rFonts w:ascii="Arial" w:cs="Arial" w:eastAsia="Arial" w:hAnsi="Arial"/>
                <w:sz w:val="16"/>
                <w:szCs w:val="16"/>
                <w:color w:val="auto"/>
              </w:rPr>
              <w:t xml:space="preserve">Weighted average yield as of September 30, 2012 </w:t>
            </w:r>
            <w:r>
              <w:rPr>
                <w:rFonts w:ascii="Arial" w:cs="Arial" w:eastAsia="Arial" w:hAnsi="Arial"/>
                <w:sz w:val="21"/>
                <w:szCs w:val="21"/>
                <w:color w:val="auto"/>
                <w:vertAlign w:val="superscript"/>
              </w:rPr>
              <w:t>(3)</w:t>
            </w:r>
          </w:p>
        </w:tc>
        <w:tc>
          <w:tcPr>
            <w:tcW w:w="1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2.56%</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2.82%</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1.60%</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2.61%</w:t>
            </w:r>
          </w:p>
        </w:tc>
      </w:tr>
      <w:tr>
        <w:trPr>
          <w:trHeight w:val="270"/>
        </w:trPr>
        <w:tc>
          <w:tcPr>
            <w:tcW w:w="6060" w:type="dxa"/>
            <w:vAlign w:val="bottom"/>
          </w:tcPr>
          <w:p>
            <w:pPr>
              <w:ind w:left="40"/>
              <w:spacing w:after="0"/>
              <w:rPr>
                <w:sz w:val="20"/>
                <w:szCs w:val="20"/>
                <w:color w:val="auto"/>
              </w:rPr>
            </w:pPr>
            <w:r>
              <w:rPr>
                <w:rFonts w:ascii="Arial" w:cs="Arial" w:eastAsia="Arial" w:hAnsi="Arial"/>
                <w:sz w:val="16"/>
                <w:szCs w:val="16"/>
                <w:color w:val="auto"/>
              </w:rPr>
              <w:t xml:space="preserve">Weighted average yield for the three months ended September 30, 2012 </w:t>
            </w:r>
            <w:r>
              <w:rPr>
                <w:rFonts w:ascii="Arial" w:cs="Arial" w:eastAsia="Arial" w:hAnsi="Arial"/>
                <w:sz w:val="21"/>
                <w:szCs w:val="21"/>
                <w:color w:val="auto"/>
                <w:vertAlign w:val="superscript"/>
              </w:rPr>
              <w:t>(3)</w:t>
            </w:r>
          </w:p>
        </w:tc>
        <w:tc>
          <w:tcPr>
            <w:tcW w:w="1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2.53%</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2.62%</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1.54%</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2.55%</w:t>
            </w:r>
          </w:p>
        </w:tc>
      </w:tr>
      <w:tr>
        <w:trPr>
          <w:trHeight w:val="270"/>
        </w:trPr>
        <w:tc>
          <w:tcPr>
            <w:tcW w:w="6060" w:type="dxa"/>
            <w:vAlign w:val="bottom"/>
            <w:shd w:val="clear" w:color="auto" w:fill="CCEEFF"/>
          </w:tcPr>
          <w:p>
            <w:pPr>
              <w:ind w:left="40"/>
              <w:spacing w:after="0"/>
              <w:rPr>
                <w:sz w:val="20"/>
                <w:szCs w:val="20"/>
                <w:color w:val="auto"/>
              </w:rPr>
            </w:pPr>
            <w:r>
              <w:rPr>
                <w:rFonts w:ascii="Arial" w:cs="Arial" w:eastAsia="Arial" w:hAnsi="Arial"/>
                <w:sz w:val="16"/>
                <w:szCs w:val="16"/>
                <w:color w:val="auto"/>
              </w:rPr>
              <w:t xml:space="preserve">Weighted average yield for the nine months ended September 30, 2012 </w:t>
            </w:r>
            <w:r>
              <w:rPr>
                <w:rFonts w:ascii="Arial" w:cs="Arial" w:eastAsia="Arial" w:hAnsi="Arial"/>
                <w:sz w:val="21"/>
                <w:szCs w:val="21"/>
                <w:color w:val="auto"/>
                <w:vertAlign w:val="superscript"/>
              </w:rPr>
              <w:t>(3)</w:t>
            </w:r>
          </w:p>
        </w:tc>
        <w:tc>
          <w:tcPr>
            <w:tcW w:w="1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2.82%</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2.85%</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1.64%</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2.82%</w:t>
            </w:r>
          </w:p>
        </w:tc>
      </w:tr>
      <w:tr>
        <w:trPr>
          <w:trHeight w:val="209"/>
        </w:trPr>
        <w:tc>
          <w:tcPr>
            <w:tcW w:w="6060" w:type="dxa"/>
            <w:vAlign w:val="bottom"/>
          </w:tcPr>
          <w:p>
            <w:pPr>
              <w:ind w:left="60"/>
              <w:spacing w:after="0"/>
              <w:rPr>
                <w:sz w:val="20"/>
                <w:szCs w:val="20"/>
                <w:color w:val="auto"/>
              </w:rPr>
            </w:pPr>
            <w:r>
              <w:rPr>
                <w:rFonts w:ascii="Arial" w:cs="Arial" w:eastAsia="Arial" w:hAnsi="Arial"/>
                <w:sz w:val="18"/>
                <w:szCs w:val="18"/>
                <w:color w:val="auto"/>
              </w:rPr>
              <w:t>________________________</w:t>
            </w: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r>
    </w:tbl>
    <w:p>
      <w:pPr>
        <w:jc w:val="both"/>
        <w:ind w:left="660" w:hanging="328"/>
        <w:spacing w:after="0" w:line="241" w:lineRule="auto"/>
        <w:tabs>
          <w:tab w:leader="none" w:pos="66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Interest-only agency MBS strips represent the right to receive a specified portion of the contractual interest flows of the underlying unamortized principal balance (“UPB” or “par value”) of specific agency CMO securities. Principal-only agency MBS strips represent the right to receive contractual principal flows of the UPB of specific agency CMO securities. The UPB of our interest-only agency MBS strips was $1.8 billion and the weighted average contractual interest we are entitled to receive was 5.70% of this amount as of September 30, 2012. The par value of our principal-only agency MBS strips was $309 million as of September 30, 2012.</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3"/>
        </w:numPr>
        <w:rPr>
          <w:rFonts w:ascii="Arial" w:cs="Arial" w:eastAsia="Arial" w:hAnsi="Arial"/>
          <w:sz w:val="14"/>
          <w:szCs w:val="14"/>
          <w:color w:val="auto"/>
        </w:rPr>
      </w:pPr>
      <w:r>
        <w:rPr>
          <w:rFonts w:ascii="Arial" w:cs="Arial" w:eastAsia="Arial" w:hAnsi="Arial"/>
          <w:sz w:val="14"/>
          <w:szCs w:val="14"/>
          <w:color w:val="auto"/>
        </w:rPr>
        <w:t>The weighted average coupon includes the interest cash flows from our interest-only agency MBS strips taken together with the interest cash flows from our fixed-rate, adjustable-rate and CMO agency MBS as a percentage of the par value of our agency MBS (excluding the UPB of our interest-only securities) as of September 30, 2012.</w:t>
      </w:r>
    </w:p>
    <w:p>
      <w:pPr>
        <w:jc w:val="both"/>
        <w:ind w:left="660" w:hanging="328"/>
        <w:spacing w:after="0" w:line="248" w:lineRule="auto"/>
        <w:tabs>
          <w:tab w:leader="none" w:pos="66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14% based on forward rates as of September 30, 2012 and a weighted average reset rate for adjustable rate securities of 2.67%, which is equal to a weighted average underlying index rate of 0.96% based on the current spot rate in effect as of the date we acquired the securities and a weighted average margin of 1.71%.</w:t>
      </w:r>
    </w:p>
    <w:p>
      <w:pPr>
        <w:spacing w:after="0" w:line="295" w:lineRule="exact"/>
        <w:rPr>
          <w:sz w:val="20"/>
          <w:szCs w:val="20"/>
          <w:color w:val="auto"/>
        </w:rPr>
      </w:pPr>
    </w:p>
    <w:tbl>
      <w:tblPr>
        <w:tblLayout w:type="fixed"/>
        <w:tblInd w:w="400" w:type="dxa"/>
        <w:tblCellMar>
          <w:top w:w="0" w:type="dxa"/>
          <w:left w:w="0" w:type="dxa"/>
          <w:bottom w:w="0" w:type="dxa"/>
          <w:right w:w="0" w:type="dxa"/>
        </w:tblCellMar>
      </w:tblPr>
      <w:tr>
        <w:trPr>
          <w:trHeight w:val="192"/>
        </w:trPr>
        <w:tc>
          <w:tcPr>
            <w:tcW w:w="3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080" w:type="dxa"/>
            <w:vAlign w:val="bottom"/>
            <w:tcBorders>
              <w:bottom w:val="single" w:sz="8" w:color="auto"/>
            </w:tcBorders>
            <w:gridSpan w:val="5"/>
          </w:tcPr>
          <w:p>
            <w:pPr>
              <w:ind w:left="740"/>
              <w:spacing w:after="0"/>
              <w:rPr>
                <w:sz w:val="20"/>
                <w:szCs w:val="20"/>
                <w:color w:val="auto"/>
              </w:rPr>
            </w:pPr>
            <w:r>
              <w:rPr>
                <w:rFonts w:ascii="Arial" w:cs="Arial" w:eastAsia="Arial" w:hAnsi="Arial"/>
                <w:sz w:val="14"/>
                <w:szCs w:val="14"/>
                <w:b w:val="1"/>
                <w:bCs w:val="1"/>
                <w:color w:val="auto"/>
              </w:rPr>
              <w:t>September 30, 2012</w:t>
            </w:r>
          </w:p>
        </w:tc>
        <w:tc>
          <w:tcPr>
            <w:tcW w:w="3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44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6"/>
              </w:rPr>
              <w:t>Amortized</w:t>
            </w:r>
          </w:p>
        </w:tc>
        <w:tc>
          <w:tcPr>
            <w:tcW w:w="280" w:type="dxa"/>
            <w:vAlign w:val="bottom"/>
          </w:tcPr>
          <w:p>
            <w:pPr>
              <w:spacing w:after="0"/>
              <w:rPr>
                <w:sz w:val="13"/>
                <w:szCs w:val="13"/>
                <w:color w:val="auto"/>
              </w:rPr>
            </w:pPr>
          </w:p>
        </w:tc>
        <w:tc>
          <w:tcPr>
            <w:tcW w:w="1400" w:type="dxa"/>
            <w:vAlign w:val="bottom"/>
            <w:gridSpan w:val="2"/>
          </w:tcPr>
          <w:p>
            <w:pPr>
              <w:jc w:val="center"/>
              <w:ind w:right="400"/>
              <w:spacing w:after="0" w:line="153" w:lineRule="exact"/>
              <w:rPr>
                <w:sz w:val="20"/>
                <w:szCs w:val="20"/>
                <w:color w:val="auto"/>
              </w:rPr>
            </w:pPr>
            <w:r>
              <w:rPr>
                <w:rFonts w:ascii="Arial" w:cs="Arial" w:eastAsia="Arial" w:hAnsi="Arial"/>
                <w:sz w:val="14"/>
                <w:szCs w:val="14"/>
                <w:b w:val="1"/>
                <w:bCs w:val="1"/>
                <w:color w:val="auto"/>
                <w:w w:val="88"/>
              </w:rPr>
              <w:t>Gross</w:t>
            </w:r>
          </w:p>
        </w:tc>
        <w:tc>
          <w:tcPr>
            <w:tcW w:w="280" w:type="dxa"/>
            <w:vAlign w:val="bottom"/>
          </w:tcPr>
          <w:p>
            <w:pPr>
              <w:spacing w:after="0"/>
              <w:rPr>
                <w:sz w:val="13"/>
                <w:szCs w:val="13"/>
                <w:color w:val="auto"/>
              </w:rPr>
            </w:pPr>
          </w:p>
        </w:tc>
        <w:tc>
          <w:tcPr>
            <w:tcW w:w="140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83"/>
              </w:rPr>
              <w:t>Gross</w:t>
            </w:r>
          </w:p>
        </w:tc>
        <w:tc>
          <w:tcPr>
            <w:tcW w:w="3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Agency MBS</w:t>
            </w:r>
          </w:p>
        </w:tc>
        <w:tc>
          <w:tcPr>
            <w:tcW w:w="300" w:type="dxa"/>
            <w:vAlign w:val="bottom"/>
          </w:tcPr>
          <w:p>
            <w:pPr>
              <w:spacing w:after="0"/>
              <w:rPr>
                <w:sz w:val="12"/>
                <w:szCs w:val="12"/>
                <w:color w:val="auto"/>
              </w:rPr>
            </w:pPr>
          </w:p>
        </w:tc>
        <w:tc>
          <w:tcPr>
            <w:tcW w:w="1440" w:type="dxa"/>
            <w:vAlign w:val="bottom"/>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140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80" w:type="dxa"/>
            <w:vAlign w:val="bottom"/>
          </w:tcPr>
          <w:p>
            <w:pPr>
              <w:spacing w:after="0"/>
              <w:rPr>
                <w:sz w:val="12"/>
                <w:szCs w:val="12"/>
                <w:color w:val="auto"/>
              </w:rPr>
            </w:pPr>
          </w:p>
        </w:tc>
        <w:tc>
          <w:tcPr>
            <w:tcW w:w="14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3"/>
              </w:rPr>
              <w:t>Unrealized</w:t>
            </w:r>
          </w:p>
        </w:tc>
        <w:tc>
          <w:tcPr>
            <w:tcW w:w="300" w:type="dxa"/>
            <w:vAlign w:val="bottom"/>
          </w:tcPr>
          <w:p>
            <w:pPr>
              <w:spacing w:after="0"/>
              <w:rPr>
                <w:sz w:val="12"/>
                <w:szCs w:val="12"/>
                <w:color w:val="auto"/>
              </w:rPr>
            </w:pPr>
          </w:p>
        </w:tc>
        <w:tc>
          <w:tcPr>
            <w:tcW w:w="1280" w:type="dxa"/>
            <w:vAlign w:val="bottom"/>
            <w:vMerge w:val="restart"/>
          </w:tcPr>
          <w:p>
            <w:pPr>
              <w:jc w:val="right"/>
              <w:ind w:right="380"/>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3940" w:type="dxa"/>
            <w:vAlign w:val="bottom"/>
            <w:vMerge w:val="continue"/>
          </w:tcPr>
          <w:p>
            <w:pPr>
              <w:spacing w:after="0"/>
              <w:rPr>
                <w:sz w:val="16"/>
                <w:szCs w:val="16"/>
                <w:color w:val="auto"/>
              </w:rPr>
            </w:pPr>
          </w:p>
        </w:tc>
        <w:tc>
          <w:tcPr>
            <w:tcW w:w="300" w:type="dxa"/>
            <w:vAlign w:val="bottom"/>
          </w:tcPr>
          <w:p>
            <w:pPr>
              <w:spacing w:after="0"/>
              <w:rPr>
                <w:sz w:val="16"/>
                <w:szCs w:val="16"/>
                <w:color w:val="auto"/>
              </w:rPr>
            </w:pPr>
          </w:p>
        </w:tc>
        <w:tc>
          <w:tcPr>
            <w:tcW w:w="14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Cost</w:t>
            </w:r>
          </w:p>
        </w:tc>
        <w:tc>
          <w:tcPr>
            <w:tcW w:w="280" w:type="dxa"/>
            <w:vAlign w:val="bottom"/>
          </w:tcPr>
          <w:p>
            <w:pPr>
              <w:spacing w:after="0"/>
              <w:rPr>
                <w:sz w:val="16"/>
                <w:szCs w:val="16"/>
                <w:color w:val="auto"/>
              </w:rPr>
            </w:pPr>
          </w:p>
        </w:tc>
        <w:tc>
          <w:tcPr>
            <w:tcW w:w="14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6"/>
              </w:rPr>
              <w:t>Gain</w:t>
            </w:r>
          </w:p>
        </w:tc>
        <w:tc>
          <w:tcPr>
            <w:tcW w:w="280" w:type="dxa"/>
            <w:vAlign w:val="bottom"/>
          </w:tcPr>
          <w:p>
            <w:pPr>
              <w:spacing w:after="0"/>
              <w:rPr>
                <w:sz w:val="16"/>
                <w:szCs w:val="16"/>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5"/>
              </w:rPr>
              <w:t>Loss</w:t>
            </w:r>
          </w:p>
        </w:tc>
        <w:tc>
          <w:tcPr>
            <w:tcW w:w="300" w:type="dxa"/>
            <w:vAlign w:val="bottom"/>
          </w:tcPr>
          <w:p>
            <w:pPr>
              <w:spacing w:after="0"/>
              <w:rPr>
                <w:sz w:val="16"/>
                <w:szCs w:val="16"/>
                <w:color w:val="auto"/>
              </w:rPr>
            </w:pPr>
          </w:p>
        </w:tc>
        <w:tc>
          <w:tcPr>
            <w:tcW w:w="12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394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Fixed-Rate</w:t>
            </w:r>
          </w:p>
        </w:tc>
        <w:tc>
          <w:tcPr>
            <w:tcW w:w="300" w:type="dxa"/>
            <w:vAlign w:val="bottom"/>
            <w:tcBorders>
              <w:top w:val="single" w:sz="8" w:color="auto"/>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20" w:type="dxa"/>
            <w:vAlign w:val="bottom"/>
            <w:tcBorders>
              <w:top w:val="single" w:sz="8" w:color="auto"/>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85,136</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300" w:type="dxa"/>
            <w:vAlign w:val="bottom"/>
            <w:tcBorders>
              <w:top w:val="single" w:sz="8" w:color="auto"/>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2,747</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3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87,882</w:t>
            </w:r>
          </w:p>
        </w:tc>
        <w:tc>
          <w:tcPr>
            <w:tcW w:w="0" w:type="dxa"/>
            <w:vAlign w:val="bottom"/>
          </w:tcPr>
          <w:p>
            <w:pPr>
              <w:spacing w:after="0"/>
              <w:rPr>
                <w:sz w:val="1"/>
                <w:szCs w:val="1"/>
                <w:color w:val="auto"/>
              </w:rPr>
            </w:pPr>
          </w:p>
        </w:tc>
      </w:tr>
      <w:tr>
        <w:trPr>
          <w:trHeight w:val="237"/>
        </w:trPr>
        <w:tc>
          <w:tcPr>
            <w:tcW w:w="3940" w:type="dxa"/>
            <w:vAlign w:val="bottom"/>
          </w:tcPr>
          <w:p>
            <w:pPr>
              <w:ind w:left="20"/>
              <w:spacing w:after="0"/>
              <w:rPr>
                <w:sz w:val="20"/>
                <w:szCs w:val="20"/>
                <w:color w:val="auto"/>
              </w:rPr>
            </w:pPr>
            <w:r>
              <w:rPr>
                <w:rFonts w:ascii="Arial" w:cs="Arial" w:eastAsia="Arial" w:hAnsi="Arial"/>
                <w:sz w:val="16"/>
                <w:szCs w:val="16"/>
                <w:color w:val="auto"/>
              </w:rPr>
              <w:t>Adjustable-Rate</w:t>
            </w:r>
          </w:p>
        </w:tc>
        <w:tc>
          <w:tcPr>
            <w:tcW w:w="300" w:type="dxa"/>
            <w:vAlign w:val="bottom"/>
          </w:tcPr>
          <w:p>
            <w:pPr>
              <w:spacing w:after="0"/>
              <w:rPr>
                <w:sz w:val="20"/>
                <w:szCs w:val="20"/>
                <w:color w:val="auto"/>
              </w:rPr>
            </w:pPr>
          </w:p>
        </w:tc>
        <w:tc>
          <w:tcPr>
            <w:tcW w:w="1320" w:type="dxa"/>
            <w:vAlign w:val="bottom"/>
          </w:tcPr>
          <w:p>
            <w:pPr>
              <w:jc w:val="right"/>
              <w:ind w:right="22"/>
              <w:spacing w:after="0"/>
              <w:rPr>
                <w:sz w:val="20"/>
                <w:szCs w:val="20"/>
                <w:color w:val="auto"/>
              </w:rPr>
            </w:pPr>
            <w:r>
              <w:rPr>
                <w:rFonts w:ascii="Arial" w:cs="Arial" w:eastAsia="Arial" w:hAnsi="Arial"/>
                <w:sz w:val="16"/>
                <w:szCs w:val="16"/>
                <w:color w:val="auto"/>
              </w:rPr>
              <w:t>960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00" w:type="dxa"/>
            <w:vAlign w:val="bottom"/>
          </w:tcPr>
          <w:p>
            <w:pPr>
              <w:jc w:val="right"/>
              <w:ind w:right="23"/>
              <w:spacing w:after="0"/>
              <w:rPr>
                <w:sz w:val="20"/>
                <w:szCs w:val="20"/>
                <w:color w:val="auto"/>
              </w:rPr>
            </w:pPr>
            <w:r>
              <w:rPr>
                <w:rFonts w:ascii="Arial" w:cs="Arial" w:eastAsia="Arial" w:hAnsi="Arial"/>
                <w:sz w:val="16"/>
                <w:szCs w:val="16"/>
                <w:color w:val="auto"/>
              </w:rPr>
              <w:t>32</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992</w:t>
            </w:r>
          </w:p>
        </w:tc>
        <w:tc>
          <w:tcPr>
            <w:tcW w:w="0" w:type="dxa"/>
            <w:vAlign w:val="bottom"/>
          </w:tcPr>
          <w:p>
            <w:pPr>
              <w:spacing w:after="0"/>
              <w:rPr>
                <w:sz w:val="1"/>
                <w:szCs w:val="1"/>
                <w:color w:val="auto"/>
              </w:rPr>
            </w:pPr>
          </w:p>
        </w:tc>
      </w:tr>
      <w:tr>
        <w:trPr>
          <w:trHeight w:val="33"/>
        </w:trPr>
        <w:tc>
          <w:tcPr>
            <w:tcW w:w="39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CMO</w:t>
            </w:r>
          </w:p>
        </w:tc>
        <w:tc>
          <w:tcPr>
            <w:tcW w:w="3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186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191</w:t>
            </w:r>
          </w:p>
        </w:tc>
        <w:tc>
          <w:tcPr>
            <w:tcW w:w="0" w:type="dxa"/>
            <w:vAlign w:val="bottom"/>
          </w:tcPr>
          <w:p>
            <w:pPr>
              <w:spacing w:after="0"/>
              <w:rPr>
                <w:sz w:val="1"/>
                <w:szCs w:val="1"/>
                <w:color w:val="auto"/>
              </w:rPr>
            </w:pPr>
          </w:p>
        </w:tc>
      </w:tr>
      <w:tr>
        <w:trPr>
          <w:trHeight w:val="237"/>
        </w:trPr>
        <w:tc>
          <w:tcPr>
            <w:tcW w:w="3940" w:type="dxa"/>
            <w:vAlign w:val="bottom"/>
          </w:tcPr>
          <w:p>
            <w:pPr>
              <w:ind w:left="20"/>
              <w:spacing w:after="0"/>
              <w:rPr>
                <w:sz w:val="20"/>
                <w:szCs w:val="20"/>
                <w:color w:val="auto"/>
              </w:rPr>
            </w:pPr>
            <w:r>
              <w:rPr>
                <w:rFonts w:ascii="Arial" w:cs="Arial" w:eastAsia="Arial" w:hAnsi="Arial"/>
                <w:sz w:val="16"/>
                <w:szCs w:val="16"/>
                <w:color w:val="auto"/>
              </w:rPr>
              <w:t>Interest-only and principal-only strips</w:t>
            </w:r>
          </w:p>
        </w:tc>
        <w:tc>
          <w:tcPr>
            <w:tcW w:w="300" w:type="dxa"/>
            <w:vAlign w:val="bottom"/>
          </w:tcPr>
          <w:p>
            <w:pPr>
              <w:spacing w:after="0"/>
              <w:rPr>
                <w:sz w:val="20"/>
                <w:szCs w:val="20"/>
                <w:color w:val="auto"/>
              </w:rPr>
            </w:pPr>
          </w:p>
        </w:tc>
        <w:tc>
          <w:tcPr>
            <w:tcW w:w="1320" w:type="dxa"/>
            <w:vAlign w:val="bottom"/>
          </w:tcPr>
          <w:p>
            <w:pPr>
              <w:jc w:val="right"/>
              <w:ind w:right="22"/>
              <w:spacing w:after="0"/>
              <w:rPr>
                <w:sz w:val="20"/>
                <w:szCs w:val="20"/>
                <w:color w:val="auto"/>
              </w:rPr>
            </w:pPr>
            <w:r>
              <w:rPr>
                <w:rFonts w:ascii="Arial" w:cs="Arial" w:eastAsia="Arial" w:hAnsi="Arial"/>
                <w:sz w:val="16"/>
                <w:szCs w:val="16"/>
                <w:color w:val="auto"/>
              </w:rPr>
              <w:t>568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00" w:type="dxa"/>
            <w:vAlign w:val="bottom"/>
          </w:tcPr>
          <w:p>
            <w:pPr>
              <w:jc w:val="right"/>
              <w:ind w:right="23"/>
              <w:spacing w:after="0"/>
              <w:rPr>
                <w:sz w:val="20"/>
                <w:szCs w:val="20"/>
                <w:color w:val="auto"/>
              </w:rPr>
            </w:pPr>
            <w:r>
              <w:rPr>
                <w:rFonts w:ascii="Arial" w:cs="Arial" w:eastAsia="Arial" w:hAnsi="Arial"/>
                <w:sz w:val="16"/>
                <w:szCs w:val="16"/>
                <w:color w:val="auto"/>
              </w:rPr>
              <w:t>31</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(24)</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575</w:t>
            </w:r>
          </w:p>
        </w:tc>
        <w:tc>
          <w:tcPr>
            <w:tcW w:w="0" w:type="dxa"/>
            <w:vAlign w:val="bottom"/>
          </w:tcPr>
          <w:p>
            <w:pPr>
              <w:spacing w:after="0"/>
              <w:rPr>
                <w:sz w:val="1"/>
                <w:szCs w:val="1"/>
                <w:color w:val="auto"/>
              </w:rPr>
            </w:pPr>
          </w:p>
        </w:tc>
      </w:tr>
      <w:tr>
        <w:trPr>
          <w:trHeight w:val="33"/>
        </w:trPr>
        <w:tc>
          <w:tcPr>
            <w:tcW w:w="39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agency MBS</w:t>
            </w: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rPr>
              <w:t>86,850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6"/>
                <w:szCs w:val="16"/>
                <w:color w:val="auto"/>
              </w:rPr>
              <w:t>2,815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89,640</w:t>
            </w:r>
          </w:p>
        </w:tc>
        <w:tc>
          <w:tcPr>
            <w:tcW w:w="0" w:type="dxa"/>
            <w:vAlign w:val="bottom"/>
          </w:tcPr>
          <w:p>
            <w:pPr>
              <w:spacing w:after="0"/>
              <w:rPr>
                <w:sz w:val="1"/>
                <w:szCs w:val="1"/>
                <w:color w:val="auto"/>
              </w:rPr>
            </w:pPr>
          </w:p>
        </w:tc>
      </w:tr>
      <w:tr>
        <w:trPr>
          <w:trHeight w:val="20"/>
        </w:trPr>
        <w:tc>
          <w:tcPr>
            <w:tcW w:w="39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December 31, 2011, we had agency MBS at fair value of $54.7 billion, with a total cost basis of $53.7 billion. The net unamortized premium balance on our investment portfolio as of December 31, 2011 was $2.4 billion, including interest-only and principal-only strips. The following tables summarize our investments in agency MBS as of December 31, 2011 (dollars in millions):</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828" w:right="23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5"/>
          </w:tcPr>
          <w:p>
            <w:pPr>
              <w:ind w:left="620"/>
              <w:spacing w:after="0"/>
              <w:rPr>
                <w:sz w:val="20"/>
                <w:szCs w:val="20"/>
                <w:color w:val="auto"/>
              </w:rPr>
            </w:pPr>
            <w:r>
              <w:rPr>
                <w:rFonts w:ascii="Arial" w:cs="Arial" w:eastAsia="Arial" w:hAnsi="Arial"/>
                <w:sz w:val="14"/>
                <w:szCs w:val="14"/>
                <w:b w:val="1"/>
                <w:bCs w:val="1"/>
                <w:color w:val="auto"/>
              </w:rPr>
              <w:t>December 31, 2011</w:t>
            </w:r>
          </w:p>
        </w:tc>
        <w:tc>
          <w:tcPr>
            <w:tcW w:w="3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Agency MBS</w:t>
            </w:r>
          </w:p>
        </w:tc>
        <w:tc>
          <w:tcPr>
            <w:tcW w:w="220" w:type="dxa"/>
            <w:vAlign w:val="bottom"/>
          </w:tcPr>
          <w:p>
            <w:pPr>
              <w:spacing w:after="0"/>
              <w:rPr>
                <w:sz w:val="22"/>
                <w:szCs w:val="22"/>
                <w:color w:val="auto"/>
              </w:rPr>
            </w:pPr>
          </w:p>
        </w:tc>
        <w:tc>
          <w:tcPr>
            <w:tcW w:w="1280" w:type="dxa"/>
            <w:vAlign w:val="bottom"/>
            <w:gridSpan w:val="2"/>
          </w:tcPr>
          <w:p>
            <w:pPr>
              <w:ind w:left="100"/>
              <w:spacing w:after="0"/>
              <w:rPr>
                <w:sz w:val="20"/>
                <w:szCs w:val="20"/>
                <w:color w:val="auto"/>
              </w:rPr>
            </w:pPr>
            <w:r>
              <w:rPr>
                <w:rFonts w:ascii="Arial" w:cs="Arial" w:eastAsia="Arial" w:hAnsi="Arial"/>
                <w:sz w:val="14"/>
                <w:szCs w:val="14"/>
                <w:b w:val="1"/>
                <w:bCs w:val="1"/>
                <w:color w:val="auto"/>
              </w:rPr>
              <w:t>Fannie Mae</w:t>
            </w:r>
          </w:p>
        </w:tc>
        <w:tc>
          <w:tcPr>
            <w:tcW w:w="220" w:type="dxa"/>
            <w:vAlign w:val="bottom"/>
          </w:tcPr>
          <w:p>
            <w:pPr>
              <w:spacing w:after="0"/>
              <w:rPr>
                <w:sz w:val="22"/>
                <w:szCs w:val="22"/>
                <w:color w:val="auto"/>
              </w:rPr>
            </w:pPr>
          </w:p>
        </w:tc>
        <w:tc>
          <w:tcPr>
            <w:tcW w:w="1280" w:type="dxa"/>
            <w:vAlign w:val="bottom"/>
            <w:gridSpan w:val="2"/>
          </w:tcPr>
          <w:p>
            <w:pPr>
              <w:ind w:left="80"/>
              <w:spacing w:after="0"/>
              <w:rPr>
                <w:sz w:val="20"/>
                <w:szCs w:val="20"/>
                <w:color w:val="auto"/>
              </w:rPr>
            </w:pPr>
            <w:r>
              <w:rPr>
                <w:rFonts w:ascii="Arial" w:cs="Arial" w:eastAsia="Arial" w:hAnsi="Arial"/>
                <w:sz w:val="14"/>
                <w:szCs w:val="14"/>
                <w:b w:val="1"/>
                <w:bCs w:val="1"/>
                <w:color w:val="auto"/>
              </w:rPr>
              <w:t>Freddie Mac</w:t>
            </w:r>
          </w:p>
        </w:tc>
        <w:tc>
          <w:tcPr>
            <w:tcW w:w="200" w:type="dxa"/>
            <w:vAlign w:val="bottom"/>
          </w:tcPr>
          <w:p>
            <w:pPr>
              <w:spacing w:after="0"/>
              <w:rPr>
                <w:sz w:val="22"/>
                <w:szCs w:val="22"/>
                <w:color w:val="auto"/>
              </w:rPr>
            </w:pPr>
          </w:p>
        </w:tc>
        <w:tc>
          <w:tcPr>
            <w:tcW w:w="1200" w:type="dxa"/>
            <w:vAlign w:val="bottom"/>
            <w:gridSpan w:val="2"/>
          </w:tcPr>
          <w:p>
            <w:pPr>
              <w:ind w:left="100"/>
              <w:spacing w:after="0"/>
              <w:rPr>
                <w:sz w:val="20"/>
                <w:szCs w:val="20"/>
                <w:color w:val="auto"/>
              </w:rPr>
            </w:pPr>
            <w:r>
              <w:rPr>
                <w:rFonts w:ascii="Arial" w:cs="Arial" w:eastAsia="Arial" w:hAnsi="Arial"/>
                <w:sz w:val="14"/>
                <w:szCs w:val="14"/>
                <w:b w:val="1"/>
                <w:bCs w:val="1"/>
                <w:color w:val="auto"/>
              </w:rPr>
              <w:t>Ginnie Mae</w:t>
            </w:r>
          </w:p>
        </w:tc>
        <w:tc>
          <w:tcPr>
            <w:tcW w:w="340" w:type="dxa"/>
            <w:vAlign w:val="bottom"/>
          </w:tcPr>
          <w:p>
            <w:pPr>
              <w:spacing w:after="0"/>
              <w:rPr>
                <w:sz w:val="22"/>
                <w:szCs w:val="22"/>
                <w:color w:val="auto"/>
              </w:rPr>
            </w:pPr>
          </w:p>
        </w:tc>
        <w:tc>
          <w:tcPr>
            <w:tcW w:w="1060" w:type="dxa"/>
            <w:vAlign w:val="bottom"/>
          </w:tcPr>
          <w:p>
            <w:pPr>
              <w:jc w:val="right"/>
              <w:ind w:right="460"/>
              <w:spacing w:after="0"/>
              <w:rPr>
                <w:sz w:val="20"/>
                <w:szCs w:val="20"/>
                <w:color w:val="auto"/>
              </w:rPr>
            </w:pPr>
            <w:r>
              <w:rPr>
                <w:rFonts w:ascii="Arial" w:cs="Arial" w:eastAsia="Arial" w:hAnsi="Arial"/>
                <w:sz w:val="14"/>
                <w:szCs w:val="14"/>
                <w:b w:val="1"/>
                <w:bCs w:val="1"/>
                <w:color w:val="auto"/>
              </w:rPr>
              <w:t>Total</w:t>
            </w:r>
          </w:p>
        </w:tc>
      </w:tr>
      <w:tr>
        <w:trPr>
          <w:trHeight w:val="250"/>
        </w:trPr>
        <w:tc>
          <w:tcPr>
            <w:tcW w:w="562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Available-for-sale agency MBS:</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37"/>
        </w:trPr>
        <w:tc>
          <w:tcPr>
            <w:tcW w:w="5620" w:type="dxa"/>
            <w:vAlign w:val="bottom"/>
          </w:tcPr>
          <w:p>
            <w:pPr>
              <w:ind w:left="1200"/>
              <w:spacing w:after="0"/>
              <w:rPr>
                <w:sz w:val="20"/>
                <w:szCs w:val="20"/>
                <w:color w:val="auto"/>
              </w:rPr>
            </w:pPr>
            <w:r>
              <w:rPr>
                <w:rFonts w:ascii="Arial" w:cs="Arial" w:eastAsia="Arial" w:hAnsi="Arial"/>
                <w:sz w:val="16"/>
                <w:szCs w:val="16"/>
                <w:color w:val="auto"/>
              </w:rPr>
              <w:t>Agency MBS, par</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80"/>
              <w:spacing w:after="0"/>
              <w:rPr>
                <w:sz w:val="20"/>
                <w:szCs w:val="20"/>
                <w:color w:val="auto"/>
              </w:rPr>
            </w:pPr>
            <w:r>
              <w:rPr>
                <w:rFonts w:ascii="Arial" w:cs="Arial" w:eastAsia="Arial" w:hAnsi="Arial"/>
                <w:sz w:val="16"/>
                <w:szCs w:val="16"/>
                <w:color w:val="auto"/>
              </w:rPr>
              <w:t>37,232</w:t>
            </w:r>
          </w:p>
        </w:tc>
        <w:tc>
          <w:tcPr>
            <w:tcW w:w="100" w:type="dxa"/>
            <w:vAlign w:val="bottom"/>
          </w:tcPr>
          <w:p>
            <w:pPr>
              <w:spacing w:after="0"/>
              <w:rPr>
                <w:sz w:val="20"/>
                <w:szCs w:val="20"/>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80"/>
              <w:spacing w:after="0"/>
              <w:rPr>
                <w:sz w:val="20"/>
                <w:szCs w:val="20"/>
                <w:color w:val="auto"/>
              </w:rPr>
            </w:pPr>
            <w:r>
              <w:rPr>
                <w:rFonts w:ascii="Arial" w:cs="Arial" w:eastAsia="Arial" w:hAnsi="Arial"/>
                <w:sz w:val="16"/>
                <w:szCs w:val="16"/>
                <w:color w:val="auto"/>
              </w:rPr>
              <w:t>13,736</w:t>
            </w:r>
          </w:p>
        </w:tc>
        <w:tc>
          <w:tcPr>
            <w:tcW w:w="10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80"/>
              <w:spacing w:after="0"/>
              <w:rPr>
                <w:sz w:val="20"/>
                <w:szCs w:val="20"/>
                <w:color w:val="auto"/>
              </w:rPr>
            </w:pPr>
            <w:r>
              <w:rPr>
                <w:rFonts w:ascii="Arial" w:cs="Arial" w:eastAsia="Arial" w:hAnsi="Arial"/>
                <w:sz w:val="16"/>
                <w:szCs w:val="16"/>
                <w:color w:val="auto"/>
              </w:rPr>
              <w:t>258</w:t>
            </w:r>
          </w:p>
        </w:tc>
        <w:tc>
          <w:tcPr>
            <w:tcW w:w="100" w:type="dxa"/>
            <w:vAlign w:val="bottom"/>
          </w:tcPr>
          <w:p>
            <w:pPr>
              <w:spacing w:after="0"/>
              <w:rPr>
                <w:sz w:val="20"/>
                <w:szCs w:val="20"/>
                <w:color w:val="auto"/>
              </w:rPr>
            </w:pPr>
          </w:p>
        </w:tc>
        <w:tc>
          <w:tcPr>
            <w:tcW w:w="3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80"/>
              <w:spacing w:after="0"/>
              <w:rPr>
                <w:sz w:val="20"/>
                <w:szCs w:val="20"/>
                <w:color w:val="auto"/>
              </w:rPr>
            </w:pPr>
            <w:r>
              <w:rPr>
                <w:rFonts w:ascii="Arial" w:cs="Arial" w:eastAsia="Arial" w:hAnsi="Arial"/>
                <w:sz w:val="16"/>
                <w:szCs w:val="16"/>
                <w:color w:val="auto"/>
              </w:rPr>
              <w:t>51,226</w:t>
            </w:r>
          </w:p>
        </w:tc>
      </w:tr>
      <w:tr>
        <w:trPr>
          <w:trHeight w:val="33"/>
        </w:trPr>
        <w:tc>
          <w:tcPr>
            <w:tcW w:w="56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1200"/>
              <w:spacing w:after="0"/>
              <w:rPr>
                <w:sz w:val="20"/>
                <w:szCs w:val="20"/>
                <w:color w:val="auto"/>
              </w:rPr>
            </w:pPr>
            <w:r>
              <w:rPr>
                <w:rFonts w:ascii="Arial" w:cs="Arial" w:eastAsia="Arial" w:hAnsi="Arial"/>
                <w:sz w:val="16"/>
                <w:szCs w:val="16"/>
                <w:color w:val="auto"/>
              </w:rPr>
              <w:t>Unamortized premium</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1,659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606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2,277</w:t>
            </w:r>
          </w:p>
        </w:tc>
      </w:tr>
      <w:tr>
        <w:trPr>
          <w:trHeight w:val="217"/>
        </w:trPr>
        <w:tc>
          <w:tcPr>
            <w:tcW w:w="5620" w:type="dxa"/>
            <w:vAlign w:val="bottom"/>
          </w:tcPr>
          <w:p>
            <w:pPr>
              <w:ind w:left="1040"/>
              <w:spacing w:after="0"/>
              <w:rPr>
                <w:sz w:val="20"/>
                <w:szCs w:val="20"/>
                <w:color w:val="auto"/>
              </w:rPr>
            </w:pPr>
            <w:r>
              <w:rPr>
                <w:rFonts w:ascii="Arial" w:cs="Arial" w:eastAsia="Arial" w:hAnsi="Arial"/>
                <w:sz w:val="16"/>
                <w:szCs w:val="16"/>
                <w:color w:val="auto"/>
              </w:rPr>
              <w:t>Amortized cost</w:t>
            </w:r>
          </w:p>
        </w:tc>
        <w:tc>
          <w:tcPr>
            <w:tcW w:w="2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80"/>
              <w:spacing w:after="0"/>
              <w:rPr>
                <w:sz w:val="20"/>
                <w:szCs w:val="20"/>
                <w:color w:val="auto"/>
              </w:rPr>
            </w:pPr>
            <w:r>
              <w:rPr>
                <w:rFonts w:ascii="Arial" w:cs="Arial" w:eastAsia="Arial" w:hAnsi="Arial"/>
                <w:sz w:val="16"/>
                <w:szCs w:val="16"/>
                <w:color w:val="auto"/>
              </w:rPr>
              <w:t>38,891</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80"/>
              <w:spacing w:after="0"/>
              <w:rPr>
                <w:sz w:val="20"/>
                <w:szCs w:val="20"/>
                <w:color w:val="auto"/>
              </w:rPr>
            </w:pPr>
            <w:r>
              <w:rPr>
                <w:rFonts w:ascii="Arial" w:cs="Arial" w:eastAsia="Arial" w:hAnsi="Arial"/>
                <w:sz w:val="16"/>
                <w:szCs w:val="16"/>
                <w:color w:val="auto"/>
              </w:rPr>
              <w:t>14,342</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80"/>
              <w:spacing w:after="0"/>
              <w:rPr>
                <w:sz w:val="20"/>
                <w:szCs w:val="20"/>
                <w:color w:val="auto"/>
              </w:rPr>
            </w:pPr>
            <w:r>
              <w:rPr>
                <w:rFonts w:ascii="Arial" w:cs="Arial" w:eastAsia="Arial" w:hAnsi="Arial"/>
                <w:sz w:val="16"/>
                <w:szCs w:val="16"/>
                <w:color w:val="auto"/>
              </w:rPr>
              <w:t>270</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ind w:right="80"/>
              <w:spacing w:after="0"/>
              <w:rPr>
                <w:sz w:val="20"/>
                <w:szCs w:val="20"/>
                <w:color w:val="auto"/>
              </w:rPr>
            </w:pPr>
            <w:r>
              <w:rPr>
                <w:rFonts w:ascii="Arial" w:cs="Arial" w:eastAsia="Arial" w:hAnsi="Arial"/>
                <w:sz w:val="16"/>
                <w:szCs w:val="16"/>
                <w:color w:val="auto"/>
              </w:rPr>
              <w:t>53,503</w:t>
            </w:r>
          </w:p>
        </w:tc>
      </w:tr>
      <w:tr>
        <w:trPr>
          <w:trHeight w:val="33"/>
        </w:trPr>
        <w:tc>
          <w:tcPr>
            <w:tcW w:w="56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200"/>
              <w:spacing w:after="0"/>
              <w:rPr>
                <w:sz w:val="20"/>
                <w:szCs w:val="20"/>
                <w:color w:val="auto"/>
              </w:rPr>
            </w:pPr>
            <w:r>
              <w:rPr>
                <w:rFonts w:ascii="Arial" w:cs="Arial" w:eastAsia="Arial" w:hAnsi="Arial"/>
                <w:sz w:val="16"/>
                <w:szCs w:val="16"/>
                <w:color w:val="auto"/>
              </w:rPr>
              <w:t>Gross unrealized gains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680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324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1,007</w:t>
            </w:r>
          </w:p>
        </w:tc>
      </w:tr>
      <w:tr>
        <w:trPr>
          <w:trHeight w:val="237"/>
        </w:trPr>
        <w:tc>
          <w:tcPr>
            <w:tcW w:w="5620" w:type="dxa"/>
            <w:vAlign w:val="bottom"/>
          </w:tcPr>
          <w:p>
            <w:pPr>
              <w:ind w:left="1200"/>
              <w:spacing w:after="0"/>
              <w:rPr>
                <w:sz w:val="20"/>
                <w:szCs w:val="20"/>
                <w:color w:val="auto"/>
              </w:rPr>
            </w:pPr>
            <w:r>
              <w:rPr>
                <w:rFonts w:ascii="Arial" w:cs="Arial" w:eastAsia="Arial" w:hAnsi="Arial"/>
                <w:sz w:val="16"/>
                <w:szCs w:val="16"/>
                <w:color w:val="auto"/>
              </w:rPr>
              <w:t>Gross unrealized losses</w:t>
            </w:r>
          </w:p>
        </w:tc>
        <w:tc>
          <w:tcPr>
            <w:tcW w:w="22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060" w:type="dxa"/>
            <w:vAlign w:val="bottom"/>
          </w:tcPr>
          <w:p>
            <w:pPr>
              <w:jc w:val="right"/>
              <w:ind w:right="20"/>
              <w:spacing w:after="0"/>
              <w:rPr>
                <w:sz w:val="20"/>
                <w:szCs w:val="20"/>
                <w:color w:val="auto"/>
              </w:rPr>
            </w:pPr>
            <w:r>
              <w:rPr>
                <w:rFonts w:ascii="Arial" w:cs="Arial" w:eastAsia="Arial" w:hAnsi="Arial"/>
                <w:sz w:val="16"/>
                <w:szCs w:val="16"/>
                <w:color w:val="auto"/>
              </w:rPr>
              <w:t>(6)</w:t>
            </w:r>
          </w:p>
        </w:tc>
      </w:tr>
      <w:tr>
        <w:trPr>
          <w:trHeight w:val="33"/>
        </w:trPr>
        <w:tc>
          <w:tcPr>
            <w:tcW w:w="56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040"/>
              <w:spacing w:after="0"/>
              <w:rPr>
                <w:sz w:val="20"/>
                <w:szCs w:val="20"/>
                <w:color w:val="auto"/>
              </w:rPr>
            </w:pPr>
            <w:r>
              <w:rPr>
                <w:rFonts w:ascii="Arial" w:cs="Arial" w:eastAsia="Arial" w:hAnsi="Arial"/>
                <w:sz w:val="16"/>
                <w:szCs w:val="16"/>
                <w:color w:val="auto"/>
              </w:rPr>
              <w:t>Available-for-sale agency MBS, at fair value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39,567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14,664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273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54,504</w:t>
            </w:r>
          </w:p>
        </w:tc>
      </w:tr>
      <w:tr>
        <w:trPr>
          <w:trHeight w:val="231"/>
        </w:trPr>
        <w:tc>
          <w:tcPr>
            <w:tcW w:w="5620" w:type="dxa"/>
            <w:vAlign w:val="bottom"/>
          </w:tcPr>
          <w:p>
            <w:pPr>
              <w:ind w:left="40"/>
              <w:spacing w:after="0"/>
              <w:rPr>
                <w:sz w:val="20"/>
                <w:szCs w:val="20"/>
                <w:color w:val="auto"/>
              </w:rPr>
            </w:pPr>
            <w:r>
              <w:rPr>
                <w:rFonts w:ascii="Arial" w:cs="Arial" w:eastAsia="Arial" w:hAnsi="Arial"/>
                <w:sz w:val="16"/>
                <w:szCs w:val="16"/>
                <w:color w:val="auto"/>
              </w:rPr>
              <w:t>Agency MBS remeasured at fair value through earnings: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r>
      <w:tr>
        <w:trPr>
          <w:trHeight w:val="33"/>
        </w:trPr>
        <w:tc>
          <w:tcPr>
            <w:tcW w:w="56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5620" w:type="dxa"/>
            <w:vAlign w:val="bottom"/>
            <w:shd w:val="clear" w:color="auto" w:fill="CCEEFF"/>
          </w:tcPr>
          <w:p>
            <w:pPr>
              <w:ind w:left="720"/>
              <w:spacing w:after="0"/>
              <w:rPr>
                <w:sz w:val="20"/>
                <w:szCs w:val="20"/>
                <w:color w:val="auto"/>
              </w:rPr>
            </w:pPr>
            <w:r>
              <w:rPr>
                <w:rFonts w:ascii="Arial" w:cs="Arial" w:eastAsia="Arial" w:hAnsi="Arial"/>
                <w:sz w:val="16"/>
                <w:szCs w:val="16"/>
                <w:color w:val="auto"/>
              </w:rPr>
              <w:t xml:space="preserve">Interest-only and principal-only strips, amortized cost </w:t>
            </w:r>
            <w:r>
              <w:rPr>
                <w:rFonts w:ascii="Arial" w:cs="Arial" w:eastAsia="Arial" w:hAnsi="Arial"/>
                <w:sz w:val="21"/>
                <w:szCs w:val="21"/>
                <w:color w:val="auto"/>
                <w:vertAlign w:val="superscript"/>
              </w:rPr>
              <w:t>(1)</w:t>
            </w:r>
          </w:p>
        </w:tc>
        <w:tc>
          <w:tcPr>
            <w:tcW w:w="220" w:type="dxa"/>
            <w:vAlign w:val="bottom"/>
            <w:shd w:val="clear" w:color="auto" w:fill="CCEEFF"/>
          </w:tcPr>
          <w:p>
            <w:pPr>
              <w:spacing w:after="0"/>
              <w:rPr>
                <w:sz w:val="23"/>
                <w:szCs w:val="23"/>
                <w:color w:val="auto"/>
              </w:rPr>
            </w:pPr>
          </w:p>
        </w:tc>
        <w:tc>
          <w:tcPr>
            <w:tcW w:w="118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124</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18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67</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34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191</w:t>
            </w:r>
          </w:p>
        </w:tc>
      </w:tr>
      <w:tr>
        <w:trPr>
          <w:trHeight w:val="237"/>
        </w:trPr>
        <w:tc>
          <w:tcPr>
            <w:tcW w:w="5620" w:type="dxa"/>
            <w:vAlign w:val="bottom"/>
          </w:tcPr>
          <w:p>
            <w:pPr>
              <w:ind w:left="1200"/>
              <w:spacing w:after="0"/>
              <w:rPr>
                <w:sz w:val="20"/>
                <w:szCs w:val="20"/>
                <w:color w:val="auto"/>
              </w:rPr>
            </w:pPr>
            <w:r>
              <w:rPr>
                <w:rFonts w:ascii="Arial" w:cs="Arial" w:eastAsia="Arial" w:hAnsi="Arial"/>
                <w:sz w:val="16"/>
                <w:szCs w:val="16"/>
                <w:color w:val="auto"/>
              </w:rPr>
              <w:t>Gross unrealized gains</w:t>
            </w:r>
          </w:p>
        </w:tc>
        <w:tc>
          <w:tcPr>
            <w:tcW w:w="220" w:type="dxa"/>
            <w:vAlign w:val="bottom"/>
          </w:tcPr>
          <w:p>
            <w:pPr>
              <w:spacing w:after="0"/>
              <w:rPr>
                <w:sz w:val="20"/>
                <w:szCs w:val="20"/>
                <w:color w:val="auto"/>
              </w:rPr>
            </w:pPr>
          </w:p>
        </w:tc>
        <w:tc>
          <w:tcPr>
            <w:tcW w:w="1180" w:type="dxa"/>
            <w:vAlign w:val="bottom"/>
          </w:tcPr>
          <w:p>
            <w:pPr>
              <w:jc w:val="right"/>
              <w:ind w:right="80"/>
              <w:spacing w:after="0"/>
              <w:rPr>
                <w:sz w:val="20"/>
                <w:szCs w:val="20"/>
                <w:color w:val="auto"/>
              </w:rPr>
            </w:pPr>
            <w:r>
              <w:rPr>
                <w:rFonts w:ascii="Arial" w:cs="Arial" w:eastAsia="Arial" w:hAnsi="Arial"/>
                <w:sz w:val="16"/>
                <w:szCs w:val="16"/>
                <w:color w:val="auto"/>
              </w:rPr>
              <w:t>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jc w:val="right"/>
              <w:ind w:right="80"/>
              <w:spacing w:after="0"/>
              <w:rPr>
                <w:sz w:val="20"/>
                <w:szCs w:val="20"/>
                <w:color w:val="auto"/>
              </w:rPr>
            </w:pPr>
            <w:r>
              <w:rPr>
                <w:rFonts w:ascii="Arial" w:cs="Arial" w:eastAsia="Arial" w:hAnsi="Arial"/>
                <w:sz w:val="16"/>
                <w:szCs w:val="16"/>
                <w:color w:val="auto"/>
              </w:rPr>
              <w:t>3</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060" w:type="dxa"/>
            <w:vAlign w:val="bottom"/>
          </w:tcPr>
          <w:p>
            <w:pPr>
              <w:jc w:val="right"/>
              <w:ind w:right="80"/>
              <w:spacing w:after="0"/>
              <w:rPr>
                <w:sz w:val="20"/>
                <w:szCs w:val="20"/>
                <w:color w:val="auto"/>
              </w:rPr>
            </w:pPr>
            <w:r>
              <w:rPr>
                <w:rFonts w:ascii="Arial" w:cs="Arial" w:eastAsia="Arial" w:hAnsi="Arial"/>
                <w:sz w:val="16"/>
                <w:szCs w:val="16"/>
                <w:color w:val="auto"/>
              </w:rPr>
              <w:t>9</w:t>
            </w:r>
          </w:p>
        </w:tc>
      </w:tr>
      <w:tr>
        <w:trPr>
          <w:trHeight w:val="33"/>
        </w:trPr>
        <w:tc>
          <w:tcPr>
            <w:tcW w:w="56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1200"/>
              <w:spacing w:after="0"/>
              <w:rPr>
                <w:sz w:val="20"/>
                <w:szCs w:val="20"/>
                <w:color w:val="auto"/>
              </w:rPr>
            </w:pPr>
            <w:r>
              <w:rPr>
                <w:rFonts w:ascii="Arial" w:cs="Arial" w:eastAsia="Arial" w:hAnsi="Arial"/>
                <w:sz w:val="16"/>
                <w:szCs w:val="16"/>
                <w:color w:val="auto"/>
              </w:rPr>
              <w:t>Gross unrealized losses</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(21)</w:t>
            </w:r>
          </w:p>
        </w:tc>
      </w:tr>
      <w:tr>
        <w:trPr>
          <w:trHeight w:val="217"/>
        </w:trPr>
        <w:tc>
          <w:tcPr>
            <w:tcW w:w="5620" w:type="dxa"/>
            <w:vAlign w:val="bottom"/>
          </w:tcPr>
          <w:p>
            <w:pPr>
              <w:ind w:left="1040"/>
              <w:spacing w:after="0"/>
              <w:rPr>
                <w:sz w:val="20"/>
                <w:szCs w:val="20"/>
                <w:color w:val="auto"/>
              </w:rPr>
            </w:pPr>
            <w:r>
              <w:rPr>
                <w:rFonts w:ascii="Arial" w:cs="Arial" w:eastAsia="Arial" w:hAnsi="Arial"/>
                <w:sz w:val="16"/>
                <w:szCs w:val="16"/>
                <w:color w:val="auto"/>
              </w:rPr>
              <w:t>Agency MBS remeasured at fair value through earnings</w:t>
            </w:r>
          </w:p>
        </w:tc>
        <w:tc>
          <w:tcPr>
            <w:tcW w:w="2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80"/>
              <w:spacing w:after="0"/>
              <w:rPr>
                <w:sz w:val="20"/>
                <w:szCs w:val="20"/>
                <w:color w:val="auto"/>
              </w:rPr>
            </w:pPr>
            <w:r>
              <w:rPr>
                <w:rFonts w:ascii="Arial" w:cs="Arial" w:eastAsia="Arial" w:hAnsi="Arial"/>
                <w:sz w:val="16"/>
                <w:szCs w:val="16"/>
                <w:color w:val="auto"/>
              </w:rPr>
              <w:t>122</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80"/>
              <w:spacing w:after="0"/>
              <w:rPr>
                <w:sz w:val="20"/>
                <w:szCs w:val="20"/>
                <w:color w:val="auto"/>
              </w:rPr>
            </w:pPr>
            <w:r>
              <w:rPr>
                <w:rFonts w:ascii="Arial" w:cs="Arial" w:eastAsia="Arial" w:hAnsi="Arial"/>
                <w:sz w:val="16"/>
                <w:szCs w:val="16"/>
                <w:color w:val="auto"/>
              </w:rPr>
              <w:t>57</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ind w:right="80"/>
              <w:spacing w:after="0"/>
              <w:rPr>
                <w:sz w:val="20"/>
                <w:szCs w:val="20"/>
                <w:color w:val="auto"/>
              </w:rPr>
            </w:pPr>
            <w:r>
              <w:rPr>
                <w:rFonts w:ascii="Arial" w:cs="Arial" w:eastAsia="Arial" w:hAnsi="Arial"/>
                <w:sz w:val="16"/>
                <w:szCs w:val="16"/>
                <w:color w:val="auto"/>
              </w:rPr>
              <w:t>179</w:t>
            </w:r>
          </w:p>
        </w:tc>
      </w:tr>
      <w:tr>
        <w:trPr>
          <w:trHeight w:val="33"/>
        </w:trPr>
        <w:tc>
          <w:tcPr>
            <w:tcW w:w="56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agency MBS, at fair value</w:t>
            </w: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shd w:val="clear" w:color="auto" w:fill="CCEEFF"/>
          </w:tcPr>
          <w:p>
            <w:pPr>
              <w:jc w:val="right"/>
              <w:ind w:right="80"/>
              <w:spacing w:after="0"/>
              <w:rPr>
                <w:sz w:val="20"/>
                <w:szCs w:val="20"/>
                <w:color w:val="auto"/>
              </w:rPr>
            </w:pPr>
            <w:r>
              <w:rPr>
                <w:rFonts w:ascii="Arial" w:cs="Arial" w:eastAsia="Arial" w:hAnsi="Arial"/>
                <w:sz w:val="16"/>
                <w:szCs w:val="16"/>
                <w:color w:val="auto"/>
              </w:rPr>
              <w:t>39,689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shd w:val="clear" w:color="auto" w:fill="CCEEFF"/>
          </w:tcPr>
          <w:p>
            <w:pPr>
              <w:jc w:val="right"/>
              <w:ind w:right="80"/>
              <w:spacing w:after="0"/>
              <w:rPr>
                <w:sz w:val="20"/>
                <w:szCs w:val="20"/>
                <w:color w:val="auto"/>
              </w:rPr>
            </w:pPr>
            <w:r>
              <w:rPr>
                <w:rFonts w:ascii="Arial" w:cs="Arial" w:eastAsia="Arial" w:hAnsi="Arial"/>
                <w:sz w:val="16"/>
                <w:szCs w:val="16"/>
                <w:color w:val="auto"/>
              </w:rPr>
              <w:t>14,721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ind w:right="80"/>
              <w:spacing w:after="0"/>
              <w:rPr>
                <w:sz w:val="20"/>
                <w:szCs w:val="20"/>
                <w:color w:val="auto"/>
              </w:rPr>
            </w:pPr>
            <w:r>
              <w:rPr>
                <w:rFonts w:ascii="Arial" w:cs="Arial" w:eastAsia="Arial" w:hAnsi="Arial"/>
                <w:sz w:val="16"/>
                <w:szCs w:val="16"/>
                <w:color w:val="auto"/>
              </w:rPr>
              <w:t>273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auto"/>
            </w:tcBorders>
            <w:shd w:val="clear" w:color="auto" w:fill="CCEEFF"/>
          </w:tcPr>
          <w:p>
            <w:pPr>
              <w:jc w:val="right"/>
              <w:ind w:right="80"/>
              <w:spacing w:after="0"/>
              <w:rPr>
                <w:sz w:val="20"/>
                <w:szCs w:val="20"/>
                <w:color w:val="auto"/>
              </w:rPr>
            </w:pPr>
            <w:r>
              <w:rPr>
                <w:rFonts w:ascii="Arial" w:cs="Arial" w:eastAsia="Arial" w:hAnsi="Arial"/>
                <w:sz w:val="16"/>
                <w:szCs w:val="16"/>
                <w:color w:val="auto"/>
              </w:rPr>
              <w:t>54,683</w:t>
            </w:r>
          </w:p>
        </w:tc>
      </w:tr>
      <w:tr>
        <w:trPr>
          <w:trHeight w:val="20"/>
        </w:trPr>
        <w:tc>
          <w:tcPr>
            <w:tcW w:w="56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244"/>
        </w:trPr>
        <w:tc>
          <w:tcPr>
            <w:tcW w:w="5620" w:type="dxa"/>
            <w:vAlign w:val="bottom"/>
          </w:tcPr>
          <w:p>
            <w:pPr>
              <w:ind w:left="40"/>
              <w:spacing w:after="0"/>
              <w:rPr>
                <w:sz w:val="20"/>
                <w:szCs w:val="20"/>
                <w:color w:val="auto"/>
              </w:rPr>
            </w:pPr>
            <w:r>
              <w:rPr>
                <w:rFonts w:ascii="Arial" w:cs="Arial" w:eastAsia="Arial" w:hAnsi="Arial"/>
                <w:sz w:val="16"/>
                <w:szCs w:val="16"/>
                <w:color w:val="auto"/>
              </w:rPr>
              <w:t xml:space="preserve">Weighted average coupon as of December 31, 2011 </w:t>
            </w:r>
            <w:r>
              <w:rPr>
                <w:rFonts w:ascii="Arial" w:cs="Arial" w:eastAsia="Arial" w:hAnsi="Arial"/>
                <w:sz w:val="21"/>
                <w:szCs w:val="21"/>
                <w:color w:val="auto"/>
                <w:vertAlign w:val="superscript"/>
              </w:rPr>
              <w:t>(2)</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4.18%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4.39%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3.74%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4.23%</w:t>
            </w: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6"/>
                <w:szCs w:val="16"/>
                <w:color w:val="auto"/>
              </w:rPr>
              <w:t xml:space="preserve">Weighted average yield as of December 31, 2011 </w:t>
            </w:r>
            <w:r>
              <w:rPr>
                <w:rFonts w:ascii="Arial" w:cs="Arial" w:eastAsia="Arial" w:hAnsi="Arial"/>
                <w:sz w:val="21"/>
                <w:szCs w:val="21"/>
                <w:color w:val="auto"/>
                <w:vertAlign w:val="superscript"/>
              </w:rPr>
              <w:t>(3)</w:t>
            </w:r>
          </w:p>
        </w:tc>
        <w:tc>
          <w:tcPr>
            <w:tcW w:w="220" w:type="dxa"/>
            <w:vAlign w:val="bottom"/>
            <w:shd w:val="clear" w:color="auto" w:fill="CCEEFF"/>
          </w:tcPr>
          <w:p>
            <w:pPr>
              <w:spacing w:after="0"/>
              <w:rPr>
                <w:sz w:val="23"/>
                <w:szCs w:val="23"/>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3.03%</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3.20%</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3.07%</w:t>
            </w:r>
          </w:p>
        </w:tc>
      </w:tr>
      <w:tr>
        <w:trPr>
          <w:trHeight w:val="256"/>
        </w:trPr>
        <w:tc>
          <w:tcPr>
            <w:tcW w:w="5620" w:type="dxa"/>
            <w:vAlign w:val="bottom"/>
          </w:tcPr>
          <w:p>
            <w:pPr>
              <w:ind w:left="40"/>
              <w:spacing w:after="0"/>
              <w:rPr>
                <w:sz w:val="20"/>
                <w:szCs w:val="20"/>
                <w:color w:val="auto"/>
              </w:rPr>
            </w:pPr>
            <w:r>
              <w:rPr>
                <w:rFonts w:ascii="Arial" w:cs="Arial" w:eastAsia="Arial" w:hAnsi="Arial"/>
                <w:sz w:val="16"/>
                <w:szCs w:val="16"/>
                <w:color w:val="auto"/>
              </w:rPr>
              <w:t xml:space="preserve">Weighted average yield for the year ended December 31, 2011 </w:t>
            </w:r>
            <w:r>
              <w:rPr>
                <w:rFonts w:ascii="Arial" w:cs="Arial" w:eastAsia="Arial" w:hAnsi="Arial"/>
                <w:sz w:val="21"/>
                <w:szCs w:val="21"/>
                <w:color w:val="auto"/>
                <w:vertAlign w:val="superscript"/>
              </w:rPr>
              <w:t>(3)</w:t>
            </w:r>
          </w:p>
        </w:tc>
        <w:tc>
          <w:tcPr>
            <w:tcW w:w="220" w:type="dxa"/>
            <w:vAlign w:val="bottom"/>
          </w:tcPr>
          <w:p>
            <w:pPr>
              <w:spacing w:after="0"/>
              <w:rPr>
                <w:sz w:val="22"/>
                <w:szCs w:val="22"/>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3.19%</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3.20%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2.05%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3.19%</w:t>
            </w:r>
          </w:p>
        </w:tc>
      </w:tr>
      <w:tr>
        <w:trPr>
          <w:trHeight w:val="224"/>
        </w:trPr>
        <w:tc>
          <w:tcPr>
            <w:tcW w:w="5620" w:type="dxa"/>
            <w:vAlign w:val="bottom"/>
          </w:tcPr>
          <w:p>
            <w:pPr>
              <w:ind w:left="60"/>
              <w:spacing w:after="0"/>
              <w:rPr>
                <w:sz w:val="20"/>
                <w:szCs w:val="20"/>
                <w:color w:val="auto"/>
              </w:rPr>
            </w:pPr>
            <w:r>
              <w:rPr>
                <w:rFonts w:ascii="Arial" w:cs="Arial" w:eastAsia="Arial" w:hAnsi="Arial"/>
                <w:sz w:val="18"/>
                <w:szCs w:val="18"/>
                <w:color w:val="auto"/>
              </w:rPr>
              <w:t>________________________</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60" w:type="dxa"/>
            <w:vAlign w:val="bottom"/>
          </w:tcPr>
          <w:p>
            <w:pPr>
              <w:spacing w:after="0"/>
              <w:rPr>
                <w:sz w:val="19"/>
                <w:szCs w:val="19"/>
                <w:color w:val="auto"/>
              </w:rPr>
            </w:pPr>
          </w:p>
        </w:tc>
      </w:tr>
    </w:tbl>
    <w:p>
      <w:pPr>
        <w:ind w:left="660" w:hanging="328"/>
        <w:spacing w:after="0" w:line="241" w:lineRule="auto"/>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UPB of our interest-only securities was $1.1 billion and the weighted average contractual interest we are entitled to receive was 5.52% of this amount as of December 31, 2011. The par value of our principal-only agency MBS strips was $40 million as of December 31, 2011.</w:t>
      </w:r>
    </w:p>
    <w:p>
      <w:pPr>
        <w:ind w:left="660" w:hanging="328"/>
        <w:spacing w:after="0" w:line="241" w:lineRule="auto"/>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weighted average coupon includes the interest cash flows from our interest-only securities taken together with the interest cash flows from our fixed-rate, adjustable-rate and CMO securities as a percentage of the par value of our agency securities (excluding the UPB of our interest-only securities) as of December 31, 2011.</w:t>
      </w:r>
    </w:p>
    <w:p>
      <w:pPr>
        <w:jc w:val="both"/>
        <w:ind w:left="660" w:hanging="328"/>
        <w:spacing w:after="0" w:line="248" w:lineRule="auto"/>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14% based on forward rates as of December 31, 2011 and a weighted average reset rate for adjustable rate securities of 2.71%, which is equal to a weighted average underlying index rate of 0.94% based on the current spot rate in effect as of the date we acquired the securities and a weighted average margin of 1.77%.</w:t>
      </w:r>
    </w:p>
    <w:p>
      <w:pPr>
        <w:spacing w:after="0" w:line="349" w:lineRule="exact"/>
        <w:rPr>
          <w:sz w:val="20"/>
          <w:szCs w:val="20"/>
          <w:color w:val="auto"/>
        </w:rPr>
      </w:pPr>
    </w:p>
    <w:tbl>
      <w:tblPr>
        <w:tblLayout w:type="fixed"/>
        <w:tblInd w:w="1360" w:type="dxa"/>
        <w:tblCellMar>
          <w:top w:w="0" w:type="dxa"/>
          <w:left w:w="0" w:type="dxa"/>
          <w:bottom w:w="0" w:type="dxa"/>
          <w:right w:w="0" w:type="dxa"/>
        </w:tblCellMar>
      </w:tblPr>
      <w:tr>
        <w:trPr>
          <w:trHeight w:val="192"/>
        </w:trPr>
        <w:tc>
          <w:tcPr>
            <w:tcW w:w="28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5"/>
          </w:tcPr>
          <w:p>
            <w:pPr>
              <w:ind w:left="620"/>
              <w:spacing w:after="0"/>
              <w:rPr>
                <w:sz w:val="20"/>
                <w:szCs w:val="20"/>
                <w:color w:val="auto"/>
              </w:rPr>
            </w:pPr>
            <w:r>
              <w:rPr>
                <w:rFonts w:ascii="Arial" w:cs="Arial" w:eastAsia="Arial" w:hAnsi="Arial"/>
                <w:sz w:val="14"/>
                <w:szCs w:val="14"/>
                <w:b w:val="1"/>
                <w:bCs w:val="1"/>
                <w:color w:val="auto"/>
              </w:rPr>
              <w:t>December 31, 2011</w:t>
            </w: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6"/>
              </w:rPr>
              <w:t>Amortized</w:t>
            </w:r>
          </w:p>
        </w:tc>
        <w:tc>
          <w:tcPr>
            <w:tcW w:w="240" w:type="dxa"/>
            <w:vAlign w:val="bottom"/>
          </w:tcPr>
          <w:p>
            <w:pPr>
              <w:spacing w:after="0"/>
              <w:rPr>
                <w:sz w:val="13"/>
                <w:szCs w:val="13"/>
                <w:color w:val="auto"/>
              </w:rPr>
            </w:pPr>
          </w:p>
        </w:tc>
        <w:tc>
          <w:tcPr>
            <w:tcW w:w="126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88"/>
              </w:rPr>
              <w:t>Gross</w:t>
            </w:r>
          </w:p>
        </w:tc>
        <w:tc>
          <w:tcPr>
            <w:tcW w:w="220" w:type="dxa"/>
            <w:vAlign w:val="bottom"/>
          </w:tcPr>
          <w:p>
            <w:pPr>
              <w:spacing w:after="0"/>
              <w:rPr>
                <w:sz w:val="13"/>
                <w:szCs w:val="13"/>
                <w:color w:val="auto"/>
              </w:rPr>
            </w:pPr>
          </w:p>
        </w:tc>
        <w:tc>
          <w:tcPr>
            <w:tcW w:w="120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8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Agency MBS</w:t>
            </w:r>
          </w:p>
        </w:tc>
        <w:tc>
          <w:tcPr>
            <w:tcW w:w="24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20" w:type="dxa"/>
            <w:vAlign w:val="bottom"/>
          </w:tcPr>
          <w:p>
            <w:pPr>
              <w:spacing w:after="0"/>
              <w:rPr>
                <w:sz w:val="12"/>
                <w:szCs w:val="12"/>
                <w:color w:val="auto"/>
              </w:rPr>
            </w:pPr>
          </w:p>
        </w:tc>
        <w:tc>
          <w:tcPr>
            <w:tcW w:w="12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2"/>
                <w:szCs w:val="12"/>
                <w:color w:val="auto"/>
              </w:rPr>
            </w:pPr>
          </w:p>
        </w:tc>
        <w:tc>
          <w:tcPr>
            <w:tcW w:w="1160" w:type="dxa"/>
            <w:vAlign w:val="bottom"/>
            <w:vMerge w:val="restart"/>
          </w:tcPr>
          <w:p>
            <w:pPr>
              <w:jc w:val="right"/>
              <w:ind w:right="300"/>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2880" w:type="dxa"/>
            <w:vAlign w:val="bottom"/>
            <w:vMerge w:val="continue"/>
          </w:tcPr>
          <w:p>
            <w:pPr>
              <w:spacing w:after="0"/>
              <w:rPr>
                <w:sz w:val="16"/>
                <w:szCs w:val="16"/>
                <w:color w:val="auto"/>
              </w:rPr>
            </w:pPr>
          </w:p>
        </w:tc>
        <w:tc>
          <w:tcPr>
            <w:tcW w:w="240" w:type="dxa"/>
            <w:vAlign w:val="bottom"/>
          </w:tcPr>
          <w:p>
            <w:pPr>
              <w:spacing w:after="0"/>
              <w:rPr>
                <w:sz w:val="16"/>
                <w:szCs w:val="16"/>
                <w:color w:val="auto"/>
              </w:rPr>
            </w:pPr>
          </w:p>
        </w:tc>
        <w:tc>
          <w:tcPr>
            <w:tcW w:w="12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9"/>
              </w:rPr>
              <w:t>Cost</w:t>
            </w:r>
          </w:p>
        </w:tc>
        <w:tc>
          <w:tcPr>
            <w:tcW w:w="240" w:type="dxa"/>
            <w:vAlign w:val="bottom"/>
          </w:tcPr>
          <w:p>
            <w:pPr>
              <w:spacing w:after="0"/>
              <w:rPr>
                <w:sz w:val="16"/>
                <w:szCs w:val="16"/>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Gain</w:t>
            </w:r>
          </w:p>
        </w:tc>
        <w:tc>
          <w:tcPr>
            <w:tcW w:w="220" w:type="dxa"/>
            <w:vAlign w:val="bottom"/>
          </w:tcPr>
          <w:p>
            <w:pPr>
              <w:spacing w:after="0"/>
              <w:rPr>
                <w:sz w:val="16"/>
                <w:szCs w:val="16"/>
                <w:color w:val="auto"/>
              </w:rPr>
            </w:pPr>
          </w:p>
        </w:tc>
        <w:tc>
          <w:tcPr>
            <w:tcW w:w="12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5"/>
              </w:rPr>
              <w:t>Loss</w:t>
            </w:r>
          </w:p>
        </w:tc>
        <w:tc>
          <w:tcPr>
            <w:tcW w:w="240" w:type="dxa"/>
            <w:vAlign w:val="bottom"/>
          </w:tcPr>
          <w:p>
            <w:pPr>
              <w:spacing w:after="0"/>
              <w:rPr>
                <w:sz w:val="16"/>
                <w:szCs w:val="16"/>
                <w:color w:val="auto"/>
              </w:rPr>
            </w:pPr>
          </w:p>
        </w:tc>
        <w:tc>
          <w:tcPr>
            <w:tcW w:w="11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288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Fixed-Rate</w:t>
            </w:r>
          </w:p>
        </w:tc>
        <w:tc>
          <w:tcPr>
            <w:tcW w:w="24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50,535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bottom w:val="single" w:sz="8" w:color="CCEEFF"/>
            </w:tcBorders>
            <w:shd w:val="clear" w:color="auto" w:fill="CCEEFF"/>
          </w:tcPr>
          <w:p>
            <w:pPr>
              <w:jc w:val="right"/>
              <w:ind w:right="3"/>
              <w:spacing w:after="0"/>
              <w:rPr>
                <w:sz w:val="20"/>
                <w:szCs w:val="20"/>
                <w:color w:val="auto"/>
              </w:rPr>
            </w:pPr>
            <w:r>
              <w:rPr>
                <w:rFonts w:ascii="Arial" w:cs="Arial" w:eastAsia="Arial" w:hAnsi="Arial"/>
                <w:sz w:val="16"/>
                <w:szCs w:val="16"/>
                <w:color w:val="auto"/>
              </w:rPr>
              <w:t>952</w:t>
            </w: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51,483</w:t>
            </w:r>
          </w:p>
        </w:tc>
        <w:tc>
          <w:tcPr>
            <w:tcW w:w="0" w:type="dxa"/>
            <w:vAlign w:val="bottom"/>
          </w:tcPr>
          <w:p>
            <w:pPr>
              <w:spacing w:after="0"/>
              <w:rPr>
                <w:sz w:val="1"/>
                <w:szCs w:val="1"/>
                <w:color w:val="auto"/>
              </w:rPr>
            </w:pPr>
          </w:p>
        </w:tc>
      </w:tr>
      <w:tr>
        <w:trPr>
          <w:trHeight w:val="237"/>
        </w:trPr>
        <w:tc>
          <w:tcPr>
            <w:tcW w:w="2880" w:type="dxa"/>
            <w:vAlign w:val="bottom"/>
          </w:tcPr>
          <w:p>
            <w:pPr>
              <w:ind w:left="20"/>
              <w:spacing w:after="0"/>
              <w:rPr>
                <w:sz w:val="20"/>
                <w:szCs w:val="20"/>
                <w:color w:val="auto"/>
              </w:rPr>
            </w:pPr>
            <w:r>
              <w:rPr>
                <w:rFonts w:ascii="Arial" w:cs="Arial" w:eastAsia="Arial" w:hAnsi="Arial"/>
                <w:sz w:val="16"/>
                <w:szCs w:val="16"/>
                <w:color w:val="auto"/>
              </w:rPr>
              <w:t>Adjustable-Rate</w:t>
            </w:r>
          </w:p>
        </w:tc>
        <w:tc>
          <w:tcPr>
            <w:tcW w:w="240" w:type="dxa"/>
            <w:vAlign w:val="bottom"/>
          </w:tcPr>
          <w:p>
            <w:pPr>
              <w:spacing w:after="0"/>
              <w:rPr>
                <w:sz w:val="20"/>
                <w:szCs w:val="20"/>
                <w:color w:val="auto"/>
              </w:rPr>
            </w:pPr>
          </w:p>
        </w:tc>
        <w:tc>
          <w:tcPr>
            <w:tcW w:w="1160" w:type="dxa"/>
            <w:vAlign w:val="bottom"/>
          </w:tcPr>
          <w:p>
            <w:pPr>
              <w:jc w:val="right"/>
              <w:ind w:right="2"/>
              <w:spacing w:after="0"/>
              <w:rPr>
                <w:sz w:val="20"/>
                <w:szCs w:val="20"/>
                <w:color w:val="auto"/>
              </w:rPr>
            </w:pPr>
            <w:r>
              <w:rPr>
                <w:rFonts w:ascii="Arial" w:cs="Arial" w:eastAsia="Arial" w:hAnsi="Arial"/>
                <w:sz w:val="16"/>
                <w:szCs w:val="16"/>
                <w:color w:val="auto"/>
              </w:rPr>
              <w:t>2,725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tcPr>
          <w:p>
            <w:pPr>
              <w:jc w:val="right"/>
              <w:ind w:right="3"/>
              <w:spacing w:after="0"/>
              <w:rPr>
                <w:sz w:val="20"/>
                <w:szCs w:val="20"/>
                <w:color w:val="auto"/>
              </w:rPr>
            </w:pPr>
            <w:r>
              <w:rPr>
                <w:rFonts w:ascii="Arial" w:cs="Arial" w:eastAsia="Arial" w:hAnsi="Arial"/>
                <w:sz w:val="16"/>
                <w:szCs w:val="16"/>
                <w:color w:val="auto"/>
              </w:rPr>
              <w:t>51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2,774</w:t>
            </w:r>
          </w:p>
        </w:tc>
        <w:tc>
          <w:tcPr>
            <w:tcW w:w="0" w:type="dxa"/>
            <w:vAlign w:val="bottom"/>
          </w:tcPr>
          <w:p>
            <w:pPr>
              <w:spacing w:after="0"/>
              <w:rPr>
                <w:sz w:val="1"/>
                <w:szCs w:val="1"/>
                <w:color w:val="auto"/>
              </w:rPr>
            </w:pPr>
          </w:p>
        </w:tc>
      </w:tr>
      <w:tr>
        <w:trPr>
          <w:trHeight w:val="33"/>
        </w:trPr>
        <w:tc>
          <w:tcPr>
            <w:tcW w:w="2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CMO</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243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16"/>
                <w:szCs w:val="16"/>
                <w:color w:val="auto"/>
              </w:rPr>
              <w:t>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247</w:t>
            </w:r>
          </w:p>
        </w:tc>
        <w:tc>
          <w:tcPr>
            <w:tcW w:w="0" w:type="dxa"/>
            <w:vAlign w:val="bottom"/>
          </w:tcPr>
          <w:p>
            <w:pPr>
              <w:spacing w:after="0"/>
              <w:rPr>
                <w:sz w:val="1"/>
                <w:szCs w:val="1"/>
                <w:color w:val="auto"/>
              </w:rPr>
            </w:pPr>
          </w:p>
        </w:tc>
      </w:tr>
      <w:tr>
        <w:trPr>
          <w:trHeight w:val="237"/>
        </w:trPr>
        <w:tc>
          <w:tcPr>
            <w:tcW w:w="2880" w:type="dxa"/>
            <w:vAlign w:val="bottom"/>
          </w:tcPr>
          <w:p>
            <w:pPr>
              <w:ind w:left="20"/>
              <w:spacing w:after="0"/>
              <w:rPr>
                <w:sz w:val="20"/>
                <w:szCs w:val="20"/>
                <w:color w:val="auto"/>
              </w:rPr>
            </w:pPr>
            <w:r>
              <w:rPr>
                <w:rFonts w:ascii="Arial" w:cs="Arial" w:eastAsia="Arial" w:hAnsi="Arial"/>
                <w:sz w:val="16"/>
                <w:szCs w:val="16"/>
                <w:color w:val="auto"/>
              </w:rPr>
              <w:t>Interest-only strips</w:t>
            </w:r>
          </w:p>
        </w:tc>
        <w:tc>
          <w:tcPr>
            <w:tcW w:w="240" w:type="dxa"/>
            <w:vAlign w:val="bottom"/>
          </w:tcPr>
          <w:p>
            <w:pPr>
              <w:spacing w:after="0"/>
              <w:rPr>
                <w:sz w:val="20"/>
                <w:szCs w:val="20"/>
                <w:color w:val="auto"/>
              </w:rPr>
            </w:pPr>
          </w:p>
        </w:tc>
        <w:tc>
          <w:tcPr>
            <w:tcW w:w="1160" w:type="dxa"/>
            <w:vAlign w:val="bottom"/>
          </w:tcPr>
          <w:p>
            <w:pPr>
              <w:jc w:val="right"/>
              <w:ind w:right="2"/>
              <w:spacing w:after="0"/>
              <w:rPr>
                <w:sz w:val="20"/>
                <w:szCs w:val="20"/>
                <w:color w:val="auto"/>
              </w:rPr>
            </w:pPr>
            <w:r>
              <w:rPr>
                <w:rFonts w:ascii="Arial" w:cs="Arial" w:eastAsia="Arial" w:hAnsi="Arial"/>
                <w:sz w:val="16"/>
                <w:szCs w:val="16"/>
                <w:color w:val="auto"/>
              </w:rPr>
              <w:t>191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tcPr>
          <w:p>
            <w:pPr>
              <w:jc w:val="right"/>
              <w:ind w:right="3"/>
              <w:spacing w:after="0"/>
              <w:rPr>
                <w:sz w:val="20"/>
                <w:szCs w:val="20"/>
                <w:color w:val="auto"/>
              </w:rPr>
            </w:pPr>
            <w:r>
              <w:rPr>
                <w:rFonts w:ascii="Arial" w:cs="Arial" w:eastAsia="Arial" w:hAnsi="Arial"/>
                <w:sz w:val="16"/>
                <w:szCs w:val="16"/>
                <w:color w:val="auto"/>
              </w:rPr>
              <w:t>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179</w:t>
            </w:r>
          </w:p>
        </w:tc>
        <w:tc>
          <w:tcPr>
            <w:tcW w:w="0" w:type="dxa"/>
            <w:vAlign w:val="bottom"/>
          </w:tcPr>
          <w:p>
            <w:pPr>
              <w:spacing w:after="0"/>
              <w:rPr>
                <w:sz w:val="1"/>
                <w:szCs w:val="1"/>
                <w:color w:val="auto"/>
              </w:rPr>
            </w:pPr>
          </w:p>
        </w:tc>
      </w:tr>
      <w:tr>
        <w:trPr>
          <w:trHeight w:val="33"/>
        </w:trPr>
        <w:tc>
          <w:tcPr>
            <w:tcW w:w="28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agency MBS</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53,694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1,016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54,683</w:t>
            </w:r>
          </w:p>
        </w:tc>
        <w:tc>
          <w:tcPr>
            <w:tcW w:w="0" w:type="dxa"/>
            <w:vAlign w:val="bottom"/>
          </w:tcPr>
          <w:p>
            <w:pPr>
              <w:spacing w:after="0"/>
              <w:rPr>
                <w:sz w:val="1"/>
                <w:szCs w:val="1"/>
                <w:color w:val="auto"/>
              </w:rPr>
            </w:pPr>
          </w:p>
        </w:tc>
      </w:tr>
      <w:tr>
        <w:trPr>
          <w:trHeight w:val="20"/>
        </w:trPr>
        <w:tc>
          <w:tcPr>
            <w:tcW w:w="28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September 30, 2012 and December 31, 2011, we did not have investments in agency debenture securities.</w:t>
      </w:r>
    </w:p>
    <w:p>
      <w:pPr>
        <w:spacing w:after="0" w:line="225"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The actual maturities of our agency MBS securities are generally shorter than the stated contractual maturities. Actual maturities are affected by the contractual lives of the underlying mortgages, periodic contractual principal payments and principal prepayments. As of September 30, 2012 and December 31, 2011, our weighted average expected constant prepayment rate (“CPR”) over the remaining life of our aggregate agency MBS portfolio was 14%. Our estimates differ materially for different types of securities and thus individual holdings have a wide range of projected CPRs. We estimate long-term prepayment assumptions for different securities using a third-party service and market data. The third-party service estimates prepayment speeds using models that incorporate the forward yield curve, current mortgage rates, mortgage rates of the outstanding loans, loan age, volatility and other factors. We review the prepayment speeds estimated by the third-party service and compare the results to market consensus prepayment speeds, if available. We also consider historical prepayment speeds and current market conditions to validate reasonableness. As market conditions may change rapidly, we may make adjustments for different securities based on our Manager's judgement. Various market participants could use materially different assumptions.</w:t>
      </w:r>
    </w:p>
    <w:p>
      <w:pPr>
        <w:spacing w:after="0" w:line="16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agency MBS classified as available-for-sale as of September 30, 2012 and December 31, 2011 according to their estimated weighted average life classification (dollars in millions):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738" w:right="2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rPr>
              <w:t>September 30, 2012</w:t>
            </w:r>
          </w:p>
        </w:tc>
        <w:tc>
          <w:tcPr>
            <w:tcW w:w="96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rPr>
              <w:t>December 31, 2011</w:t>
            </w: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3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Estimated Weighted Average Life of Agency MBS Classified as</w:t>
            </w:r>
          </w:p>
        </w:tc>
        <w:tc>
          <w:tcPr>
            <w:tcW w:w="1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Amortized</w:t>
            </w:r>
          </w:p>
        </w:tc>
        <w:tc>
          <w:tcPr>
            <w:tcW w:w="1180" w:type="dxa"/>
            <w:vAlign w:val="bottom"/>
            <w:gridSpan w:val="2"/>
          </w:tcPr>
          <w:p>
            <w:pPr>
              <w:jc w:val="center"/>
              <w:ind w:right="200"/>
              <w:spacing w:after="0" w:line="153" w:lineRule="exact"/>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Amortized</w:t>
            </w:r>
          </w:p>
        </w:tc>
        <w:tc>
          <w:tcPr>
            <w:tcW w:w="960" w:type="dxa"/>
            <w:vAlign w:val="bottom"/>
          </w:tcPr>
          <w:p>
            <w:pPr>
              <w:jc w:val="right"/>
              <w:ind w:right="102"/>
              <w:spacing w:after="0" w:line="153" w:lineRule="exact"/>
              <w:rPr>
                <w:sz w:val="20"/>
                <w:szCs w:val="20"/>
                <w:color w:val="auto"/>
              </w:rPr>
            </w:pPr>
            <w:r>
              <w:rPr>
                <w:rFonts w:ascii="Arial" w:cs="Arial" w:eastAsia="Arial" w:hAnsi="Arial"/>
                <w:sz w:val="14"/>
                <w:szCs w:val="14"/>
                <w:b w:val="1"/>
                <w:bCs w:val="1"/>
                <w:color w:val="auto"/>
              </w:rPr>
              <w:t>Weighted</w:t>
            </w:r>
          </w:p>
        </w:tc>
        <w:tc>
          <w:tcPr>
            <w:tcW w:w="0" w:type="dxa"/>
            <w:vAlign w:val="bottom"/>
          </w:tcPr>
          <w:p>
            <w:pPr>
              <w:spacing w:after="0"/>
              <w:rPr>
                <w:sz w:val="1"/>
                <w:szCs w:val="1"/>
                <w:color w:val="auto"/>
              </w:rPr>
            </w:pPr>
          </w:p>
        </w:tc>
      </w:tr>
      <w:tr>
        <w:trPr>
          <w:trHeight w:val="149"/>
        </w:trPr>
        <w:tc>
          <w:tcPr>
            <w:tcW w:w="43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vMerge w:val="restart"/>
          </w:tcPr>
          <w:p>
            <w:pPr>
              <w:jc w:val="right"/>
              <w:ind w:right="120"/>
              <w:spacing w:after="0"/>
              <w:rPr>
                <w:sz w:val="20"/>
                <w:szCs w:val="20"/>
                <w:color w:val="auto"/>
              </w:rPr>
            </w:pPr>
            <w:r>
              <w:rPr>
                <w:rFonts w:ascii="Arial" w:cs="Arial" w:eastAsia="Arial" w:hAnsi="Arial"/>
                <w:sz w:val="14"/>
                <w:szCs w:val="14"/>
                <w:b w:val="1"/>
                <w:bCs w:val="1"/>
                <w:color w:val="auto"/>
              </w:rPr>
              <w:t>Fair Value</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1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2"/>
                <w:szCs w:val="12"/>
                <w:color w:val="auto"/>
              </w:rPr>
            </w:pPr>
          </w:p>
        </w:tc>
        <w:tc>
          <w:tcPr>
            <w:tcW w:w="940" w:type="dxa"/>
            <w:vAlign w:val="bottom"/>
            <w:vMerge w:val="restart"/>
          </w:tcPr>
          <w:p>
            <w:pPr>
              <w:jc w:val="right"/>
              <w:ind w:right="160"/>
              <w:spacing w:after="0"/>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960" w:type="dxa"/>
            <w:vAlign w:val="bottom"/>
          </w:tcPr>
          <w:p>
            <w:pPr>
              <w:jc w:val="right"/>
              <w:ind w:right="142"/>
              <w:spacing w:after="0" w:line="149"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Available-for-Sale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41"/>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Coupon</w:t>
            </w:r>
          </w:p>
        </w:tc>
        <w:tc>
          <w:tcPr>
            <w:tcW w:w="2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41"/>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right"/>
              <w:ind w:right="162"/>
              <w:spacing w:after="0"/>
              <w:rPr>
                <w:sz w:val="20"/>
                <w:szCs w:val="20"/>
                <w:color w:val="auto"/>
              </w:rPr>
            </w:pPr>
            <w:r>
              <w:rPr>
                <w:rFonts w:ascii="Arial" w:cs="Arial" w:eastAsia="Arial" w:hAnsi="Arial"/>
                <w:sz w:val="14"/>
                <w:szCs w:val="14"/>
                <w:b w:val="1"/>
                <w:bCs w:val="1"/>
                <w:color w:val="auto"/>
              </w:rPr>
              <w:t>Coupon</w:t>
            </w:r>
          </w:p>
        </w:tc>
        <w:tc>
          <w:tcPr>
            <w:tcW w:w="0" w:type="dxa"/>
            <w:vAlign w:val="bottom"/>
          </w:tcPr>
          <w:p>
            <w:pPr>
              <w:spacing w:after="0"/>
              <w:rPr>
                <w:sz w:val="1"/>
                <w:szCs w:val="1"/>
                <w:color w:val="auto"/>
              </w:rPr>
            </w:pPr>
          </w:p>
        </w:tc>
      </w:tr>
      <w:tr>
        <w:trPr>
          <w:trHeight w:val="236"/>
        </w:trPr>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Less than or equal to 1 year</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214</w:t>
            </w:r>
          </w:p>
        </w:tc>
        <w:tc>
          <w:tcPr>
            <w:tcW w:w="2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210</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4.61%</w:t>
            </w:r>
          </w:p>
        </w:tc>
        <w:tc>
          <w:tcPr>
            <w:tcW w:w="0" w:type="dxa"/>
            <w:vAlign w:val="bottom"/>
          </w:tcPr>
          <w:p>
            <w:pPr>
              <w:spacing w:after="0"/>
              <w:rPr>
                <w:sz w:val="1"/>
                <w:szCs w:val="1"/>
                <w:color w:val="auto"/>
              </w:rPr>
            </w:pPr>
          </w:p>
        </w:tc>
      </w:tr>
      <w:tr>
        <w:trPr>
          <w:trHeight w:val="237"/>
        </w:trPr>
        <w:tc>
          <w:tcPr>
            <w:tcW w:w="4360" w:type="dxa"/>
            <w:vAlign w:val="bottom"/>
            <w:gridSpan w:val="2"/>
          </w:tcPr>
          <w:p>
            <w:pPr>
              <w:ind w:left="40"/>
              <w:spacing w:after="0"/>
              <w:rPr>
                <w:sz w:val="20"/>
                <w:szCs w:val="20"/>
                <w:color w:val="auto"/>
              </w:rPr>
            </w:pPr>
            <w:r>
              <w:rPr>
                <w:rFonts w:ascii="Arial" w:cs="Arial" w:eastAsia="Arial" w:hAnsi="Arial"/>
                <w:sz w:val="16"/>
                <w:szCs w:val="16"/>
                <w:color w:val="auto"/>
              </w:rPr>
              <w:t>Greater than 1 year and less than/equal to 3 years</w:t>
            </w:r>
          </w:p>
        </w:tc>
        <w:tc>
          <w:tcPr>
            <w:tcW w:w="18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9,902</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9,656</w:t>
            </w:r>
          </w:p>
        </w:tc>
        <w:tc>
          <w:tcPr>
            <w:tcW w:w="1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3.17%</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3,392</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3,338</w:t>
            </w:r>
          </w:p>
        </w:tc>
        <w:tc>
          <w:tcPr>
            <w:tcW w:w="1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4.38%</w:t>
            </w:r>
          </w:p>
        </w:tc>
        <w:tc>
          <w:tcPr>
            <w:tcW w:w="0" w:type="dxa"/>
            <w:vAlign w:val="bottom"/>
          </w:tcPr>
          <w:p>
            <w:pPr>
              <w:spacing w:after="0"/>
              <w:rPr>
                <w:sz w:val="1"/>
                <w:szCs w:val="1"/>
                <w:color w:val="auto"/>
              </w:rPr>
            </w:pPr>
          </w:p>
        </w:tc>
      </w:tr>
      <w:tr>
        <w:trPr>
          <w:trHeight w:val="33"/>
        </w:trPr>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Greater than 3 years and less than/equal to 5 years</w:t>
            </w: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39,737</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38,442</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3.66%</w:t>
            </w:r>
          </w:p>
        </w:tc>
        <w:tc>
          <w:tcPr>
            <w:tcW w:w="2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26,168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25,616</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3.99%</w:t>
            </w:r>
          </w:p>
        </w:tc>
        <w:tc>
          <w:tcPr>
            <w:tcW w:w="0" w:type="dxa"/>
            <w:vAlign w:val="bottom"/>
          </w:tcPr>
          <w:p>
            <w:pPr>
              <w:spacing w:after="0"/>
              <w:rPr>
                <w:sz w:val="1"/>
                <w:szCs w:val="1"/>
                <w:color w:val="auto"/>
              </w:rPr>
            </w:pPr>
          </w:p>
        </w:tc>
      </w:tr>
      <w:tr>
        <w:trPr>
          <w:trHeight w:val="237"/>
        </w:trPr>
        <w:tc>
          <w:tcPr>
            <w:tcW w:w="4360" w:type="dxa"/>
            <w:vAlign w:val="bottom"/>
            <w:gridSpan w:val="2"/>
          </w:tcPr>
          <w:p>
            <w:pPr>
              <w:ind w:left="40"/>
              <w:spacing w:after="0"/>
              <w:rPr>
                <w:sz w:val="20"/>
                <w:szCs w:val="20"/>
                <w:color w:val="auto"/>
              </w:rPr>
            </w:pPr>
            <w:r>
              <w:rPr>
                <w:rFonts w:ascii="Arial" w:cs="Arial" w:eastAsia="Arial" w:hAnsi="Arial"/>
                <w:sz w:val="16"/>
                <w:szCs w:val="16"/>
                <w:color w:val="auto"/>
              </w:rPr>
              <w:t>Greater than 5 years and less than/equal to 10 years</w:t>
            </w:r>
          </w:p>
        </w:tc>
        <w:tc>
          <w:tcPr>
            <w:tcW w:w="18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38,832</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37,600</w:t>
            </w:r>
          </w:p>
        </w:tc>
        <w:tc>
          <w:tcPr>
            <w:tcW w:w="1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3.80%</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24,710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24,320</w:t>
            </w:r>
          </w:p>
        </w:tc>
        <w:tc>
          <w:tcPr>
            <w:tcW w:w="1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4.19%</w:t>
            </w:r>
          </w:p>
        </w:tc>
        <w:tc>
          <w:tcPr>
            <w:tcW w:w="0" w:type="dxa"/>
            <w:vAlign w:val="bottom"/>
          </w:tcPr>
          <w:p>
            <w:pPr>
              <w:spacing w:after="0"/>
              <w:rPr>
                <w:sz w:val="1"/>
                <w:szCs w:val="1"/>
                <w:color w:val="auto"/>
              </w:rPr>
            </w:pPr>
          </w:p>
        </w:tc>
      </w:tr>
      <w:tr>
        <w:trPr>
          <w:trHeight w:val="33"/>
        </w:trPr>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Greater than 10 years</w:t>
            </w:r>
          </w:p>
        </w:tc>
        <w:tc>
          <w:tcPr>
            <w:tcW w:w="1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594</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584</w:t>
            </w:r>
          </w:p>
        </w:tc>
        <w:tc>
          <w:tcPr>
            <w:tcW w:w="1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3.55%</w:t>
            </w:r>
          </w:p>
        </w:tc>
        <w:tc>
          <w:tcPr>
            <w:tcW w:w="2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w:t>
            </w:r>
          </w:p>
        </w:tc>
        <w:tc>
          <w:tcPr>
            <w:tcW w:w="1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5.02%</w:t>
            </w:r>
          </w:p>
        </w:tc>
        <w:tc>
          <w:tcPr>
            <w:tcW w:w="0" w:type="dxa"/>
            <w:vAlign w:val="bottom"/>
          </w:tcPr>
          <w:p>
            <w:pPr>
              <w:spacing w:after="0"/>
              <w:rPr>
                <w:sz w:val="1"/>
                <w:szCs w:val="1"/>
                <w:color w:val="auto"/>
              </w:rPr>
            </w:pPr>
          </w:p>
        </w:tc>
      </w:tr>
      <w:tr>
        <w:trPr>
          <w:trHeight w:val="244"/>
        </w:trPr>
        <w:tc>
          <w:tcPr>
            <w:tcW w:w="4360" w:type="dxa"/>
            <w:vAlign w:val="bottom"/>
            <w:gridSpan w:val="2"/>
          </w:tcPr>
          <w:p>
            <w:pPr>
              <w:ind w:left="38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89,065</w:t>
            </w:r>
          </w:p>
        </w:tc>
        <w:tc>
          <w:tcPr>
            <w:tcW w:w="6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86,282</w:t>
            </w:r>
          </w:p>
        </w:tc>
        <w:tc>
          <w:tcPr>
            <w:tcW w:w="100" w:type="dxa"/>
            <w:vAlign w:val="bottom"/>
          </w:tcPr>
          <w:p>
            <w:pPr>
              <w:spacing w:after="0"/>
              <w:rPr>
                <w:sz w:val="21"/>
                <w:szCs w:val="21"/>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3.66%</w:t>
            </w:r>
          </w:p>
        </w:tc>
        <w:tc>
          <w:tcPr>
            <w:tcW w:w="2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54,504</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53,503</w:t>
            </w:r>
          </w:p>
        </w:tc>
        <w:tc>
          <w:tcPr>
            <w:tcW w:w="100" w:type="dxa"/>
            <w:vAlign w:val="bottom"/>
          </w:tcPr>
          <w:p>
            <w:pPr>
              <w:spacing w:after="0"/>
              <w:rPr>
                <w:sz w:val="21"/>
                <w:szCs w:val="21"/>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4.11%</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weighted average life of our interest-only agency MBS strips was 4.8 and 3.0 years as of September 30, 2012 and December 31, 2011, respectively.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The weighted average life of our principal-only agency MBS strips was 5.6 and 2.6 years as of September 30, 2012 and December 31, 2011, respectively.</w:t>
      </w:r>
    </w:p>
    <w:p>
      <w:pPr>
        <w:spacing w:after="0" w:line="23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agency securities classified as available-for-sale are reported at fair value, with unrealized gains and losses excluded from earnings and reported in OCI, a component of stockholders’ equity. The following table summarizes changes in accumulated OCI for our available-for-sale securities for the three and nine months ended September 30, 2012 and 2011 (in millions):</w:t>
      </w: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Reversal of Prior</w:t>
            </w:r>
          </w:p>
        </w:tc>
        <w:tc>
          <w:tcPr>
            <w:tcW w:w="2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9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Agency Securities Classified as</w:t>
            </w:r>
          </w:p>
        </w:tc>
        <w:tc>
          <w:tcPr>
            <w:tcW w:w="140" w:type="dxa"/>
            <w:vAlign w:val="bottom"/>
          </w:tcPr>
          <w:p>
            <w:pPr>
              <w:spacing w:after="0"/>
              <w:rPr>
                <w:sz w:val="12"/>
                <w:szCs w:val="12"/>
                <w:color w:val="auto"/>
              </w:rPr>
            </w:pPr>
          </w:p>
        </w:tc>
        <w:tc>
          <w:tcPr>
            <w:tcW w:w="12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Beginning OCI</w:t>
            </w:r>
          </w:p>
        </w:tc>
        <w:tc>
          <w:tcPr>
            <w:tcW w:w="1720" w:type="dxa"/>
            <w:vAlign w:val="bottom"/>
            <w:gridSpan w:val="2"/>
            <w:vMerge w:val="restart"/>
          </w:tcPr>
          <w:p>
            <w:pPr>
              <w:ind w:left="280"/>
              <w:spacing w:after="0"/>
              <w:rPr>
                <w:sz w:val="20"/>
                <w:szCs w:val="20"/>
                <w:color w:val="auto"/>
              </w:rPr>
            </w:pPr>
            <w:r>
              <w:rPr>
                <w:rFonts w:ascii="Arial" w:cs="Arial" w:eastAsia="Arial" w:hAnsi="Arial"/>
                <w:sz w:val="14"/>
                <w:szCs w:val="14"/>
                <w:b w:val="1"/>
                <w:bCs w:val="1"/>
                <w:color w:val="auto"/>
              </w:rPr>
              <w:t>Unrealized Gains</w:t>
            </w:r>
          </w:p>
        </w:tc>
        <w:tc>
          <w:tcPr>
            <w:tcW w:w="18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Period Unrealized</w:t>
            </w:r>
          </w:p>
        </w:tc>
        <w:tc>
          <w:tcPr>
            <w:tcW w:w="260" w:type="dxa"/>
            <w:vAlign w:val="bottom"/>
          </w:tcPr>
          <w:p>
            <w:pPr>
              <w:spacing w:after="0"/>
              <w:rPr>
                <w:sz w:val="12"/>
                <w:szCs w:val="12"/>
                <w:color w:val="auto"/>
              </w:rPr>
            </w:pPr>
          </w:p>
        </w:tc>
        <w:tc>
          <w:tcPr>
            <w:tcW w:w="1320" w:type="dxa"/>
            <w:vAlign w:val="bottom"/>
            <w:vMerge w:val="restart"/>
          </w:tcPr>
          <w:p>
            <w:pPr>
              <w:jc w:val="right"/>
              <w:ind w:right="342"/>
              <w:spacing w:after="0"/>
              <w:rPr>
                <w:sz w:val="20"/>
                <w:szCs w:val="20"/>
                <w:color w:val="auto"/>
              </w:rPr>
            </w:pPr>
            <w:r>
              <w:rPr>
                <w:rFonts w:ascii="Arial" w:cs="Arial" w:eastAsia="Arial" w:hAnsi="Arial"/>
                <w:sz w:val="14"/>
                <w:szCs w:val="14"/>
                <w:b w:val="1"/>
                <w:bCs w:val="1"/>
                <w:color w:val="auto"/>
              </w:rPr>
              <w:t>Ending OCI</w:t>
            </w:r>
          </w:p>
        </w:tc>
        <w:tc>
          <w:tcPr>
            <w:tcW w:w="0" w:type="dxa"/>
            <w:vAlign w:val="bottom"/>
          </w:tcPr>
          <w:p>
            <w:pPr>
              <w:spacing w:after="0"/>
              <w:rPr>
                <w:sz w:val="1"/>
                <w:szCs w:val="1"/>
                <w:color w:val="auto"/>
              </w:rPr>
            </w:pPr>
          </w:p>
        </w:tc>
      </w:tr>
      <w:tr>
        <w:trPr>
          <w:trHeight w:val="149"/>
        </w:trPr>
        <w:tc>
          <w:tcPr>
            <w:tcW w:w="4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720" w:type="dxa"/>
            <w:vAlign w:val="bottom"/>
            <w:gridSpan w:val="2"/>
            <w:vMerge w:val="continue"/>
          </w:tcPr>
          <w:p>
            <w:pPr>
              <w:spacing w:after="0"/>
              <w:rPr>
                <w:sz w:val="12"/>
                <w:szCs w:val="12"/>
                <w:color w:val="auto"/>
              </w:rPr>
            </w:pPr>
          </w:p>
        </w:tc>
        <w:tc>
          <w:tcPr>
            <w:tcW w:w="18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(Gains) and Losses,</w:t>
            </w:r>
          </w:p>
        </w:tc>
        <w:tc>
          <w:tcPr>
            <w:tcW w:w="260" w:type="dxa"/>
            <w:vAlign w:val="bottom"/>
          </w:tcPr>
          <w:p>
            <w:pPr>
              <w:spacing w:after="0"/>
              <w:rPr>
                <w:sz w:val="12"/>
                <w:szCs w:val="12"/>
                <w:color w:val="auto"/>
              </w:rPr>
            </w:pPr>
          </w:p>
        </w:tc>
        <w:tc>
          <w:tcPr>
            <w:tcW w:w="13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48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Available-for-Sale</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Balance</w:t>
            </w:r>
          </w:p>
        </w:tc>
        <w:tc>
          <w:tcPr>
            <w:tcW w:w="120" w:type="dxa"/>
            <w:vAlign w:val="bottom"/>
            <w:tcBorders>
              <w:bottom w:val="single" w:sz="8" w:color="CCEEFF"/>
            </w:tcBorders>
          </w:tcPr>
          <w:p>
            <w:pPr>
              <w:spacing w:after="0"/>
              <w:rPr>
                <w:sz w:val="16"/>
                <w:szCs w:val="16"/>
                <w:color w:val="auto"/>
              </w:rPr>
            </w:pPr>
          </w:p>
        </w:tc>
        <w:tc>
          <w:tcPr>
            <w:tcW w:w="1600" w:type="dxa"/>
            <w:vAlign w:val="bottom"/>
            <w:tcBorders>
              <w:bottom w:val="single" w:sz="8" w:color="auto"/>
            </w:tcBorders>
          </w:tcPr>
          <w:p>
            <w:pPr>
              <w:ind w:left="280"/>
              <w:spacing w:after="0"/>
              <w:rPr>
                <w:sz w:val="20"/>
                <w:szCs w:val="20"/>
                <w:color w:val="auto"/>
              </w:rPr>
            </w:pPr>
            <w:r>
              <w:rPr>
                <w:rFonts w:ascii="Arial" w:cs="Arial" w:eastAsia="Arial" w:hAnsi="Arial"/>
                <w:sz w:val="14"/>
                <w:szCs w:val="14"/>
                <w:b w:val="1"/>
                <w:bCs w:val="1"/>
                <w:color w:val="auto"/>
              </w:rPr>
              <w:t>and (Losses), Net</w:t>
            </w:r>
          </w:p>
        </w:tc>
        <w:tc>
          <w:tcPr>
            <w:tcW w:w="120" w:type="dxa"/>
            <w:vAlign w:val="bottom"/>
            <w:tcBorders>
              <w:bottom w:val="single" w:sz="8" w:color="CCEEFF"/>
            </w:tcBorders>
          </w:tcPr>
          <w:p>
            <w:pPr>
              <w:spacing w:after="0"/>
              <w:rPr>
                <w:sz w:val="16"/>
                <w:szCs w:val="16"/>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Net on Realization</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462"/>
              <w:spacing w:after="0"/>
              <w:rPr>
                <w:sz w:val="20"/>
                <w:szCs w:val="20"/>
                <w:color w:val="auto"/>
              </w:rPr>
            </w:pPr>
            <w:r>
              <w:rPr>
                <w:rFonts w:ascii="Arial" w:cs="Arial" w:eastAsia="Arial" w:hAnsi="Arial"/>
                <w:sz w:val="14"/>
                <w:szCs w:val="14"/>
                <w:b w:val="1"/>
                <w:bCs w:val="1"/>
                <w:color w:val="auto"/>
              </w:rPr>
              <w:t>Balance</w:t>
            </w:r>
          </w:p>
        </w:tc>
        <w:tc>
          <w:tcPr>
            <w:tcW w:w="0" w:type="dxa"/>
            <w:vAlign w:val="bottom"/>
          </w:tcPr>
          <w:p>
            <w:pPr>
              <w:spacing w:after="0"/>
              <w:rPr>
                <w:sz w:val="1"/>
                <w:szCs w:val="1"/>
                <w:color w:val="auto"/>
              </w:rPr>
            </w:pPr>
          </w:p>
        </w:tc>
      </w:tr>
      <w:tr>
        <w:trPr>
          <w:trHeight w:val="236"/>
        </w:trPr>
        <w:tc>
          <w:tcPr>
            <w:tcW w:w="4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Three months ended September 30, 2012</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1,585</w:t>
            </w:r>
          </w:p>
        </w:tc>
        <w:tc>
          <w:tcPr>
            <w:tcW w:w="1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1,400</w:t>
            </w:r>
          </w:p>
        </w:tc>
        <w:tc>
          <w:tcPr>
            <w:tcW w:w="12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(210)</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2,775</w:t>
            </w:r>
          </w:p>
        </w:tc>
        <w:tc>
          <w:tcPr>
            <w:tcW w:w="0" w:type="dxa"/>
            <w:vAlign w:val="bottom"/>
          </w:tcPr>
          <w:p>
            <w:pPr>
              <w:spacing w:after="0"/>
              <w:rPr>
                <w:sz w:val="1"/>
                <w:szCs w:val="1"/>
                <w:color w:val="auto"/>
              </w:rPr>
            </w:pPr>
          </w:p>
        </w:tc>
      </w:tr>
      <w:tr>
        <w:trPr>
          <w:trHeight w:val="237"/>
        </w:trPr>
        <w:tc>
          <w:tcPr>
            <w:tcW w:w="4920" w:type="dxa"/>
            <w:vAlign w:val="bottom"/>
            <w:gridSpan w:val="2"/>
          </w:tcPr>
          <w:p>
            <w:pPr>
              <w:ind w:left="40"/>
              <w:spacing w:after="0"/>
              <w:rPr>
                <w:sz w:val="20"/>
                <w:szCs w:val="20"/>
                <w:color w:val="auto"/>
              </w:rPr>
            </w:pPr>
            <w:r>
              <w:rPr>
                <w:rFonts w:ascii="Arial" w:cs="Arial" w:eastAsia="Arial" w:hAnsi="Arial"/>
                <w:sz w:val="16"/>
                <w:szCs w:val="16"/>
                <w:color w:val="auto"/>
              </w:rPr>
              <w:t>Three months ended September 30, 2011</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42"/>
              <w:spacing w:after="0"/>
              <w:rPr>
                <w:sz w:val="20"/>
                <w:szCs w:val="20"/>
                <w:color w:val="auto"/>
              </w:rPr>
            </w:pPr>
            <w:r>
              <w:rPr>
                <w:rFonts w:ascii="Arial" w:cs="Arial" w:eastAsia="Arial" w:hAnsi="Arial"/>
                <w:sz w:val="16"/>
                <w:szCs w:val="16"/>
                <w:color w:val="auto"/>
              </w:rPr>
              <w:t>251</w:t>
            </w:r>
          </w:p>
        </w:tc>
        <w:tc>
          <w:tcPr>
            <w:tcW w:w="120" w:type="dxa"/>
            <w:vAlign w:val="bottom"/>
          </w:tcPr>
          <w:p>
            <w:pPr>
              <w:spacing w:after="0"/>
              <w:rPr>
                <w:sz w:val="20"/>
                <w:szCs w:val="20"/>
                <w:color w:val="auto"/>
              </w:rPr>
            </w:pPr>
          </w:p>
        </w:tc>
        <w:tc>
          <w:tcPr>
            <w:tcW w:w="1600" w:type="dxa"/>
            <w:vAlign w:val="bottom"/>
          </w:tcPr>
          <w:p>
            <w:pPr>
              <w:jc w:val="right"/>
              <w:ind w:right="22"/>
              <w:spacing w:after="0"/>
              <w:rPr>
                <w:sz w:val="20"/>
                <w:szCs w:val="20"/>
                <w:color w:val="auto"/>
              </w:rPr>
            </w:pPr>
            <w:r>
              <w:rPr>
                <w:rFonts w:ascii="Arial" w:cs="Arial" w:eastAsia="Arial" w:hAnsi="Arial"/>
                <w:sz w:val="16"/>
                <w:szCs w:val="16"/>
                <w:color w:val="auto"/>
              </w:rPr>
              <w:t>802</w:t>
            </w:r>
          </w:p>
        </w:tc>
        <w:tc>
          <w:tcPr>
            <w:tcW w:w="12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(266)</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22"/>
              <w:spacing w:after="0"/>
              <w:rPr>
                <w:sz w:val="20"/>
                <w:szCs w:val="20"/>
                <w:color w:val="auto"/>
              </w:rPr>
            </w:pPr>
            <w:r>
              <w:rPr>
                <w:rFonts w:ascii="Arial" w:cs="Arial" w:eastAsia="Arial" w:hAnsi="Arial"/>
                <w:sz w:val="16"/>
                <w:szCs w:val="16"/>
                <w:color w:val="auto"/>
              </w:rPr>
              <w:t>787</w:t>
            </w:r>
          </w:p>
        </w:tc>
        <w:tc>
          <w:tcPr>
            <w:tcW w:w="0" w:type="dxa"/>
            <w:vAlign w:val="bottom"/>
          </w:tcPr>
          <w:p>
            <w:pPr>
              <w:spacing w:after="0"/>
              <w:rPr>
                <w:sz w:val="1"/>
                <w:szCs w:val="1"/>
                <w:color w:val="auto"/>
              </w:rPr>
            </w:pPr>
          </w:p>
        </w:tc>
      </w:tr>
      <w:tr>
        <w:trPr>
          <w:trHeight w:val="33"/>
        </w:trPr>
        <w:tc>
          <w:tcPr>
            <w:tcW w:w="4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Nine months ended September 30, 2012</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1,002</w:t>
            </w: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2,616</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(843)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2,775</w:t>
            </w:r>
          </w:p>
        </w:tc>
        <w:tc>
          <w:tcPr>
            <w:tcW w:w="0" w:type="dxa"/>
            <w:vAlign w:val="bottom"/>
          </w:tcPr>
          <w:p>
            <w:pPr>
              <w:spacing w:after="0"/>
              <w:rPr>
                <w:sz w:val="1"/>
                <w:szCs w:val="1"/>
                <w:color w:val="auto"/>
              </w:rPr>
            </w:pPr>
          </w:p>
        </w:tc>
      </w:tr>
      <w:tr>
        <w:trPr>
          <w:trHeight w:val="237"/>
        </w:trPr>
        <w:tc>
          <w:tcPr>
            <w:tcW w:w="4920" w:type="dxa"/>
            <w:vAlign w:val="bottom"/>
            <w:gridSpan w:val="2"/>
          </w:tcPr>
          <w:p>
            <w:pPr>
              <w:ind w:left="40"/>
              <w:spacing w:after="0"/>
              <w:rPr>
                <w:sz w:val="20"/>
                <w:szCs w:val="20"/>
                <w:color w:val="auto"/>
              </w:rPr>
            </w:pPr>
            <w:r>
              <w:rPr>
                <w:rFonts w:ascii="Arial" w:cs="Arial" w:eastAsia="Arial" w:hAnsi="Arial"/>
                <w:sz w:val="16"/>
                <w:szCs w:val="16"/>
                <w:color w:val="auto"/>
              </w:rPr>
              <w:t>Nine months ended September 30, 2011</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(28)</w:t>
            </w:r>
          </w:p>
        </w:tc>
        <w:tc>
          <w:tcPr>
            <w:tcW w:w="120" w:type="dxa"/>
            <w:vAlign w:val="bottom"/>
          </w:tcPr>
          <w:p>
            <w:pPr>
              <w:spacing w:after="0"/>
              <w:rPr>
                <w:sz w:val="20"/>
                <w:szCs w:val="20"/>
                <w:color w:val="auto"/>
              </w:rPr>
            </w:pPr>
          </w:p>
        </w:tc>
        <w:tc>
          <w:tcPr>
            <w:tcW w:w="1600" w:type="dxa"/>
            <w:vAlign w:val="bottom"/>
          </w:tcPr>
          <w:p>
            <w:pPr>
              <w:jc w:val="right"/>
              <w:ind w:right="22"/>
              <w:spacing w:after="0"/>
              <w:rPr>
                <w:sz w:val="20"/>
                <w:szCs w:val="20"/>
                <w:color w:val="auto"/>
              </w:rPr>
            </w:pPr>
            <w:r>
              <w:rPr>
                <w:rFonts w:ascii="Arial" w:cs="Arial" w:eastAsia="Arial" w:hAnsi="Arial"/>
                <w:sz w:val="16"/>
                <w:szCs w:val="16"/>
                <w:color w:val="auto"/>
              </w:rPr>
              <w:t>1,178</w:t>
            </w:r>
          </w:p>
        </w:tc>
        <w:tc>
          <w:tcPr>
            <w:tcW w:w="12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(363)</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22"/>
              <w:spacing w:after="0"/>
              <w:rPr>
                <w:sz w:val="20"/>
                <w:szCs w:val="20"/>
                <w:color w:val="auto"/>
              </w:rPr>
            </w:pPr>
            <w:r>
              <w:rPr>
                <w:rFonts w:ascii="Arial" w:cs="Arial" w:eastAsia="Arial" w:hAnsi="Arial"/>
                <w:sz w:val="16"/>
                <w:szCs w:val="16"/>
                <w:color w:val="auto"/>
              </w:rPr>
              <w:t>787</w:t>
            </w:r>
          </w:p>
        </w:tc>
        <w:tc>
          <w:tcPr>
            <w:tcW w:w="0" w:type="dxa"/>
            <w:vAlign w:val="bottom"/>
          </w:tcPr>
          <w:p>
            <w:pPr>
              <w:spacing w:after="0"/>
              <w:rPr>
                <w:sz w:val="1"/>
                <w:szCs w:val="1"/>
                <w:color w:val="auto"/>
              </w:rPr>
            </w:pPr>
          </w:p>
        </w:tc>
      </w:tr>
    </w:tbl>
    <w:p>
      <w:pPr>
        <w:spacing w:after="0" w:line="23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presents the gross unrealized loss and fair values of our available-for-sale agency securities by length of time that such securities have been in a continuous unrealized loss position as of September 30, 2012 and December 31, 2011 (in millions):</w:t>
      </w:r>
    </w:p>
    <w:p>
      <w:pPr>
        <w:spacing w:after="0" w:line="365" w:lineRule="exact"/>
        <w:rPr>
          <w:sz w:val="20"/>
          <w:szCs w:val="20"/>
          <w:color w:val="auto"/>
        </w:rPr>
      </w:pPr>
    </w:p>
    <w:tbl>
      <w:tblPr>
        <w:tblLayout w:type="fixed"/>
        <w:tblInd w:w="720" w:type="dxa"/>
        <w:tblCellMar>
          <w:top w:w="0" w:type="dxa"/>
          <w:left w:w="0" w:type="dxa"/>
          <w:bottom w:w="0" w:type="dxa"/>
          <w:right w:w="0" w:type="dxa"/>
        </w:tblCellMar>
      </w:tblPr>
      <w:tr>
        <w:trPr>
          <w:trHeight w:val="192"/>
        </w:trPr>
        <w:tc>
          <w:tcPr>
            <w:tcW w:w="2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140" w:type="dxa"/>
            <w:vAlign w:val="bottom"/>
            <w:tcBorders>
              <w:bottom w:val="single" w:sz="8" w:color="auto"/>
            </w:tcBorders>
            <w:gridSpan w:val="5"/>
          </w:tcPr>
          <w:p>
            <w:pPr>
              <w:jc w:val="right"/>
              <w:ind w:right="220"/>
              <w:spacing w:after="0"/>
              <w:rPr>
                <w:sz w:val="20"/>
                <w:szCs w:val="20"/>
                <w:color w:val="auto"/>
              </w:rPr>
            </w:pPr>
            <w:r>
              <w:rPr>
                <w:rFonts w:ascii="Arial" w:cs="Arial" w:eastAsia="Arial" w:hAnsi="Arial"/>
                <w:sz w:val="14"/>
                <w:szCs w:val="14"/>
                <w:b w:val="1"/>
                <w:bCs w:val="1"/>
                <w:color w:val="auto"/>
                <w:w w:val="98"/>
              </w:rPr>
              <w:t>Unrealized Loss Position For</w:t>
            </w:r>
          </w:p>
        </w:tc>
        <w:tc>
          <w:tcPr>
            <w:tcW w:w="1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r>
      <w:tr>
        <w:trPr>
          <w:trHeight w:val="263"/>
        </w:trPr>
        <w:tc>
          <w:tcPr>
            <w:tcW w:w="2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200" w:type="dxa"/>
            <w:vAlign w:val="bottom"/>
            <w:tcBorders>
              <w:bottom w:val="single" w:sz="8" w:color="auto"/>
            </w:tcBorders>
            <w:gridSpan w:val="4"/>
          </w:tcPr>
          <w:p>
            <w:pPr>
              <w:jc w:val="right"/>
              <w:ind w:right="423"/>
              <w:spacing w:after="0"/>
              <w:rPr>
                <w:sz w:val="20"/>
                <w:szCs w:val="20"/>
                <w:color w:val="auto"/>
              </w:rPr>
            </w:pPr>
            <w:r>
              <w:rPr>
                <w:rFonts w:ascii="Arial" w:cs="Arial" w:eastAsia="Arial" w:hAnsi="Arial"/>
                <w:sz w:val="14"/>
                <w:szCs w:val="14"/>
                <w:b w:val="1"/>
                <w:bCs w:val="1"/>
                <w:color w:val="auto"/>
              </w:rPr>
              <w:t>Less than 12 Months</w:t>
            </w: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2040" w:type="dxa"/>
            <w:vAlign w:val="bottom"/>
            <w:tcBorders>
              <w:bottom w:val="single" w:sz="8" w:color="auto"/>
            </w:tcBorders>
            <w:gridSpan w:val="4"/>
          </w:tcPr>
          <w:p>
            <w:pPr>
              <w:jc w:val="right"/>
              <w:ind w:right="423"/>
              <w:spacing w:after="0"/>
              <w:rPr>
                <w:sz w:val="20"/>
                <w:szCs w:val="20"/>
                <w:color w:val="auto"/>
              </w:rPr>
            </w:pPr>
            <w:r>
              <w:rPr>
                <w:rFonts w:ascii="Arial" w:cs="Arial" w:eastAsia="Arial" w:hAnsi="Arial"/>
                <w:sz w:val="14"/>
                <w:szCs w:val="14"/>
                <w:b w:val="1"/>
                <w:bCs w:val="1"/>
                <w:color w:val="auto"/>
              </w:rPr>
              <w:t>12 Months or More</w:t>
            </w: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w w:val="89"/>
              </w:rPr>
              <w:t>Total</w:t>
            </w:r>
          </w:p>
        </w:tc>
        <w:tc>
          <w:tcPr>
            <w:tcW w:w="1020" w:type="dxa"/>
            <w:vAlign w:val="bottom"/>
            <w:tcBorders>
              <w:bottom w:val="single" w:sz="8" w:color="auto"/>
            </w:tcBorders>
          </w:tcPr>
          <w:p>
            <w:pPr>
              <w:spacing w:after="0"/>
              <w:rPr>
                <w:sz w:val="22"/>
                <w:szCs w:val="22"/>
                <w:color w:val="auto"/>
              </w:rPr>
            </w:pPr>
          </w:p>
        </w:tc>
      </w:tr>
      <w:tr>
        <w:trPr>
          <w:trHeight w:val="153"/>
        </w:trPr>
        <w:tc>
          <w:tcPr>
            <w:tcW w:w="27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Agency Securities Classified as</w:t>
            </w:r>
          </w:p>
        </w:tc>
        <w:tc>
          <w:tcPr>
            <w:tcW w:w="100" w:type="dxa"/>
            <w:vAlign w:val="bottom"/>
          </w:tcPr>
          <w:p>
            <w:pPr>
              <w:spacing w:after="0"/>
              <w:rPr>
                <w:sz w:val="13"/>
                <w:szCs w:val="13"/>
                <w:color w:val="auto"/>
              </w:rPr>
            </w:pPr>
          </w:p>
        </w:tc>
        <w:tc>
          <w:tcPr>
            <w:tcW w:w="120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Estimated Fair</w:t>
            </w:r>
          </w:p>
        </w:tc>
        <w:tc>
          <w:tcPr>
            <w:tcW w:w="140" w:type="dxa"/>
            <w:vAlign w:val="bottom"/>
          </w:tcPr>
          <w:p>
            <w:pPr>
              <w:spacing w:after="0"/>
              <w:rPr>
                <w:sz w:val="13"/>
                <w:szCs w:val="13"/>
                <w:color w:val="auto"/>
              </w:rPr>
            </w:pPr>
          </w:p>
        </w:tc>
        <w:tc>
          <w:tcPr>
            <w:tcW w:w="96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Unrealized</w:t>
            </w:r>
          </w:p>
        </w:tc>
        <w:tc>
          <w:tcPr>
            <w:tcW w:w="180" w:type="dxa"/>
            <w:vAlign w:val="bottom"/>
          </w:tcPr>
          <w:p>
            <w:pPr>
              <w:spacing w:after="0"/>
              <w:rPr>
                <w:sz w:val="13"/>
                <w:szCs w:val="13"/>
                <w:color w:val="auto"/>
              </w:rPr>
            </w:pPr>
          </w:p>
        </w:tc>
        <w:tc>
          <w:tcPr>
            <w:tcW w:w="104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Estimated</w:t>
            </w:r>
          </w:p>
        </w:tc>
        <w:tc>
          <w:tcPr>
            <w:tcW w:w="12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Unrealized</w:t>
            </w:r>
          </w:p>
        </w:tc>
        <w:tc>
          <w:tcPr>
            <w:tcW w:w="120" w:type="dxa"/>
            <w:vAlign w:val="bottom"/>
          </w:tcPr>
          <w:p>
            <w:pPr>
              <w:spacing w:after="0"/>
              <w:rPr>
                <w:sz w:val="13"/>
                <w:szCs w:val="13"/>
                <w:color w:val="auto"/>
              </w:rPr>
            </w:pPr>
          </w:p>
        </w:tc>
        <w:tc>
          <w:tcPr>
            <w:tcW w:w="980" w:type="dxa"/>
            <w:vAlign w:val="bottom"/>
          </w:tcPr>
          <w:p>
            <w:pPr>
              <w:jc w:val="right"/>
              <w:spacing w:after="0" w:line="153" w:lineRule="exact"/>
              <w:rPr>
                <w:sz w:val="20"/>
                <w:szCs w:val="20"/>
                <w:color w:val="auto"/>
              </w:rPr>
            </w:pPr>
            <w:r>
              <w:rPr>
                <w:rFonts w:ascii="Arial" w:cs="Arial" w:eastAsia="Arial" w:hAnsi="Arial"/>
                <w:sz w:val="14"/>
                <w:szCs w:val="14"/>
                <w:b w:val="1"/>
                <w:bCs w:val="1"/>
                <w:color w:val="auto"/>
                <w:w w:val="95"/>
              </w:rPr>
              <w:t>Estimated Fair</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jc w:val="right"/>
              <w:ind w:right="203"/>
              <w:spacing w:after="0" w:line="153" w:lineRule="exact"/>
              <w:rPr>
                <w:sz w:val="20"/>
                <w:szCs w:val="20"/>
                <w:color w:val="auto"/>
              </w:rPr>
            </w:pPr>
            <w:r>
              <w:rPr>
                <w:rFonts w:ascii="Arial" w:cs="Arial" w:eastAsia="Arial" w:hAnsi="Arial"/>
                <w:sz w:val="14"/>
                <w:szCs w:val="14"/>
                <w:b w:val="1"/>
                <w:bCs w:val="1"/>
                <w:color w:val="auto"/>
              </w:rPr>
              <w:t>Unrealized</w:t>
            </w:r>
          </w:p>
        </w:tc>
      </w:tr>
      <w:tr>
        <w:trPr>
          <w:trHeight w:val="192"/>
        </w:trPr>
        <w:tc>
          <w:tcPr>
            <w:tcW w:w="26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Available-for-Sale</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364"/>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83"/>
              <w:spacing w:after="0"/>
              <w:rPr>
                <w:sz w:val="20"/>
                <w:szCs w:val="20"/>
                <w:color w:val="auto"/>
              </w:rPr>
            </w:pPr>
            <w:r>
              <w:rPr>
                <w:rFonts w:ascii="Arial" w:cs="Arial" w:eastAsia="Arial" w:hAnsi="Arial"/>
                <w:sz w:val="14"/>
                <w:szCs w:val="14"/>
                <w:b w:val="1"/>
                <w:bCs w:val="1"/>
                <w:color w:val="auto"/>
              </w:rPr>
              <w:t>Loss</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Fair Value</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03"/>
              <w:spacing w:after="0"/>
              <w:rPr>
                <w:sz w:val="20"/>
                <w:szCs w:val="20"/>
                <w:color w:val="auto"/>
              </w:rPr>
            </w:pPr>
            <w:r>
              <w:rPr>
                <w:rFonts w:ascii="Arial" w:cs="Arial" w:eastAsia="Arial" w:hAnsi="Arial"/>
                <w:sz w:val="14"/>
                <w:szCs w:val="14"/>
                <w:b w:val="1"/>
                <w:bCs w:val="1"/>
                <w:color w:val="auto"/>
              </w:rPr>
              <w:t>Loss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263"/>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03"/>
              <w:spacing w:after="0"/>
              <w:rPr>
                <w:sz w:val="20"/>
                <w:szCs w:val="20"/>
                <w:color w:val="auto"/>
              </w:rPr>
            </w:pPr>
            <w:r>
              <w:rPr>
                <w:rFonts w:ascii="Arial" w:cs="Arial" w:eastAsia="Arial" w:hAnsi="Arial"/>
                <w:sz w:val="14"/>
                <w:szCs w:val="14"/>
                <w:b w:val="1"/>
                <w:bCs w:val="1"/>
                <w:color w:val="auto"/>
              </w:rPr>
              <w:t>Loss</w:t>
            </w:r>
          </w:p>
        </w:tc>
      </w:tr>
      <w:tr>
        <w:trPr>
          <w:trHeight w:val="236"/>
        </w:trPr>
        <w:tc>
          <w:tcPr>
            <w:tcW w:w="2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September 30, 2012</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24"/>
              <w:spacing w:after="0"/>
              <w:rPr>
                <w:sz w:val="20"/>
                <w:szCs w:val="20"/>
                <w:color w:val="auto"/>
              </w:rPr>
            </w:pPr>
            <w:r>
              <w:rPr>
                <w:rFonts w:ascii="Arial" w:cs="Arial" w:eastAsia="Arial" w:hAnsi="Arial"/>
                <w:sz w:val="16"/>
                <w:szCs w:val="16"/>
                <w:color w:val="auto"/>
              </w:rPr>
              <w:t>436</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gridSpan w:val="2"/>
            <w:shd w:val="clear" w:color="auto" w:fill="CCEEFF"/>
          </w:tcPr>
          <w:p>
            <w:pPr>
              <w:ind w:left="6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436</w:t>
            </w:r>
          </w:p>
        </w:tc>
        <w:tc>
          <w:tcPr>
            <w:tcW w:w="400" w:type="dxa"/>
            <w:vAlign w:val="bottom"/>
            <w:tcBorders>
              <w:bottom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r>
      <w:tr>
        <w:trPr>
          <w:trHeight w:val="237"/>
        </w:trPr>
        <w:tc>
          <w:tcPr>
            <w:tcW w:w="2780" w:type="dxa"/>
            <w:vAlign w:val="bottom"/>
            <w:gridSpan w:val="2"/>
          </w:tcPr>
          <w:p>
            <w:pPr>
              <w:ind w:left="20"/>
              <w:spacing w:after="0"/>
              <w:rPr>
                <w:sz w:val="20"/>
                <w:szCs w:val="20"/>
                <w:color w:val="auto"/>
              </w:rPr>
            </w:pPr>
            <w:r>
              <w:rPr>
                <w:rFonts w:ascii="Arial" w:cs="Arial" w:eastAsia="Arial" w:hAnsi="Arial"/>
                <w:sz w:val="16"/>
                <w:szCs w:val="16"/>
                <w:color w:val="auto"/>
              </w:rPr>
              <w:t>December 31, 2011</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4"/>
              <w:spacing w:after="0"/>
              <w:rPr>
                <w:sz w:val="20"/>
                <w:szCs w:val="20"/>
                <w:color w:val="auto"/>
              </w:rPr>
            </w:pPr>
            <w:r>
              <w:rPr>
                <w:rFonts w:ascii="Arial" w:cs="Arial" w:eastAsia="Arial" w:hAnsi="Arial"/>
                <w:sz w:val="16"/>
                <w:szCs w:val="16"/>
                <w:color w:val="auto"/>
              </w:rPr>
              <w:t>1,135</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(6)</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040" w:type="dxa"/>
            <w:vAlign w:val="bottom"/>
            <w:gridSpan w:val="2"/>
          </w:tcPr>
          <w:p>
            <w:pPr>
              <w:ind w:left="66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1,135</w:t>
            </w:r>
          </w:p>
        </w:tc>
        <w:tc>
          <w:tcPr>
            <w:tcW w:w="400" w:type="dxa"/>
            <w:vAlign w:val="bottom"/>
            <w:gridSpan w:val="3"/>
          </w:tcPr>
          <w:p>
            <w:pPr>
              <w:jc w:val="right"/>
              <w:ind w:right="80"/>
              <w:spacing w:after="0"/>
              <w:rPr>
                <w:sz w:val="20"/>
                <w:szCs w:val="20"/>
                <w:color w:val="auto"/>
              </w:rPr>
            </w:pPr>
            <w:r>
              <w:rPr>
                <w:rFonts w:ascii="Arial" w:cs="Arial" w:eastAsia="Arial" w:hAnsi="Arial"/>
                <w:sz w:val="16"/>
                <w:szCs w:val="16"/>
                <w:color w:val="auto"/>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(6)</w:t>
            </w:r>
          </w:p>
        </w:tc>
      </w:tr>
    </w:tbl>
    <w:p>
      <w:pPr>
        <w:spacing w:after="0" w:line="235" w:lineRule="exact"/>
        <w:rPr>
          <w:sz w:val="20"/>
          <w:szCs w:val="20"/>
          <w:color w:val="auto"/>
        </w:rPr>
      </w:pPr>
    </w:p>
    <w:p>
      <w:pPr>
        <w:jc w:val="both"/>
        <w:ind w:firstLine="486"/>
        <w:spacing w:after="0" w:line="312" w:lineRule="auto"/>
        <w:rPr>
          <w:sz w:val="20"/>
          <w:szCs w:val="20"/>
          <w:color w:val="auto"/>
        </w:rPr>
      </w:pPr>
      <w:r>
        <w:rPr>
          <w:rFonts w:ascii="Arial" w:cs="Arial" w:eastAsia="Arial" w:hAnsi="Arial"/>
          <w:sz w:val="16"/>
          <w:szCs w:val="16"/>
          <w:color w:val="auto"/>
        </w:rPr>
        <w:t>As of September 30, 2012, we did not intend to sell any of these agency securities and we do not believe it is more likely than not we will be required to sell the agency securities before recovery of their amortized cost basis. The unrealized losses on these agency securities are not due to credit losses given the government-sponsored entity or government guarantees, but are rather due to changes in interest rates and prepayment expectations.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Gains and Losses</w:t>
      </w:r>
    </w:p>
    <w:p>
      <w:pPr>
        <w:spacing w:after="0" w:line="90"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is a summary of our net gain from the sale of agency MBS for the three and nine months ended September 30, 2012 and 2011 (in millions):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022" w:right="2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10"/>
        </w:trPr>
        <w:tc>
          <w:tcPr>
            <w:tcW w:w="5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60" w:type="dxa"/>
            <w:vAlign w:val="bottom"/>
            <w:gridSpan w:val="5"/>
          </w:tcPr>
          <w:p>
            <w:pPr>
              <w:ind w:left="580"/>
              <w:spacing w:after="0"/>
              <w:rPr>
                <w:sz w:val="20"/>
                <w:szCs w:val="20"/>
                <w:color w:val="auto"/>
              </w:rPr>
            </w:pPr>
            <w:r>
              <w:rPr>
                <w:rFonts w:ascii="Arial" w:cs="Arial" w:eastAsia="Arial" w:hAnsi="Arial"/>
                <w:sz w:val="16"/>
                <w:szCs w:val="16"/>
                <w:b w:val="1"/>
                <w:bCs w:val="1"/>
                <w:color w:val="auto"/>
              </w:rPr>
              <w:t>Three Months Ended</w:t>
            </w:r>
          </w:p>
        </w:tc>
        <w:tc>
          <w:tcPr>
            <w:tcW w:w="140" w:type="dxa"/>
            <w:vAlign w:val="bottom"/>
          </w:tcPr>
          <w:p>
            <w:pPr>
              <w:spacing w:after="0"/>
              <w:rPr>
                <w:sz w:val="18"/>
                <w:szCs w:val="18"/>
                <w:color w:val="auto"/>
              </w:rPr>
            </w:pPr>
          </w:p>
        </w:tc>
        <w:tc>
          <w:tcPr>
            <w:tcW w:w="2660" w:type="dxa"/>
            <w:vAlign w:val="bottom"/>
            <w:gridSpan w:val="4"/>
          </w:tcPr>
          <w:p>
            <w:pPr>
              <w:jc w:val="right"/>
              <w:ind w:right="619"/>
              <w:spacing w:after="0"/>
              <w:rPr>
                <w:sz w:val="20"/>
                <w:szCs w:val="20"/>
                <w:color w:val="auto"/>
              </w:rPr>
            </w:pPr>
            <w:r>
              <w:rPr>
                <w:rFonts w:ascii="Arial" w:cs="Arial" w:eastAsia="Arial" w:hAnsi="Arial"/>
                <w:sz w:val="16"/>
                <w:szCs w:val="16"/>
                <w:b w:val="1"/>
                <w:bCs w:val="1"/>
                <w:color w:val="auto"/>
              </w:rPr>
              <w:t>Nine Months Ended</w:t>
            </w:r>
          </w:p>
        </w:tc>
        <w:tc>
          <w:tcPr>
            <w:tcW w:w="0" w:type="dxa"/>
            <w:vAlign w:val="bottom"/>
          </w:tcPr>
          <w:p>
            <w:pPr>
              <w:spacing w:after="0"/>
              <w:rPr>
                <w:sz w:val="1"/>
                <w:szCs w:val="1"/>
                <w:color w:val="auto"/>
              </w:rPr>
            </w:pPr>
          </w:p>
        </w:tc>
      </w:tr>
      <w:tr>
        <w:trPr>
          <w:trHeight w:val="33"/>
        </w:trPr>
        <w:tc>
          <w:tcPr>
            <w:tcW w:w="56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5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gridSpan w:val="2"/>
          </w:tcPr>
          <w:p>
            <w:pPr>
              <w:ind w:left="60"/>
              <w:spacing w:after="0"/>
              <w:rPr>
                <w:sz w:val="20"/>
                <w:szCs w:val="20"/>
                <w:color w:val="auto"/>
              </w:rPr>
            </w:pPr>
            <w:r>
              <w:rPr>
                <w:rFonts w:ascii="Arial" w:cs="Arial" w:eastAsia="Arial" w:hAnsi="Arial"/>
                <w:sz w:val="16"/>
                <w:szCs w:val="16"/>
                <w:b w:val="1"/>
                <w:bCs w:val="1"/>
                <w:color w:val="auto"/>
              </w:rPr>
              <w:t>September 30,</w:t>
            </w:r>
          </w:p>
        </w:tc>
        <w:tc>
          <w:tcPr>
            <w:tcW w:w="160" w:type="dxa"/>
            <w:vAlign w:val="bottom"/>
          </w:tcPr>
          <w:p>
            <w:pPr>
              <w:spacing w:after="0"/>
              <w:rPr>
                <w:sz w:val="18"/>
                <w:szCs w:val="18"/>
                <w:color w:val="auto"/>
              </w:rPr>
            </w:pPr>
          </w:p>
        </w:tc>
        <w:tc>
          <w:tcPr>
            <w:tcW w:w="1340" w:type="dxa"/>
            <w:vAlign w:val="bottom"/>
            <w:gridSpan w:val="2"/>
          </w:tcPr>
          <w:p>
            <w:pPr>
              <w:ind w:left="40"/>
              <w:spacing w:after="0"/>
              <w:rPr>
                <w:sz w:val="20"/>
                <w:szCs w:val="20"/>
                <w:color w:val="auto"/>
              </w:rPr>
            </w:pPr>
            <w:r>
              <w:rPr>
                <w:rFonts w:ascii="Arial" w:cs="Arial" w:eastAsia="Arial" w:hAnsi="Arial"/>
                <w:sz w:val="16"/>
                <w:szCs w:val="16"/>
                <w:b w:val="1"/>
                <w:bCs w:val="1"/>
                <w:color w:val="auto"/>
              </w:rPr>
              <w:t>September 30,</w:t>
            </w:r>
          </w:p>
        </w:tc>
        <w:tc>
          <w:tcPr>
            <w:tcW w:w="140" w:type="dxa"/>
            <w:vAlign w:val="bottom"/>
          </w:tcPr>
          <w:p>
            <w:pPr>
              <w:spacing w:after="0"/>
              <w:rPr>
                <w:sz w:val="18"/>
                <w:szCs w:val="18"/>
                <w:color w:val="auto"/>
              </w:rPr>
            </w:pPr>
          </w:p>
        </w:tc>
        <w:tc>
          <w:tcPr>
            <w:tcW w:w="1300" w:type="dxa"/>
            <w:vAlign w:val="bottom"/>
            <w:gridSpan w:val="2"/>
          </w:tcPr>
          <w:p>
            <w:pPr>
              <w:ind w:left="40"/>
              <w:spacing w:after="0"/>
              <w:rPr>
                <w:sz w:val="20"/>
                <w:szCs w:val="20"/>
                <w:color w:val="auto"/>
              </w:rPr>
            </w:pPr>
            <w:r>
              <w:rPr>
                <w:rFonts w:ascii="Arial" w:cs="Arial" w:eastAsia="Arial" w:hAnsi="Arial"/>
                <w:sz w:val="16"/>
                <w:szCs w:val="16"/>
                <w:b w:val="1"/>
                <w:bCs w:val="1"/>
                <w:color w:val="auto"/>
              </w:rPr>
              <w:t>September 30,</w:t>
            </w:r>
          </w:p>
        </w:tc>
        <w:tc>
          <w:tcPr>
            <w:tcW w:w="160" w:type="dxa"/>
            <w:vAlign w:val="bottom"/>
          </w:tcPr>
          <w:p>
            <w:pPr>
              <w:spacing w:after="0"/>
              <w:rPr>
                <w:sz w:val="18"/>
                <w:szCs w:val="18"/>
                <w:color w:val="auto"/>
              </w:rPr>
            </w:pPr>
          </w:p>
        </w:tc>
        <w:tc>
          <w:tcPr>
            <w:tcW w:w="1200" w:type="dxa"/>
            <w:vAlign w:val="bottom"/>
          </w:tcPr>
          <w:p>
            <w:pPr>
              <w:jc w:val="right"/>
              <w:ind w:right="99"/>
              <w:spacing w:after="0"/>
              <w:rPr>
                <w:sz w:val="20"/>
                <w:szCs w:val="20"/>
                <w:color w:val="auto"/>
              </w:rPr>
            </w:pPr>
            <w:r>
              <w:rPr>
                <w:rFonts w:ascii="Arial" w:cs="Arial" w:eastAsia="Arial" w:hAnsi="Arial"/>
                <w:sz w:val="16"/>
                <w:szCs w:val="16"/>
                <w:b w:val="1"/>
                <w:bCs w:val="1"/>
                <w:color w:val="auto"/>
                <w:w w:val="91"/>
              </w:rPr>
              <w:t>September 30,</w:t>
            </w:r>
          </w:p>
        </w:tc>
        <w:tc>
          <w:tcPr>
            <w:tcW w:w="0" w:type="dxa"/>
            <w:vAlign w:val="bottom"/>
          </w:tcPr>
          <w:p>
            <w:pPr>
              <w:spacing w:after="0"/>
              <w:rPr>
                <w:sz w:val="1"/>
                <w:szCs w:val="1"/>
                <w:color w:val="auto"/>
              </w:rPr>
            </w:pPr>
          </w:p>
        </w:tc>
      </w:tr>
      <w:tr>
        <w:trPr>
          <w:trHeight w:val="237"/>
        </w:trPr>
        <w:tc>
          <w:tcPr>
            <w:tcW w:w="56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Agency MBS</w:t>
            </w:r>
          </w:p>
        </w:tc>
        <w:tc>
          <w:tcPr>
            <w:tcW w:w="14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439"/>
              <w:spacing w:after="0"/>
              <w:rPr>
                <w:sz w:val="20"/>
                <w:szCs w:val="20"/>
                <w:color w:val="auto"/>
              </w:rPr>
            </w:pPr>
            <w:r>
              <w:rPr>
                <w:rFonts w:ascii="Arial" w:cs="Arial" w:eastAsia="Arial" w:hAnsi="Arial"/>
                <w:sz w:val="16"/>
                <w:szCs w:val="16"/>
                <w:b w:val="1"/>
                <w:bCs w:val="1"/>
                <w:color w:val="auto"/>
              </w:rPr>
              <w:t>2012</w:t>
            </w:r>
          </w:p>
        </w:tc>
        <w:tc>
          <w:tcPr>
            <w:tcW w:w="12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439"/>
              <w:spacing w:after="0"/>
              <w:rPr>
                <w:sz w:val="20"/>
                <w:szCs w:val="20"/>
                <w:color w:val="auto"/>
              </w:rPr>
            </w:pPr>
            <w:r>
              <w:rPr>
                <w:rFonts w:ascii="Arial" w:cs="Arial" w:eastAsia="Arial" w:hAnsi="Arial"/>
                <w:sz w:val="16"/>
                <w:szCs w:val="16"/>
                <w:b w:val="1"/>
                <w:bCs w:val="1"/>
                <w:color w:val="auto"/>
              </w:rPr>
              <w:t>2011</w:t>
            </w:r>
          </w:p>
        </w:tc>
        <w:tc>
          <w:tcPr>
            <w:tcW w:w="12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439"/>
              <w:spacing w:after="0"/>
              <w:rPr>
                <w:sz w:val="20"/>
                <w:szCs w:val="20"/>
                <w:color w:val="auto"/>
              </w:rPr>
            </w:pPr>
            <w:r>
              <w:rPr>
                <w:rFonts w:ascii="Arial" w:cs="Arial" w:eastAsia="Arial" w:hAnsi="Arial"/>
                <w:sz w:val="16"/>
                <w:szCs w:val="16"/>
                <w:b w:val="1"/>
                <w:bCs w:val="1"/>
                <w:color w:val="auto"/>
              </w:rPr>
              <w:t>2012</w:t>
            </w:r>
          </w:p>
        </w:tc>
        <w:tc>
          <w:tcPr>
            <w:tcW w:w="1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439"/>
              <w:spacing w:after="0"/>
              <w:rPr>
                <w:sz w:val="20"/>
                <w:szCs w:val="20"/>
                <w:color w:val="auto"/>
              </w:rPr>
            </w:pPr>
            <w:r>
              <w:rPr>
                <w:rFonts w:ascii="Arial" w:cs="Arial" w:eastAsia="Arial" w:hAnsi="Arial"/>
                <w:sz w:val="16"/>
                <w:szCs w:val="16"/>
                <w:b w:val="1"/>
                <w:bCs w:val="1"/>
                <w:color w:val="auto"/>
              </w:rPr>
              <w:t>2011</w:t>
            </w:r>
          </w:p>
        </w:tc>
        <w:tc>
          <w:tcPr>
            <w:tcW w:w="0" w:type="dxa"/>
            <w:vAlign w:val="bottom"/>
          </w:tcPr>
          <w:p>
            <w:pPr>
              <w:spacing w:after="0"/>
              <w:rPr>
                <w:sz w:val="1"/>
                <w:szCs w:val="1"/>
                <w:color w:val="auto"/>
              </w:rPr>
            </w:pPr>
          </w:p>
        </w:tc>
      </w:tr>
      <w:tr>
        <w:trPr>
          <w:trHeight w:val="236"/>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Agency MBS sold, at cost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(10,172)</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(14,046)</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(45,258)</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(26,429)</w:t>
            </w:r>
          </w:p>
        </w:tc>
        <w:tc>
          <w:tcPr>
            <w:tcW w:w="0" w:type="dxa"/>
            <w:vAlign w:val="bottom"/>
          </w:tcPr>
          <w:p>
            <w:pPr>
              <w:spacing w:after="0"/>
              <w:rPr>
                <w:sz w:val="1"/>
                <w:szCs w:val="1"/>
                <w:color w:val="auto"/>
              </w:rPr>
            </w:pPr>
          </w:p>
        </w:tc>
      </w:tr>
      <w:tr>
        <w:trPr>
          <w:trHeight w:val="270"/>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 xml:space="preserve">Proceeds from agency MBS sold </w:t>
            </w:r>
            <w:r>
              <w:rPr>
                <w:rFonts w:ascii="Arial" w:cs="Arial" w:eastAsia="Arial" w:hAnsi="Arial"/>
                <w:sz w:val="21"/>
                <w:szCs w:val="21"/>
                <w:color w:val="auto"/>
                <w:vertAlign w:val="superscript"/>
              </w:rPr>
              <w:t>(1)</w:t>
            </w:r>
          </w:p>
        </w:tc>
        <w:tc>
          <w:tcPr>
            <w:tcW w:w="140" w:type="dxa"/>
            <w:vAlign w:val="bottom"/>
            <w:tcBorders>
              <w:bottom w:val="single" w:sz="8" w:color="auto"/>
            </w:tcBorders>
          </w:tcPr>
          <w:p>
            <w:pPr>
              <w:spacing w:after="0"/>
              <w:rPr>
                <w:sz w:val="23"/>
                <w:szCs w:val="23"/>
                <w:color w:val="auto"/>
              </w:rPr>
            </w:pPr>
          </w:p>
        </w:tc>
        <w:tc>
          <w:tcPr>
            <w:tcW w:w="1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10,382</w:t>
            </w:r>
          </w:p>
        </w:tc>
        <w:tc>
          <w:tcPr>
            <w:tcW w:w="12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14,309</w:t>
            </w:r>
          </w:p>
        </w:tc>
        <w:tc>
          <w:tcPr>
            <w:tcW w:w="12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46,101</w:t>
            </w:r>
          </w:p>
        </w:tc>
        <w:tc>
          <w:tcPr>
            <w:tcW w:w="10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26,790</w:t>
            </w:r>
          </w:p>
        </w:tc>
        <w:tc>
          <w:tcPr>
            <w:tcW w:w="0" w:type="dxa"/>
            <w:vAlign w:val="bottom"/>
          </w:tcPr>
          <w:p>
            <w:pPr>
              <w:spacing w:after="0"/>
              <w:rPr>
                <w:sz w:val="1"/>
                <w:szCs w:val="1"/>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gains on sale of agency MBS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210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263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843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361</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5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Gross gains on sale of agency MBS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855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377</w:t>
            </w:r>
          </w:p>
        </w:tc>
        <w:tc>
          <w:tcPr>
            <w:tcW w:w="0" w:type="dxa"/>
            <w:vAlign w:val="bottom"/>
          </w:tcPr>
          <w:p>
            <w:pPr>
              <w:spacing w:after="0"/>
              <w:rPr>
                <w:sz w:val="1"/>
                <w:szCs w:val="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6"/>
                <w:szCs w:val="16"/>
                <w:color w:val="auto"/>
              </w:rPr>
              <w:t>Gross losses on sale of agency MBS</w:t>
            </w:r>
          </w:p>
        </w:tc>
        <w:tc>
          <w:tcPr>
            <w:tcW w:w="140" w:type="dxa"/>
            <w:vAlign w:val="bottom"/>
          </w:tcPr>
          <w:p>
            <w:pPr>
              <w:spacing w:after="0"/>
              <w:rPr>
                <w:sz w:val="20"/>
                <w:szCs w:val="20"/>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(16)</w:t>
            </w:r>
          </w:p>
        </w:tc>
        <w:tc>
          <w:tcPr>
            <w:tcW w:w="0" w:type="dxa"/>
            <w:vAlign w:val="bottom"/>
          </w:tcPr>
          <w:p>
            <w:pPr>
              <w:spacing w:after="0"/>
              <w:rPr>
                <w:sz w:val="1"/>
                <w:szCs w:val="1"/>
                <w:color w:val="auto"/>
              </w:rPr>
            </w:pPr>
          </w:p>
        </w:tc>
      </w:tr>
      <w:tr>
        <w:trPr>
          <w:trHeight w:val="33"/>
        </w:trPr>
        <w:tc>
          <w:tcPr>
            <w:tcW w:w="56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gains on sale of agency MBS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210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263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843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361</w:t>
            </w:r>
          </w:p>
        </w:tc>
        <w:tc>
          <w:tcPr>
            <w:tcW w:w="0" w:type="dxa"/>
            <w:vAlign w:val="bottom"/>
          </w:tcPr>
          <w:p>
            <w:pPr>
              <w:spacing w:after="0"/>
              <w:rPr>
                <w:sz w:val="1"/>
                <w:szCs w:val="1"/>
                <w:color w:val="auto"/>
              </w:rPr>
            </w:pPr>
          </w:p>
        </w:tc>
      </w:tr>
      <w:tr>
        <w:trPr>
          <w:trHeight w:val="20"/>
        </w:trPr>
        <w:tc>
          <w:tcPr>
            <w:tcW w:w="5620" w:type="dxa"/>
            <w:vAlign w:val="bottom"/>
            <w:vMerge w:val="restart"/>
          </w:tcPr>
          <w:p>
            <w:pPr>
              <w:ind w:left="100"/>
              <w:spacing w:after="0"/>
              <w:rPr>
                <w:sz w:val="20"/>
                <w:szCs w:val="20"/>
                <w:color w:val="auto"/>
              </w:rPr>
            </w:pPr>
            <w:r>
              <w:rPr>
                <w:rFonts w:ascii="Arial" w:cs="Arial" w:eastAsia="Arial" w:hAnsi="Arial"/>
                <w:sz w:val="18"/>
                <w:szCs w:val="18"/>
                <w:color w:val="auto"/>
              </w:rPr>
              <w:t>________________________</w:t>
            </w: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6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agency MBS sold during the period as of period end.</w:t>
      </w:r>
    </w:p>
    <w:p>
      <w:pPr>
        <w:spacing w:after="0" w:line="210"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For the three and nine months ended September 30, 2012, we recognized an unrealized gain of $20 million and $19 million, respectively, and for the three and nine months ended September 30, 2011, we recognized an unrealized gain of $28 million and $24 million, respectively, in gain (loss) on derivative instruments and other securities, net in our consolidated statements of comprehensive income for the change in value of investments in interest-only and principal-only agency MBS strips, net of prior period reversals. For the three and nine months ended September 30, 2012, we recognized no realized gain or loss, and for the three and nine months ended September 30, 2011, we recognized a realized loss of $3 million in gain on sale of agency securities, net, in our consolidated statements of operations and comprehensive income for the sales of interest-only and principal-only securities.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Pledged Assets</w:t>
      </w:r>
    </w:p>
    <w:p>
      <w:pPr>
        <w:spacing w:after="0" w:line="90"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following tables summarize our assets pledged as collateral under repurchase agreements, debt of consolidated VIEs, derivative agreements and prime broker agreements by type, including securities pledged related to securities sold but not yet settled, as of September 30, 2012 and December 31, 2011 (in millions):</w:t>
      </w:r>
    </w:p>
    <w:p>
      <w:pPr>
        <w:spacing w:after="0" w:line="141" w:lineRule="exact"/>
        <w:rPr>
          <w:sz w:val="20"/>
          <w:szCs w:val="20"/>
          <w:color w:val="auto"/>
        </w:rPr>
      </w:pPr>
    </w:p>
    <w:tbl>
      <w:tblPr>
        <w:tblLayout w:type="fixed"/>
        <w:tblInd w:w="360" w:type="dxa"/>
        <w:tblCellMar>
          <w:top w:w="0" w:type="dxa"/>
          <w:left w:w="0" w:type="dxa"/>
          <w:bottom w:w="0" w:type="dxa"/>
          <w:right w:w="0" w:type="dxa"/>
        </w:tblCellMar>
      </w:tblPr>
      <w:tr>
        <w:trPr>
          <w:trHeight w:val="210"/>
        </w:trPr>
        <w:tc>
          <w:tcPr>
            <w:tcW w:w="3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500" w:type="dxa"/>
            <w:vAlign w:val="bottom"/>
            <w:gridSpan w:val="4"/>
          </w:tcPr>
          <w:p>
            <w:pPr>
              <w:ind w:left="120"/>
              <w:spacing w:after="0"/>
              <w:rPr>
                <w:sz w:val="20"/>
                <w:szCs w:val="20"/>
                <w:color w:val="auto"/>
              </w:rPr>
            </w:pPr>
            <w:r>
              <w:rPr>
                <w:rFonts w:ascii="Arial" w:cs="Arial" w:eastAsia="Arial" w:hAnsi="Arial"/>
                <w:sz w:val="16"/>
                <w:szCs w:val="16"/>
                <w:b w:val="1"/>
                <w:bCs w:val="1"/>
                <w:color w:val="auto"/>
                <w:w w:val="90"/>
              </w:rPr>
              <w:t>September 30, 2012</w:t>
            </w: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33"/>
        </w:trPr>
        <w:tc>
          <w:tcPr>
            <w:tcW w:w="3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9"/>
        </w:trPr>
        <w:tc>
          <w:tcPr>
            <w:tcW w:w="3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jc w:val="center"/>
              <w:ind w:right="59"/>
              <w:spacing w:after="0"/>
              <w:rPr>
                <w:sz w:val="20"/>
                <w:szCs w:val="20"/>
                <w:color w:val="auto"/>
              </w:rPr>
            </w:pPr>
            <w:r>
              <w:rPr>
                <w:rFonts w:ascii="Arial" w:cs="Arial" w:eastAsia="Arial" w:hAnsi="Arial"/>
                <w:sz w:val="16"/>
                <w:szCs w:val="16"/>
                <w:b w:val="1"/>
                <w:bCs w:val="1"/>
                <w:color w:val="auto"/>
                <w:w w:val="90"/>
              </w:rPr>
              <w:t>Debt of</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03"/>
        </w:trPr>
        <w:tc>
          <w:tcPr>
            <w:tcW w:w="3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60" w:type="dxa"/>
            <w:vAlign w:val="bottom"/>
            <w:gridSpan w:val="2"/>
          </w:tcPr>
          <w:p>
            <w:pPr>
              <w:ind w:left="80"/>
              <w:spacing w:after="0"/>
              <w:rPr>
                <w:sz w:val="20"/>
                <w:szCs w:val="20"/>
                <w:color w:val="auto"/>
              </w:rPr>
            </w:pPr>
            <w:r>
              <w:rPr>
                <w:rFonts w:ascii="Arial" w:cs="Arial" w:eastAsia="Arial" w:hAnsi="Arial"/>
                <w:sz w:val="16"/>
                <w:szCs w:val="16"/>
                <w:b w:val="1"/>
                <w:bCs w:val="1"/>
                <w:color w:val="auto"/>
              </w:rPr>
              <w:t>Repurchase</w:t>
            </w:r>
          </w:p>
        </w:tc>
        <w:tc>
          <w:tcPr>
            <w:tcW w:w="140" w:type="dxa"/>
            <w:vAlign w:val="bottom"/>
          </w:tcPr>
          <w:p>
            <w:pPr>
              <w:spacing w:after="0"/>
              <w:rPr>
                <w:sz w:val="17"/>
                <w:szCs w:val="17"/>
                <w:color w:val="auto"/>
              </w:rPr>
            </w:pPr>
          </w:p>
        </w:tc>
        <w:tc>
          <w:tcPr>
            <w:tcW w:w="1120" w:type="dxa"/>
            <w:vAlign w:val="bottom"/>
          </w:tcPr>
          <w:p>
            <w:pPr>
              <w:jc w:val="center"/>
              <w:ind w:right="59"/>
              <w:spacing w:after="0"/>
              <w:rPr>
                <w:sz w:val="20"/>
                <w:szCs w:val="20"/>
                <w:color w:val="auto"/>
              </w:rPr>
            </w:pPr>
            <w:r>
              <w:rPr>
                <w:rFonts w:ascii="Arial" w:cs="Arial" w:eastAsia="Arial" w:hAnsi="Arial"/>
                <w:sz w:val="16"/>
                <w:szCs w:val="16"/>
                <w:b w:val="1"/>
                <w:bCs w:val="1"/>
                <w:color w:val="auto"/>
                <w:w w:val="88"/>
              </w:rPr>
              <w:t>Consolidated</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4"/>
              </w:rPr>
              <w:t>Derivative</w:t>
            </w:r>
          </w:p>
        </w:tc>
        <w:tc>
          <w:tcPr>
            <w:tcW w:w="160" w:type="dxa"/>
            <w:vAlign w:val="bottom"/>
          </w:tcPr>
          <w:p>
            <w:pPr>
              <w:spacing w:after="0"/>
              <w:rPr>
                <w:sz w:val="17"/>
                <w:szCs w:val="17"/>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5"/>
              </w:rPr>
              <w:t>Prime Broker</w:t>
            </w: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10"/>
        </w:trPr>
        <w:tc>
          <w:tcPr>
            <w:tcW w:w="3760" w:type="dxa"/>
            <w:vAlign w:val="bottom"/>
            <w:gridSpan w:val="2"/>
          </w:tcPr>
          <w:p>
            <w:pPr>
              <w:ind w:left="20"/>
              <w:spacing w:after="0"/>
              <w:rPr>
                <w:sz w:val="20"/>
                <w:szCs w:val="20"/>
                <w:color w:val="auto"/>
              </w:rPr>
            </w:pPr>
            <w:r>
              <w:rPr>
                <w:rFonts w:ascii="Arial" w:cs="Arial" w:eastAsia="Arial" w:hAnsi="Arial"/>
                <w:sz w:val="16"/>
                <w:szCs w:val="16"/>
                <w:b w:val="1"/>
                <w:bCs w:val="1"/>
                <w:color w:val="auto"/>
              </w:rPr>
              <w:t>Assets Pledged</w:t>
            </w:r>
          </w:p>
        </w:tc>
        <w:tc>
          <w:tcPr>
            <w:tcW w:w="18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6"/>
                <w:szCs w:val="16"/>
                <w:b w:val="1"/>
                <w:bCs w:val="1"/>
                <w:color w:val="auto"/>
              </w:rPr>
              <w:t>Agreements</w:t>
            </w:r>
          </w:p>
        </w:tc>
        <w:tc>
          <w:tcPr>
            <w:tcW w:w="140" w:type="dxa"/>
            <w:vAlign w:val="bottom"/>
          </w:tcPr>
          <w:p>
            <w:pPr>
              <w:spacing w:after="0"/>
              <w:rPr>
                <w:sz w:val="18"/>
                <w:szCs w:val="18"/>
                <w:color w:val="auto"/>
              </w:rPr>
            </w:pPr>
          </w:p>
        </w:tc>
        <w:tc>
          <w:tcPr>
            <w:tcW w:w="1120" w:type="dxa"/>
            <w:vAlign w:val="bottom"/>
          </w:tcPr>
          <w:p>
            <w:pPr>
              <w:jc w:val="center"/>
              <w:ind w:right="59"/>
              <w:spacing w:after="0"/>
              <w:rPr>
                <w:sz w:val="20"/>
                <w:szCs w:val="20"/>
                <w:color w:val="auto"/>
              </w:rPr>
            </w:pPr>
            <w:r>
              <w:rPr>
                <w:rFonts w:ascii="Arial" w:cs="Arial" w:eastAsia="Arial" w:hAnsi="Arial"/>
                <w:sz w:val="16"/>
                <w:szCs w:val="16"/>
                <w:b w:val="1"/>
                <w:bCs w:val="1"/>
                <w:color w:val="auto"/>
                <w:w w:val="97"/>
              </w:rPr>
              <w:t>VIEs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88"/>
              </w:rPr>
              <w:t>Agreements</w:t>
            </w: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88"/>
              </w:rPr>
              <w:t>Agreements</w:t>
            </w:r>
          </w:p>
        </w:tc>
        <w:tc>
          <w:tcPr>
            <w:tcW w:w="280" w:type="dxa"/>
            <w:vAlign w:val="bottom"/>
          </w:tcPr>
          <w:p>
            <w:pPr>
              <w:spacing w:after="0"/>
              <w:rPr>
                <w:sz w:val="18"/>
                <w:szCs w:val="18"/>
                <w:color w:val="auto"/>
              </w:rPr>
            </w:pPr>
          </w:p>
        </w:tc>
        <w:tc>
          <w:tcPr>
            <w:tcW w:w="980" w:type="dxa"/>
            <w:vAlign w:val="bottom"/>
          </w:tcPr>
          <w:p>
            <w:pPr>
              <w:jc w:val="right"/>
              <w:ind w:right="359"/>
              <w:spacing w:after="0"/>
              <w:rPr>
                <w:sz w:val="20"/>
                <w:szCs w:val="20"/>
                <w:color w:val="auto"/>
              </w:rPr>
            </w:pPr>
            <w:r>
              <w:rPr>
                <w:rFonts w:ascii="Arial" w:cs="Arial" w:eastAsia="Arial" w:hAnsi="Arial"/>
                <w:sz w:val="16"/>
                <w:szCs w:val="16"/>
                <w:b w:val="1"/>
                <w:bCs w:val="1"/>
                <w:color w:val="auto"/>
              </w:rPr>
              <w:t>Total</w:t>
            </w:r>
          </w:p>
        </w:tc>
      </w:tr>
      <w:tr>
        <w:trPr>
          <w:trHeight w:val="33"/>
        </w:trPr>
        <w:tc>
          <w:tcPr>
            <w:tcW w:w="3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0"/>
        </w:trPr>
        <w:tc>
          <w:tcPr>
            <w:tcW w:w="3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Agency MBS - fair value</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83,654</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1,620</w:t>
            </w:r>
          </w:p>
        </w:tc>
        <w:tc>
          <w:tcPr>
            <w:tcW w:w="2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1,255</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157</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86,686</w:t>
            </w:r>
          </w:p>
        </w:tc>
      </w:tr>
      <w:tr>
        <w:trPr>
          <w:trHeight w:val="237"/>
        </w:trPr>
        <w:tc>
          <w:tcPr>
            <w:tcW w:w="3760" w:type="dxa"/>
            <w:vAlign w:val="bottom"/>
            <w:gridSpan w:val="2"/>
          </w:tcPr>
          <w:p>
            <w:pPr>
              <w:ind w:left="20"/>
              <w:spacing w:after="0"/>
              <w:rPr>
                <w:sz w:val="20"/>
                <w:szCs w:val="20"/>
                <w:color w:val="auto"/>
              </w:rPr>
            </w:pPr>
            <w:r>
              <w:rPr>
                <w:rFonts w:ascii="Arial" w:cs="Arial" w:eastAsia="Arial" w:hAnsi="Arial"/>
                <w:sz w:val="16"/>
                <w:szCs w:val="16"/>
                <w:color w:val="auto"/>
              </w:rPr>
              <w:t>Accrued interest on pledged securities</w:t>
            </w:r>
          </w:p>
        </w:tc>
        <w:tc>
          <w:tcPr>
            <w:tcW w:w="18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234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243</w:t>
            </w:r>
          </w:p>
        </w:tc>
      </w:tr>
      <w:tr>
        <w:trPr>
          <w:trHeight w:val="33"/>
        </w:trPr>
        <w:tc>
          <w:tcPr>
            <w:tcW w:w="3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3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Restricted cash</w:t>
            </w:r>
          </w:p>
        </w:tc>
        <w:tc>
          <w:tcPr>
            <w:tcW w:w="18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369</w:t>
            </w:r>
          </w:p>
        </w:tc>
      </w:tr>
      <w:tr>
        <w:trPr>
          <w:trHeight w:val="244"/>
        </w:trPr>
        <w:tc>
          <w:tcPr>
            <w:tcW w:w="3760" w:type="dxa"/>
            <w:vAlign w:val="bottom"/>
            <w:gridSpan w:val="2"/>
          </w:tcPr>
          <w:p>
            <w:pPr>
              <w:ind w:left="18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83,888</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1,625</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1,628</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157</w:t>
            </w:r>
          </w:p>
        </w:tc>
        <w:tc>
          <w:tcPr>
            <w:tcW w:w="10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87,298</w:t>
            </w:r>
          </w:p>
        </w:tc>
      </w:tr>
      <w:tr>
        <w:trPr>
          <w:trHeight w:val="20"/>
        </w:trPr>
        <w:tc>
          <w:tcPr>
            <w:tcW w:w="3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378" w:lineRule="exact"/>
        <w:rPr>
          <w:sz w:val="20"/>
          <w:szCs w:val="20"/>
          <w:color w:val="auto"/>
        </w:rPr>
      </w:pPr>
    </w:p>
    <w:tbl>
      <w:tblPr>
        <w:tblLayout w:type="fixed"/>
        <w:tblInd w:w="1400" w:type="dxa"/>
        <w:tblCellMar>
          <w:top w:w="0" w:type="dxa"/>
          <w:left w:w="0" w:type="dxa"/>
          <w:bottom w:w="0" w:type="dxa"/>
          <w:right w:w="0" w:type="dxa"/>
        </w:tblCellMar>
      </w:tblPr>
      <w:tr>
        <w:trPr>
          <w:trHeight w:val="210"/>
        </w:trPr>
        <w:tc>
          <w:tcPr>
            <w:tcW w:w="2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300" w:type="dxa"/>
            <w:vAlign w:val="bottom"/>
            <w:gridSpan w:val="4"/>
          </w:tcPr>
          <w:p>
            <w:pPr>
              <w:jc w:val="center"/>
              <w:spacing w:after="0"/>
              <w:rPr>
                <w:sz w:val="20"/>
                <w:szCs w:val="20"/>
                <w:color w:val="auto"/>
              </w:rPr>
            </w:pPr>
            <w:r>
              <w:rPr>
                <w:rFonts w:ascii="Arial" w:cs="Arial" w:eastAsia="Arial" w:hAnsi="Arial"/>
                <w:sz w:val="16"/>
                <w:szCs w:val="16"/>
                <w:b w:val="1"/>
                <w:bCs w:val="1"/>
                <w:color w:val="auto"/>
                <w:w w:val="90"/>
              </w:rPr>
              <w:t>December 31, 2011</w:t>
            </w: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33"/>
        </w:trPr>
        <w:tc>
          <w:tcPr>
            <w:tcW w:w="2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09"/>
        </w:trPr>
        <w:tc>
          <w:tcPr>
            <w:tcW w:w="2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jc w:val="center"/>
              <w:ind w:right="119"/>
              <w:spacing w:after="0"/>
              <w:rPr>
                <w:sz w:val="20"/>
                <w:szCs w:val="20"/>
                <w:color w:val="auto"/>
              </w:rPr>
            </w:pPr>
            <w:r>
              <w:rPr>
                <w:rFonts w:ascii="Arial" w:cs="Arial" w:eastAsia="Arial" w:hAnsi="Arial"/>
                <w:sz w:val="16"/>
                <w:szCs w:val="16"/>
                <w:b w:val="1"/>
                <w:bCs w:val="1"/>
                <w:color w:val="auto"/>
                <w:w w:val="94"/>
              </w:rPr>
              <w:t>Debt of</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03"/>
        </w:trPr>
        <w:tc>
          <w:tcPr>
            <w:tcW w:w="2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ind w:left="20"/>
              <w:spacing w:after="0"/>
              <w:rPr>
                <w:sz w:val="20"/>
                <w:szCs w:val="20"/>
                <w:color w:val="auto"/>
              </w:rPr>
            </w:pPr>
            <w:r>
              <w:rPr>
                <w:rFonts w:ascii="Arial" w:cs="Arial" w:eastAsia="Arial" w:hAnsi="Arial"/>
                <w:sz w:val="16"/>
                <w:szCs w:val="16"/>
                <w:b w:val="1"/>
                <w:bCs w:val="1"/>
                <w:color w:val="auto"/>
              </w:rPr>
              <w:t>Repurchase</w:t>
            </w:r>
          </w:p>
        </w:tc>
        <w:tc>
          <w:tcPr>
            <w:tcW w:w="1100" w:type="dxa"/>
            <w:vAlign w:val="bottom"/>
            <w:gridSpan w:val="2"/>
          </w:tcPr>
          <w:p>
            <w:pPr>
              <w:jc w:val="center"/>
              <w:spacing w:after="0"/>
              <w:rPr>
                <w:sz w:val="20"/>
                <w:szCs w:val="20"/>
                <w:color w:val="auto"/>
              </w:rPr>
            </w:pPr>
            <w:r>
              <w:rPr>
                <w:rFonts w:ascii="Arial" w:cs="Arial" w:eastAsia="Arial" w:hAnsi="Arial"/>
                <w:sz w:val="16"/>
                <w:szCs w:val="16"/>
                <w:b w:val="1"/>
                <w:bCs w:val="1"/>
                <w:color w:val="auto"/>
                <w:w w:val="90"/>
              </w:rPr>
              <w:t>Consolidated</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4"/>
              </w:rPr>
              <w:t>Derivative</w:t>
            </w:r>
          </w:p>
        </w:tc>
        <w:tc>
          <w:tcPr>
            <w:tcW w:w="1240" w:type="dxa"/>
            <w:vAlign w:val="bottom"/>
            <w:gridSpan w:val="3"/>
          </w:tcPr>
          <w:p>
            <w:pPr>
              <w:jc w:val="center"/>
              <w:ind w:right="120"/>
              <w:spacing w:after="0"/>
              <w:rPr>
                <w:sz w:val="20"/>
                <w:szCs w:val="20"/>
                <w:color w:val="auto"/>
              </w:rPr>
            </w:pPr>
            <w:r>
              <w:rPr>
                <w:rFonts w:ascii="Arial" w:cs="Arial" w:eastAsia="Arial" w:hAnsi="Arial"/>
                <w:sz w:val="16"/>
                <w:szCs w:val="16"/>
                <w:b w:val="1"/>
                <w:bCs w:val="1"/>
                <w:color w:val="auto"/>
                <w:w w:val="95"/>
              </w:rPr>
              <w:t>Prime Broker</w:t>
            </w: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10"/>
        </w:trPr>
        <w:tc>
          <w:tcPr>
            <w:tcW w:w="2760" w:type="dxa"/>
            <w:vAlign w:val="bottom"/>
            <w:gridSpan w:val="2"/>
          </w:tcPr>
          <w:p>
            <w:pPr>
              <w:ind w:left="20"/>
              <w:spacing w:after="0"/>
              <w:rPr>
                <w:sz w:val="20"/>
                <w:szCs w:val="20"/>
                <w:color w:val="auto"/>
              </w:rPr>
            </w:pPr>
            <w:r>
              <w:rPr>
                <w:rFonts w:ascii="Arial" w:cs="Arial" w:eastAsia="Arial" w:hAnsi="Arial"/>
                <w:sz w:val="16"/>
                <w:szCs w:val="16"/>
                <w:b w:val="1"/>
                <w:bCs w:val="1"/>
                <w:color w:val="auto"/>
              </w:rPr>
              <w:t>Assets Pledged</w:t>
            </w:r>
          </w:p>
        </w:tc>
        <w:tc>
          <w:tcPr>
            <w:tcW w:w="100" w:type="dxa"/>
            <w:vAlign w:val="bottom"/>
          </w:tcPr>
          <w:p>
            <w:pPr>
              <w:spacing w:after="0"/>
              <w:rPr>
                <w:sz w:val="18"/>
                <w:szCs w:val="18"/>
                <w:color w:val="auto"/>
              </w:rPr>
            </w:pPr>
          </w:p>
        </w:tc>
        <w:tc>
          <w:tcPr>
            <w:tcW w:w="1100" w:type="dxa"/>
            <w:vAlign w:val="bottom"/>
            <w:gridSpan w:val="2"/>
          </w:tcPr>
          <w:p>
            <w:pPr>
              <w:ind w:left="20"/>
              <w:spacing w:after="0"/>
              <w:rPr>
                <w:sz w:val="20"/>
                <w:szCs w:val="20"/>
                <w:color w:val="auto"/>
              </w:rPr>
            </w:pPr>
            <w:r>
              <w:rPr>
                <w:rFonts w:ascii="Arial" w:cs="Arial" w:eastAsia="Arial" w:hAnsi="Arial"/>
                <w:sz w:val="16"/>
                <w:szCs w:val="16"/>
                <w:b w:val="1"/>
                <w:bCs w:val="1"/>
                <w:color w:val="auto"/>
              </w:rPr>
              <w:t>Agreements</w:t>
            </w:r>
          </w:p>
        </w:tc>
        <w:tc>
          <w:tcPr>
            <w:tcW w:w="180" w:type="dxa"/>
            <w:vAlign w:val="bottom"/>
          </w:tcPr>
          <w:p>
            <w:pPr>
              <w:spacing w:after="0"/>
              <w:rPr>
                <w:sz w:val="18"/>
                <w:szCs w:val="18"/>
                <w:color w:val="auto"/>
              </w:rPr>
            </w:pPr>
          </w:p>
        </w:tc>
        <w:tc>
          <w:tcPr>
            <w:tcW w:w="920" w:type="dxa"/>
            <w:vAlign w:val="bottom"/>
          </w:tcPr>
          <w:p>
            <w:pPr>
              <w:jc w:val="center"/>
              <w:ind w:right="119"/>
              <w:spacing w:after="0"/>
              <w:rPr>
                <w:sz w:val="20"/>
                <w:szCs w:val="20"/>
                <w:color w:val="auto"/>
              </w:rPr>
            </w:pPr>
            <w:r>
              <w:rPr>
                <w:rFonts w:ascii="Arial" w:cs="Arial" w:eastAsia="Arial" w:hAnsi="Arial"/>
                <w:sz w:val="16"/>
                <w:szCs w:val="16"/>
                <w:b w:val="1"/>
                <w:bCs w:val="1"/>
                <w:color w:val="auto"/>
              </w:rPr>
              <w:t>VIEs</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Agreements</w:t>
            </w:r>
          </w:p>
        </w:tc>
        <w:tc>
          <w:tcPr>
            <w:tcW w:w="120" w:type="dxa"/>
            <w:vAlign w:val="bottom"/>
          </w:tcPr>
          <w:p>
            <w:pPr>
              <w:spacing w:after="0"/>
              <w:rPr>
                <w:sz w:val="18"/>
                <w:szCs w:val="18"/>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Agreements</w:t>
            </w:r>
          </w:p>
        </w:tc>
        <w:tc>
          <w:tcPr>
            <w:tcW w:w="220" w:type="dxa"/>
            <w:vAlign w:val="bottom"/>
          </w:tcPr>
          <w:p>
            <w:pPr>
              <w:spacing w:after="0"/>
              <w:rPr>
                <w:sz w:val="18"/>
                <w:szCs w:val="18"/>
                <w:color w:val="auto"/>
              </w:rPr>
            </w:pPr>
          </w:p>
        </w:tc>
        <w:tc>
          <w:tcPr>
            <w:tcW w:w="820" w:type="dxa"/>
            <w:vAlign w:val="bottom"/>
          </w:tcPr>
          <w:p>
            <w:pPr>
              <w:jc w:val="right"/>
              <w:ind w:right="259"/>
              <w:spacing w:after="0"/>
              <w:rPr>
                <w:sz w:val="20"/>
                <w:szCs w:val="20"/>
                <w:color w:val="auto"/>
              </w:rPr>
            </w:pPr>
            <w:r>
              <w:rPr>
                <w:rFonts w:ascii="Arial" w:cs="Arial" w:eastAsia="Arial" w:hAnsi="Arial"/>
                <w:sz w:val="16"/>
                <w:szCs w:val="16"/>
                <w:b w:val="1"/>
                <w:bCs w:val="1"/>
                <w:color w:val="auto"/>
              </w:rPr>
              <w:t>Total</w:t>
            </w:r>
          </w:p>
        </w:tc>
      </w:tr>
      <w:tr>
        <w:trPr>
          <w:trHeight w:val="33"/>
        </w:trPr>
        <w:tc>
          <w:tcPr>
            <w:tcW w:w="2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30"/>
        </w:trPr>
        <w:tc>
          <w:tcPr>
            <w:tcW w:w="2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Agency MBS - fair value</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50,255</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58</w:t>
            </w:r>
          </w:p>
        </w:tc>
        <w:tc>
          <w:tcPr>
            <w:tcW w:w="22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644</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87</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51,044</w:t>
            </w:r>
          </w:p>
        </w:tc>
      </w:tr>
      <w:tr>
        <w:trPr>
          <w:trHeight w:val="237"/>
        </w:trPr>
        <w:tc>
          <w:tcPr>
            <w:tcW w:w="276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fair value</w:t>
            </w: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101</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101</w:t>
            </w:r>
          </w:p>
        </w:tc>
      </w:tr>
      <w:tr>
        <w:trPr>
          <w:trHeight w:val="33"/>
        </w:trPr>
        <w:tc>
          <w:tcPr>
            <w:tcW w:w="2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2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Accrued interest on pledged securities</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163</w:t>
            </w:r>
          </w:p>
        </w:tc>
      </w:tr>
      <w:tr>
        <w:trPr>
          <w:trHeight w:val="237"/>
        </w:trPr>
        <w:tc>
          <w:tcPr>
            <w:tcW w:w="2760" w:type="dxa"/>
            <w:vAlign w:val="bottom"/>
            <w:gridSpan w:val="2"/>
          </w:tcPr>
          <w:p>
            <w:pPr>
              <w:ind w:left="20"/>
              <w:spacing w:after="0"/>
              <w:rPr>
                <w:sz w:val="20"/>
                <w:szCs w:val="20"/>
                <w:color w:val="auto"/>
              </w:rPr>
            </w:pPr>
            <w:r>
              <w:rPr>
                <w:rFonts w:ascii="Arial" w:cs="Arial" w:eastAsia="Arial" w:hAnsi="Arial"/>
                <w:sz w:val="16"/>
                <w:szCs w:val="16"/>
                <w:color w:val="auto"/>
              </w:rPr>
              <w:t>Restricted cash</w:t>
            </w:r>
          </w:p>
        </w:tc>
        <w:tc>
          <w:tcPr>
            <w:tcW w:w="100" w:type="dxa"/>
            <w:vAlign w:val="bottom"/>
          </w:tcPr>
          <w:p>
            <w:pPr>
              <w:spacing w:after="0"/>
              <w:rPr>
                <w:sz w:val="20"/>
                <w:szCs w:val="20"/>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336</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336</w:t>
            </w:r>
          </w:p>
        </w:tc>
      </w:tr>
      <w:tr>
        <w:trPr>
          <w:trHeight w:val="33"/>
        </w:trPr>
        <w:tc>
          <w:tcPr>
            <w:tcW w:w="26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44"/>
        </w:trPr>
        <w:tc>
          <w:tcPr>
            <w:tcW w:w="2760" w:type="dxa"/>
            <w:vAlign w:val="bottom"/>
            <w:gridSpan w:val="2"/>
            <w:shd w:val="clear" w:color="auto" w:fill="CCEEFF"/>
          </w:tcPr>
          <w:p>
            <w:pPr>
              <w:ind w:left="180"/>
              <w:spacing w:after="0"/>
              <w:rPr>
                <w:sz w:val="20"/>
                <w:szCs w:val="20"/>
                <w:color w:val="auto"/>
              </w:rPr>
            </w:pPr>
            <w:r>
              <w:rPr>
                <w:rFonts w:ascii="Arial" w:cs="Arial" w:eastAsia="Arial" w:hAnsi="Arial"/>
                <w:sz w:val="16"/>
                <w:szCs w:val="16"/>
                <w:color w:val="auto"/>
              </w:rPr>
              <w:t>Total</w:t>
            </w: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50,517</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982</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51,644</w:t>
            </w:r>
          </w:p>
        </w:tc>
      </w:tr>
      <w:tr>
        <w:trPr>
          <w:trHeight w:val="20"/>
        </w:trPr>
        <w:tc>
          <w:tcPr>
            <w:tcW w:w="26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right="20" w:firstLine="405"/>
        <w:spacing w:after="0" w:line="342" w:lineRule="auto"/>
        <w:rPr>
          <w:sz w:val="20"/>
          <w:szCs w:val="20"/>
          <w:color w:val="auto"/>
        </w:rPr>
      </w:pPr>
      <w:r>
        <w:rPr>
          <w:rFonts w:ascii="Arial" w:cs="Arial" w:eastAsia="Arial" w:hAnsi="Arial"/>
          <w:sz w:val="16"/>
          <w:szCs w:val="16"/>
          <w:color w:val="auto"/>
        </w:rPr>
        <w:t>The following table summarizes our securities pledged as collateral under repurchase agreements and debt of consolidated VIEs by remaining maturity, including securities pledged related to sold but not yet settled securities, as of September 30, 2012 and December 31, 2011 (dollars in millions):</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760" w:right="2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192"/>
        </w:trPr>
        <w:tc>
          <w:tcPr>
            <w:tcW w:w="3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rPr>
              <w:t>September 30, 2012</w:t>
            </w: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rPr>
              <w:t>December 31, 2011</w:t>
            </w: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2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Securities Pledged by Remaining Maturity of</w:t>
            </w: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6"/>
              </w:rPr>
              <w:t>Amortized</w:t>
            </w:r>
          </w:p>
        </w:tc>
        <w:tc>
          <w:tcPr>
            <w:tcW w:w="180" w:type="dxa"/>
            <w:vAlign w:val="bottom"/>
          </w:tcPr>
          <w:p>
            <w:pPr>
              <w:spacing w:after="0"/>
              <w:rPr>
                <w:sz w:val="13"/>
                <w:szCs w:val="13"/>
                <w:color w:val="auto"/>
              </w:rPr>
            </w:pPr>
          </w:p>
        </w:tc>
        <w:tc>
          <w:tcPr>
            <w:tcW w:w="1160" w:type="dxa"/>
            <w:vAlign w:val="bottom"/>
            <w:gridSpan w:val="2"/>
          </w:tcPr>
          <w:p>
            <w:pPr>
              <w:jc w:val="center"/>
              <w:ind w:right="400"/>
              <w:spacing w:after="0" w:line="153" w:lineRule="exact"/>
              <w:rPr>
                <w:sz w:val="20"/>
                <w:szCs w:val="20"/>
                <w:color w:val="auto"/>
              </w:rPr>
            </w:pPr>
            <w:r>
              <w:rPr>
                <w:rFonts w:ascii="Arial" w:cs="Arial" w:eastAsia="Arial" w:hAnsi="Arial"/>
                <w:sz w:val="14"/>
                <w:szCs w:val="14"/>
                <w:b w:val="1"/>
                <w:bCs w:val="1"/>
                <w:color w:val="auto"/>
                <w:w w:val="92"/>
              </w:rPr>
              <w:t>Accrued</w:t>
            </w: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6"/>
              </w:rPr>
              <w:t>Amortized</w:t>
            </w:r>
          </w:p>
        </w:tc>
        <w:tc>
          <w:tcPr>
            <w:tcW w:w="160" w:type="dxa"/>
            <w:vAlign w:val="bottom"/>
          </w:tcPr>
          <w:p>
            <w:pPr>
              <w:spacing w:after="0"/>
              <w:rPr>
                <w:sz w:val="13"/>
                <w:szCs w:val="13"/>
                <w:color w:val="auto"/>
              </w:rPr>
            </w:pPr>
          </w:p>
        </w:tc>
        <w:tc>
          <w:tcPr>
            <w:tcW w:w="940" w:type="dxa"/>
            <w:vAlign w:val="bottom"/>
          </w:tcPr>
          <w:p>
            <w:pPr>
              <w:jc w:val="center"/>
              <w:ind w:right="102"/>
              <w:spacing w:after="0" w:line="153"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49"/>
        </w:trPr>
        <w:tc>
          <w:tcPr>
            <w:tcW w:w="32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rPr>
              <w:t>Fair Value of</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2"/>
              </w:rPr>
              <w:t>Interest on</w:t>
            </w:r>
          </w:p>
        </w:tc>
        <w:tc>
          <w:tcPr>
            <w:tcW w:w="160" w:type="dxa"/>
            <w:vAlign w:val="bottom"/>
          </w:tcPr>
          <w:p>
            <w:pPr>
              <w:spacing w:after="0"/>
              <w:rPr>
                <w:sz w:val="12"/>
                <w:szCs w:val="12"/>
                <w:color w:val="auto"/>
              </w:rPr>
            </w:pPr>
          </w:p>
        </w:tc>
        <w:tc>
          <w:tcPr>
            <w:tcW w:w="1060" w:type="dxa"/>
            <w:vAlign w:val="bottom"/>
            <w:vMerge w:val="restart"/>
          </w:tcPr>
          <w:p>
            <w:pPr>
              <w:jc w:val="right"/>
              <w:ind w:right="120"/>
              <w:spacing w:after="0"/>
              <w:rPr>
                <w:sz w:val="20"/>
                <w:szCs w:val="20"/>
                <w:color w:val="auto"/>
              </w:rPr>
            </w:pPr>
            <w:r>
              <w:rPr>
                <w:rFonts w:ascii="Arial" w:cs="Arial" w:eastAsia="Arial" w:hAnsi="Arial"/>
                <w:sz w:val="14"/>
                <w:szCs w:val="14"/>
                <w:b w:val="1"/>
                <w:bCs w:val="1"/>
                <w:color w:val="auto"/>
                <w:w w:val="99"/>
              </w:rPr>
              <w:t>Fair Value of</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49"/>
        </w:trPr>
        <w:tc>
          <w:tcPr>
            <w:tcW w:w="328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5"/>
              </w:rPr>
              <w:t>Repurchase Agreements and Debt of Consolidated</w:t>
            </w:r>
          </w:p>
        </w:tc>
        <w:tc>
          <w:tcPr>
            <w:tcW w:w="120" w:type="dxa"/>
            <w:vAlign w:val="bottom"/>
          </w:tcPr>
          <w:p>
            <w:pPr>
              <w:spacing w:after="0"/>
              <w:rPr>
                <w:sz w:val="12"/>
                <w:szCs w:val="12"/>
                <w:color w:val="auto"/>
              </w:rPr>
            </w:pPr>
          </w:p>
        </w:tc>
        <w:tc>
          <w:tcPr>
            <w:tcW w:w="126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80" w:type="dxa"/>
            <w:vAlign w:val="bottom"/>
          </w:tcPr>
          <w:p>
            <w:pPr>
              <w:spacing w:after="0"/>
              <w:rPr>
                <w:sz w:val="12"/>
                <w:szCs w:val="12"/>
                <w:color w:val="auto"/>
              </w:rPr>
            </w:pPr>
          </w:p>
        </w:tc>
        <w:tc>
          <w:tcPr>
            <w:tcW w:w="116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1"/>
              </w:rPr>
              <w:t>Pledged</w:t>
            </w:r>
          </w:p>
        </w:tc>
        <w:tc>
          <w:tcPr>
            <w:tcW w:w="16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60" w:type="dxa"/>
            <w:vAlign w:val="bottom"/>
          </w:tcPr>
          <w:p>
            <w:pPr>
              <w:spacing w:after="0"/>
              <w:rPr>
                <w:sz w:val="12"/>
                <w:szCs w:val="12"/>
                <w:color w:val="auto"/>
              </w:rPr>
            </w:pPr>
          </w:p>
        </w:tc>
        <w:tc>
          <w:tcPr>
            <w:tcW w:w="940" w:type="dxa"/>
            <w:vAlign w:val="bottom"/>
          </w:tcPr>
          <w:p>
            <w:pPr>
              <w:jc w:val="center"/>
              <w:ind w:right="102"/>
              <w:spacing w:after="0" w:line="149" w:lineRule="exact"/>
              <w:rPr>
                <w:sz w:val="20"/>
                <w:szCs w:val="20"/>
                <w:color w:val="auto"/>
              </w:rPr>
            </w:pPr>
            <w:r>
              <w:rPr>
                <w:rFonts w:ascii="Arial" w:cs="Arial" w:eastAsia="Arial" w:hAnsi="Arial"/>
                <w:sz w:val="14"/>
                <w:szCs w:val="14"/>
                <w:b w:val="1"/>
                <w:bCs w:val="1"/>
                <w:color w:val="auto"/>
                <w:w w:val="88"/>
              </w:rPr>
              <w:t>Pledged</w:t>
            </w:r>
          </w:p>
        </w:tc>
        <w:tc>
          <w:tcPr>
            <w:tcW w:w="0" w:type="dxa"/>
            <w:vAlign w:val="bottom"/>
          </w:tcPr>
          <w:p>
            <w:pPr>
              <w:spacing w:after="0"/>
              <w:rPr>
                <w:sz w:val="1"/>
                <w:szCs w:val="1"/>
                <w:color w:val="auto"/>
              </w:rPr>
            </w:pPr>
          </w:p>
        </w:tc>
      </w:tr>
      <w:tr>
        <w:trPr>
          <w:trHeight w:val="192"/>
        </w:trPr>
        <w:tc>
          <w:tcPr>
            <w:tcW w:w="31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41"/>
              <w:spacing w:after="0"/>
              <w:rPr>
                <w:sz w:val="20"/>
                <w:szCs w:val="20"/>
                <w:color w:val="auto"/>
              </w:rPr>
            </w:pPr>
            <w:r>
              <w:rPr>
                <w:rFonts w:ascii="Arial" w:cs="Arial" w:eastAsia="Arial" w:hAnsi="Arial"/>
                <w:sz w:val="14"/>
                <w:szCs w:val="14"/>
                <w:b w:val="1"/>
                <w:bCs w:val="1"/>
                <w:color w:val="auto"/>
                <w:w w:val="89"/>
              </w:rPr>
              <w:t>Pledged Securities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Securities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02"/>
              <w:spacing w:after="0"/>
              <w:rPr>
                <w:sz w:val="20"/>
                <w:szCs w:val="20"/>
                <w:color w:val="auto"/>
              </w:rPr>
            </w:pPr>
            <w:r>
              <w:rPr>
                <w:rFonts w:ascii="Arial" w:cs="Arial" w:eastAsia="Arial" w:hAnsi="Arial"/>
                <w:sz w:val="14"/>
                <w:szCs w:val="14"/>
                <w:b w:val="1"/>
                <w:bCs w:val="1"/>
                <w:color w:val="auto"/>
                <w:w w:val="89"/>
              </w:rPr>
              <w:t>Securities</w:t>
            </w:r>
          </w:p>
        </w:tc>
        <w:tc>
          <w:tcPr>
            <w:tcW w:w="2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2"/>
              </w:rPr>
              <w:t>Pledged Securities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89"/>
              </w:rPr>
              <w:t>Securities</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02"/>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250"/>
        </w:trPr>
        <w:tc>
          <w:tcPr>
            <w:tcW w:w="3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Agency MBS:</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3280" w:type="dxa"/>
            <w:vAlign w:val="bottom"/>
            <w:gridSpan w:val="2"/>
          </w:tcPr>
          <w:p>
            <w:pPr>
              <w:ind w:left="120"/>
              <w:spacing w:after="0"/>
              <w:rPr>
                <w:sz w:val="20"/>
                <w:szCs w:val="20"/>
                <w:color w:val="auto"/>
              </w:rPr>
            </w:pPr>
            <w:r>
              <w:rPr>
                <w:rFonts w:ascii="Arial" w:cs="Arial" w:eastAsia="Arial" w:hAnsi="Arial"/>
                <w:sz w:val="16"/>
                <w:szCs w:val="16"/>
                <w:color w:val="auto"/>
              </w:rPr>
              <w:t>Less than 30 days</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1"/>
              <w:spacing w:after="0"/>
              <w:rPr>
                <w:sz w:val="20"/>
                <w:szCs w:val="20"/>
                <w:color w:val="auto"/>
              </w:rPr>
            </w:pPr>
            <w:r>
              <w:rPr>
                <w:rFonts w:ascii="Arial" w:cs="Arial" w:eastAsia="Arial" w:hAnsi="Arial"/>
                <w:sz w:val="16"/>
                <w:szCs w:val="16"/>
                <w:color w:val="auto"/>
              </w:rPr>
              <w:t>30,861</w:t>
            </w:r>
          </w:p>
        </w:tc>
        <w:tc>
          <w:tcPr>
            <w:tcW w:w="26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42"/>
              <w:spacing w:after="0"/>
              <w:rPr>
                <w:sz w:val="20"/>
                <w:szCs w:val="20"/>
                <w:color w:val="auto"/>
              </w:rPr>
            </w:pPr>
            <w:r>
              <w:rPr>
                <w:rFonts w:ascii="Arial" w:cs="Arial" w:eastAsia="Arial" w:hAnsi="Arial"/>
                <w:sz w:val="16"/>
                <w:szCs w:val="16"/>
                <w:color w:val="auto"/>
              </w:rPr>
              <w:t>29,867</w:t>
            </w:r>
          </w:p>
        </w:tc>
        <w:tc>
          <w:tcPr>
            <w:tcW w:w="12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22"/>
              <w:spacing w:after="0"/>
              <w:rPr>
                <w:sz w:val="20"/>
                <w:szCs w:val="20"/>
                <w:color w:val="auto"/>
              </w:rPr>
            </w:pPr>
            <w:r>
              <w:rPr>
                <w:rFonts w:ascii="Arial" w:cs="Arial" w:eastAsia="Arial" w:hAnsi="Arial"/>
                <w:sz w:val="16"/>
                <w:szCs w:val="16"/>
                <w:color w:val="auto"/>
              </w:rPr>
              <w:t>86</w:t>
            </w:r>
          </w:p>
        </w:tc>
        <w:tc>
          <w:tcPr>
            <w:tcW w:w="220" w:type="dxa"/>
            <w:vAlign w:val="bottom"/>
          </w:tcPr>
          <w:p>
            <w:pPr>
              <w:spacing w:after="0"/>
              <w:rPr>
                <w:sz w:val="20"/>
                <w:szCs w:val="20"/>
                <w:color w:val="auto"/>
              </w:rPr>
            </w:pPr>
          </w:p>
        </w:tc>
        <w:tc>
          <w:tcPr>
            <w:tcW w:w="160" w:type="dxa"/>
            <w:vAlign w:val="bottom"/>
          </w:tcPr>
          <w:p>
            <w:pPr>
              <w:ind w:left="4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20"/>
              <w:spacing w:after="0"/>
              <w:rPr>
                <w:sz w:val="20"/>
                <w:szCs w:val="20"/>
                <w:color w:val="auto"/>
              </w:rPr>
            </w:pPr>
            <w:r>
              <w:rPr>
                <w:rFonts w:ascii="Arial" w:cs="Arial" w:eastAsia="Arial" w:hAnsi="Arial"/>
                <w:sz w:val="16"/>
                <w:szCs w:val="16"/>
                <w:color w:val="auto"/>
              </w:rPr>
              <w:t>19,772</w:t>
            </w:r>
          </w:p>
        </w:tc>
        <w:tc>
          <w:tcPr>
            <w:tcW w:w="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19,361</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42"/>
              <w:spacing w:after="0"/>
              <w:rPr>
                <w:sz w:val="20"/>
                <w:szCs w:val="20"/>
                <w:color w:val="auto"/>
              </w:rPr>
            </w:pPr>
            <w:r>
              <w:rPr>
                <w:rFonts w:ascii="Arial" w:cs="Arial" w:eastAsia="Arial" w:hAnsi="Arial"/>
                <w:sz w:val="16"/>
                <w:szCs w:val="16"/>
                <w:color w:val="auto"/>
              </w:rPr>
              <w:t>63</w:t>
            </w:r>
          </w:p>
        </w:tc>
        <w:tc>
          <w:tcPr>
            <w:tcW w:w="0" w:type="dxa"/>
            <w:vAlign w:val="bottom"/>
          </w:tcPr>
          <w:p>
            <w:pPr>
              <w:spacing w:after="0"/>
              <w:rPr>
                <w:sz w:val="1"/>
                <w:szCs w:val="1"/>
                <w:color w:val="auto"/>
              </w:rPr>
            </w:pPr>
          </w:p>
        </w:tc>
      </w:tr>
      <w:tr>
        <w:trPr>
          <w:trHeight w:val="33"/>
        </w:trPr>
        <w:tc>
          <w:tcPr>
            <w:tcW w:w="3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8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31 - 59 days</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17,739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17,134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51</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16,964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16,648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55</w:t>
            </w:r>
          </w:p>
        </w:tc>
        <w:tc>
          <w:tcPr>
            <w:tcW w:w="0" w:type="dxa"/>
            <w:vAlign w:val="bottom"/>
          </w:tcPr>
          <w:p>
            <w:pPr>
              <w:spacing w:after="0"/>
              <w:rPr>
                <w:sz w:val="1"/>
                <w:szCs w:val="1"/>
                <w:color w:val="auto"/>
              </w:rPr>
            </w:pPr>
          </w:p>
        </w:tc>
      </w:tr>
      <w:tr>
        <w:trPr>
          <w:trHeight w:val="237"/>
        </w:trPr>
        <w:tc>
          <w:tcPr>
            <w:tcW w:w="3280" w:type="dxa"/>
            <w:vAlign w:val="bottom"/>
            <w:gridSpan w:val="2"/>
          </w:tcPr>
          <w:p>
            <w:pPr>
              <w:ind w:left="120"/>
              <w:spacing w:after="0"/>
              <w:rPr>
                <w:sz w:val="20"/>
                <w:szCs w:val="20"/>
                <w:color w:val="auto"/>
              </w:rPr>
            </w:pPr>
            <w:r>
              <w:rPr>
                <w:rFonts w:ascii="Arial" w:cs="Arial" w:eastAsia="Arial" w:hAnsi="Arial"/>
                <w:sz w:val="16"/>
                <w:szCs w:val="16"/>
                <w:color w:val="auto"/>
              </w:rPr>
              <w:t>60 - 90 days</w:t>
            </w:r>
          </w:p>
        </w:tc>
        <w:tc>
          <w:tcPr>
            <w:tcW w:w="120" w:type="dxa"/>
            <w:vAlign w:val="bottom"/>
          </w:tcPr>
          <w:p>
            <w:pPr>
              <w:spacing w:after="0"/>
              <w:rPr>
                <w:sz w:val="20"/>
                <w:szCs w:val="20"/>
                <w:color w:val="auto"/>
              </w:rPr>
            </w:pPr>
          </w:p>
        </w:tc>
        <w:tc>
          <w:tcPr>
            <w:tcW w:w="1260" w:type="dxa"/>
            <w:vAlign w:val="bottom"/>
          </w:tcPr>
          <w:p>
            <w:pPr>
              <w:jc w:val="right"/>
              <w:ind w:right="41"/>
              <w:spacing w:after="0"/>
              <w:rPr>
                <w:sz w:val="20"/>
                <w:szCs w:val="20"/>
                <w:color w:val="auto"/>
              </w:rPr>
            </w:pPr>
            <w:r>
              <w:rPr>
                <w:rFonts w:ascii="Arial" w:cs="Arial" w:eastAsia="Arial" w:hAnsi="Arial"/>
                <w:sz w:val="16"/>
                <w:szCs w:val="16"/>
                <w:color w:val="auto"/>
              </w:rPr>
              <w:t>17,822</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ind w:right="42"/>
              <w:spacing w:after="0"/>
              <w:rPr>
                <w:sz w:val="20"/>
                <w:szCs w:val="20"/>
                <w:color w:val="auto"/>
              </w:rPr>
            </w:pPr>
            <w:r>
              <w:rPr>
                <w:rFonts w:ascii="Arial" w:cs="Arial" w:eastAsia="Arial" w:hAnsi="Arial"/>
                <w:sz w:val="16"/>
                <w:szCs w:val="16"/>
                <w:color w:val="auto"/>
              </w:rPr>
              <w:t>17,242</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2"/>
              <w:spacing w:after="0"/>
              <w:rPr>
                <w:sz w:val="20"/>
                <w:szCs w:val="20"/>
                <w:color w:val="auto"/>
              </w:rPr>
            </w:pPr>
            <w:r>
              <w:rPr>
                <w:rFonts w:ascii="Arial" w:cs="Arial" w:eastAsia="Arial" w:hAnsi="Arial"/>
                <w:sz w:val="16"/>
                <w:szCs w:val="16"/>
                <w:color w:val="auto"/>
              </w:rPr>
              <w:t>50</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tcPr>
          <w:p>
            <w:pPr>
              <w:jc w:val="right"/>
              <w:ind w:right="20"/>
              <w:spacing w:after="0"/>
              <w:rPr>
                <w:sz w:val="20"/>
                <w:szCs w:val="20"/>
                <w:color w:val="auto"/>
              </w:rPr>
            </w:pPr>
            <w:r>
              <w:rPr>
                <w:rFonts w:ascii="Arial" w:cs="Arial" w:eastAsia="Arial" w:hAnsi="Arial"/>
                <w:sz w:val="16"/>
                <w:szCs w:val="16"/>
                <w:color w:val="auto"/>
              </w:rPr>
              <w:t>8,337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8,179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40" w:type="dxa"/>
            <w:vAlign w:val="bottom"/>
          </w:tcPr>
          <w:p>
            <w:pPr>
              <w:jc w:val="right"/>
              <w:ind w:right="42"/>
              <w:spacing w:after="0"/>
              <w:rPr>
                <w:sz w:val="20"/>
                <w:szCs w:val="20"/>
                <w:color w:val="auto"/>
              </w:rPr>
            </w:pPr>
            <w:r>
              <w:rPr>
                <w:rFonts w:ascii="Arial" w:cs="Arial" w:eastAsia="Arial" w:hAnsi="Arial"/>
                <w:sz w:val="16"/>
                <w:szCs w:val="16"/>
                <w:color w:val="auto"/>
              </w:rPr>
              <w:t>26</w:t>
            </w:r>
          </w:p>
        </w:tc>
        <w:tc>
          <w:tcPr>
            <w:tcW w:w="0" w:type="dxa"/>
            <w:vAlign w:val="bottom"/>
          </w:tcPr>
          <w:p>
            <w:pPr>
              <w:spacing w:after="0"/>
              <w:rPr>
                <w:sz w:val="1"/>
                <w:szCs w:val="1"/>
                <w:color w:val="auto"/>
              </w:rPr>
            </w:pPr>
          </w:p>
        </w:tc>
      </w:tr>
      <w:tr>
        <w:trPr>
          <w:trHeight w:val="33"/>
        </w:trPr>
        <w:tc>
          <w:tcPr>
            <w:tcW w:w="3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28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Greater than 90 days</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18,852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18,348</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52</w:t>
            </w:r>
          </w:p>
        </w:tc>
        <w:tc>
          <w:tcPr>
            <w:tcW w:w="2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5,240</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5,154</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217"/>
        </w:trPr>
        <w:tc>
          <w:tcPr>
            <w:tcW w:w="3280" w:type="dxa"/>
            <w:vAlign w:val="bottom"/>
            <w:gridSpan w:val="2"/>
          </w:tcPr>
          <w:p>
            <w:pPr>
              <w:ind w:left="720"/>
              <w:spacing w:after="0"/>
              <w:rPr>
                <w:sz w:val="20"/>
                <w:szCs w:val="20"/>
                <w:color w:val="auto"/>
              </w:rPr>
            </w:pPr>
            <w:r>
              <w:rPr>
                <w:rFonts w:ascii="Arial" w:cs="Arial" w:eastAsia="Arial" w:hAnsi="Arial"/>
                <w:sz w:val="16"/>
                <w:szCs w:val="16"/>
                <w:color w:val="auto"/>
              </w:rPr>
              <w:t>Total agency MBS</w:t>
            </w:r>
          </w:p>
        </w:tc>
        <w:tc>
          <w:tcPr>
            <w:tcW w:w="1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85,274</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42"/>
              <w:spacing w:after="0"/>
              <w:rPr>
                <w:sz w:val="20"/>
                <w:szCs w:val="20"/>
                <w:color w:val="auto"/>
              </w:rPr>
            </w:pPr>
            <w:r>
              <w:rPr>
                <w:rFonts w:ascii="Arial" w:cs="Arial" w:eastAsia="Arial" w:hAnsi="Arial"/>
                <w:sz w:val="16"/>
                <w:szCs w:val="16"/>
                <w:color w:val="auto"/>
              </w:rPr>
              <w:t>82,591</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239</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50,313</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49,342</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42"/>
              <w:spacing w:after="0"/>
              <w:rPr>
                <w:sz w:val="20"/>
                <w:szCs w:val="20"/>
                <w:color w:val="auto"/>
              </w:rPr>
            </w:pPr>
            <w:r>
              <w:rPr>
                <w:rFonts w:ascii="Arial" w:cs="Arial" w:eastAsia="Arial" w:hAnsi="Arial"/>
                <w:sz w:val="16"/>
                <w:szCs w:val="16"/>
                <w:color w:val="auto"/>
              </w:rPr>
              <w:t>161</w:t>
            </w:r>
          </w:p>
        </w:tc>
        <w:tc>
          <w:tcPr>
            <w:tcW w:w="0" w:type="dxa"/>
            <w:vAlign w:val="bottom"/>
          </w:tcPr>
          <w:p>
            <w:pPr>
              <w:spacing w:after="0"/>
              <w:rPr>
                <w:sz w:val="1"/>
                <w:szCs w:val="1"/>
                <w:color w:val="auto"/>
              </w:rPr>
            </w:pPr>
          </w:p>
        </w:tc>
      </w:tr>
      <w:tr>
        <w:trPr>
          <w:trHeight w:val="33"/>
        </w:trPr>
        <w:tc>
          <w:tcPr>
            <w:tcW w:w="31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3280" w:type="dxa"/>
            <w:vAlign w:val="bottom"/>
            <w:gridSpan w:val="2"/>
          </w:tcPr>
          <w:p>
            <w:pPr>
              <w:ind w:left="120"/>
              <w:spacing w:after="0"/>
              <w:rPr>
                <w:sz w:val="20"/>
                <w:szCs w:val="20"/>
                <w:color w:val="auto"/>
              </w:rPr>
            </w:pPr>
            <w:r>
              <w:rPr>
                <w:rFonts w:ascii="Arial" w:cs="Arial" w:eastAsia="Arial" w:hAnsi="Arial"/>
                <w:sz w:val="16"/>
                <w:szCs w:val="16"/>
                <w:color w:val="auto"/>
              </w:rPr>
              <w:t>1 day</w:t>
            </w:r>
          </w:p>
        </w:tc>
        <w:tc>
          <w:tcPr>
            <w:tcW w:w="120" w:type="dxa"/>
            <w:vAlign w:val="bottom"/>
          </w:tcPr>
          <w:p>
            <w:pPr>
              <w:spacing w:after="0"/>
              <w:rPr>
                <w:sz w:val="20"/>
                <w:szCs w:val="20"/>
                <w:color w:val="auto"/>
              </w:rPr>
            </w:pPr>
          </w:p>
        </w:tc>
        <w:tc>
          <w:tcPr>
            <w:tcW w:w="126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16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060" w:type="dxa"/>
            <w:vAlign w:val="bottom"/>
          </w:tcPr>
          <w:p>
            <w:pPr>
              <w:jc w:val="right"/>
              <w:ind w:right="20"/>
              <w:spacing w:after="0"/>
              <w:rPr>
                <w:sz w:val="20"/>
                <w:szCs w:val="20"/>
                <w:color w:val="auto"/>
              </w:rPr>
            </w:pPr>
            <w:r>
              <w:rPr>
                <w:rFonts w:ascii="Arial" w:cs="Arial" w:eastAsia="Arial" w:hAnsi="Arial"/>
                <w:sz w:val="16"/>
                <w:szCs w:val="16"/>
                <w:color w:val="auto"/>
              </w:rPr>
              <w:t>101</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101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40" w:type="dxa"/>
            <w:vAlign w:val="bottom"/>
          </w:tcPr>
          <w:p>
            <w:pPr>
              <w:jc w:val="right"/>
              <w:ind w:right="4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1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280" w:type="dxa"/>
            <w:vAlign w:val="bottom"/>
            <w:gridSpan w:val="2"/>
            <w:shd w:val="clear" w:color="auto" w:fill="CCEEFF"/>
          </w:tcPr>
          <w:p>
            <w:pPr>
              <w:ind w:left="380"/>
              <w:spacing w:after="0"/>
              <w:rPr>
                <w:sz w:val="20"/>
                <w:szCs w:val="20"/>
                <w:color w:val="auto"/>
              </w:rPr>
            </w:pPr>
            <w:r>
              <w:rPr>
                <w:rFonts w:ascii="Arial" w:cs="Arial" w:eastAsia="Arial" w:hAnsi="Arial"/>
                <w:sz w:val="16"/>
                <w:szCs w:val="16"/>
                <w:color w:val="auto"/>
              </w:rPr>
              <w:t>Total securities</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85,274</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82,591</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239</w:t>
            </w:r>
          </w:p>
        </w:tc>
        <w:tc>
          <w:tcPr>
            <w:tcW w:w="220" w:type="dxa"/>
            <w:vAlign w:val="bottom"/>
            <w:shd w:val="clear" w:color="auto" w:fill="CCEEFF"/>
          </w:tcPr>
          <w:p>
            <w:pPr>
              <w:spacing w:after="0"/>
              <w:rPr>
                <w:sz w:val="21"/>
                <w:szCs w:val="21"/>
                <w:color w:val="auto"/>
              </w:rPr>
            </w:pPr>
          </w:p>
        </w:tc>
        <w:tc>
          <w:tcPr>
            <w:tcW w:w="160" w:type="dxa"/>
            <w:vAlign w:val="bottom"/>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06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50,414</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49,443</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161</w:t>
            </w:r>
          </w:p>
        </w:tc>
        <w:tc>
          <w:tcPr>
            <w:tcW w:w="0" w:type="dxa"/>
            <w:vAlign w:val="bottom"/>
          </w:tcPr>
          <w:p>
            <w:pPr>
              <w:spacing w:after="0"/>
              <w:rPr>
                <w:sz w:val="1"/>
                <w:szCs w:val="1"/>
                <w:color w:val="auto"/>
              </w:rPr>
            </w:pPr>
          </w:p>
        </w:tc>
      </w:tr>
      <w:tr>
        <w:trPr>
          <w:trHeight w:val="20"/>
        </w:trPr>
        <w:tc>
          <w:tcPr>
            <w:tcW w:w="3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2012 and December 31, 2011, none of our repurchase agreement borrowings backed by agency MBS were due on demand or mature overnight.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Securitizations</w:t>
      </w:r>
    </w:p>
    <w:p>
      <w:pPr>
        <w:spacing w:after="0" w:line="90"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All of our CMO securities are backed by fixed or adjustable-rate agency 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CMO trusts is the fair value of the CMO securities and interest-only and principal-only securities held by us, less principal amounts guaranteed by Fannie Mae and Freddie Mac.</w:t>
      </w:r>
    </w:p>
    <w:p>
      <w:pPr>
        <w:spacing w:after="0" w:line="1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As of September 30, 2012 and December 31, 2011, the fair value of all of our CMO securities, interest-only securities and principal-only securities, excluding the consolidated CMO trusts discussed below, was $766 million and $426 million, respectively, or $1.4 billion and $429 million, respectively, including the net asset value of the consolidated CMO trusts discussed below. Our maximum exposure to loss related to our CMO securities and interest-only and principal-only securities, including the consolidated CMO trust, was $375 million and $155 million as of September 30, 2012 and December 31, 2011, respectively.</w:t>
      </w:r>
    </w:p>
    <w:p>
      <w:pPr>
        <w:spacing w:after="0" w:line="134" w:lineRule="exact"/>
        <w:rPr>
          <w:sz w:val="20"/>
          <w:szCs w:val="20"/>
          <w:color w:val="auto"/>
        </w:rPr>
      </w:pPr>
    </w:p>
    <w:p>
      <w:pPr>
        <w:jc w:val="both"/>
        <w:ind w:firstLine="432"/>
        <w:spacing w:after="0" w:line="253" w:lineRule="auto"/>
        <w:rPr>
          <w:sz w:val="20"/>
          <w:szCs w:val="20"/>
          <w:color w:val="auto"/>
        </w:rPr>
      </w:pPr>
      <w:r>
        <w:rPr>
          <w:rFonts w:ascii="Arial" w:cs="Arial" w:eastAsia="Arial" w:hAnsi="Arial"/>
          <w:sz w:val="18"/>
          <w:szCs w:val="18"/>
          <w:color w:val="auto"/>
        </w:rPr>
        <w:t>We have consolidated CMO trusts for which we have determined we are the primary beneficiary of the trusts. In connection with the consolidated trusts, as of September 30, 2012 and December 31, 2011, we recognized agency securities with a total fair value of $1.6 billion and $58 million, respectively, and a principal balance of $1.5 billion and $55 million, respectively, and debt with a carrying value of $1.0 billion and $54 million, respectively, in our accompanying consolidated balance sheets. The total fair value of debt for which we have elected the option to account for at fair value was $968 million as of September 30, 2012, with a principal balance $939 million (or $936 million, net of discounts). For the three and nine months ended September 30, 2012, we recognized an unrealized loss of $24 million and $32 million in gain (loss) on derivative instruments and other securities, net in our consolidated statements of comprehensive income for the change in value of debt of our consolidated VIEs. Our involvement with the consolidated trusts is limited to the agency securities transferred to the trusts and the CMO securities subsequently held by us. There are no arrangements that could require us to provide financial support to the trusts.</w:t>
      </w:r>
    </w:p>
    <w:p>
      <w:pPr>
        <w:spacing w:after="0" w:line="3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 and Other Debt</w:t>
      </w:r>
    </w:p>
    <w:p>
      <w:pPr>
        <w:spacing w:after="0" w:line="175"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pledge certain of our agency securities as collateral under repurchase arrangements with financial institutions, the terms and conditions of which are negotiated on a transaction-by-transaction basis. Interest rates on these borrowings are generally based on LIBOR plus or minus a margin and amounts available to be borrowed are dependent upon the fair value of the securities pledged as collateral, which fluctuates with changes in interest rates, type of security and liquidity conditions within the banking, mortgage finance and real estate industries. In response to declines in fair value of pledged securities, lenders may require us to post additional collateral or pay down borrowings to re-establish agreed upon collateral requirements, referred to as margin calls. As of September 30, 2012 and December 31, 2011, we have met all margin call requirements.</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borrowings under repurchase arrangements and weighted average interest rates classified by original maturities as of September 30, 2012 and December 31, 2011 (dollars in millions):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968" w:right="2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92"/>
        </w:trPr>
        <w:tc>
          <w:tcPr>
            <w:tcW w:w="24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1"/>
              </w:rPr>
              <w:t>September 30, 2012</w:t>
            </w:r>
          </w:p>
        </w:tc>
        <w:tc>
          <w:tcPr>
            <w:tcW w:w="13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90"/>
              </w:rPr>
              <w:t>December 31, 2011</w:t>
            </w:r>
          </w:p>
        </w:tc>
        <w:tc>
          <w:tcPr>
            <w:tcW w:w="13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4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4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Weighted</w:t>
            </w: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4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w w:val="91"/>
              </w:rPr>
              <w:t>Weighted</w:t>
            </w:r>
          </w:p>
        </w:tc>
        <w:tc>
          <w:tcPr>
            <w:tcW w:w="13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2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Repurchase</w:t>
            </w:r>
          </w:p>
        </w:tc>
        <w:tc>
          <w:tcPr>
            <w:tcW w:w="15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46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24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Repurchase</w:t>
            </w:r>
          </w:p>
        </w:tc>
        <w:tc>
          <w:tcPr>
            <w:tcW w:w="15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Average</w:t>
            </w:r>
          </w:p>
        </w:tc>
        <w:tc>
          <w:tcPr>
            <w:tcW w:w="1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4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Original Maturity</w:t>
            </w:r>
          </w:p>
        </w:tc>
        <w:tc>
          <w:tcPr>
            <w:tcW w:w="10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5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Interest</w:t>
            </w:r>
          </w:p>
        </w:tc>
        <w:tc>
          <w:tcPr>
            <w:tcW w:w="14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22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5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Interest</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92"/>
        </w:trPr>
        <w:tc>
          <w:tcPr>
            <w:tcW w:w="24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50"/>
        </w:trPr>
        <w:tc>
          <w:tcPr>
            <w:tcW w:w="2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Agency MBS: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580" w:type="dxa"/>
            <w:vAlign w:val="bottom"/>
            <w:gridSpan w:val="2"/>
          </w:tcPr>
          <w:p>
            <w:pPr>
              <w:ind w:left="120"/>
              <w:spacing w:after="0"/>
              <w:rPr>
                <w:sz w:val="20"/>
                <w:szCs w:val="20"/>
                <w:color w:val="auto"/>
              </w:rPr>
            </w:pPr>
            <w:r>
              <w:rPr>
                <w:rFonts w:ascii="Arial" w:cs="Arial" w:eastAsia="Arial" w:hAnsi="Arial"/>
                <w:sz w:val="18"/>
                <w:szCs w:val="18"/>
                <w:color w:val="auto"/>
              </w:rPr>
              <w:t>1 month or less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4,724</w:t>
            </w:r>
          </w:p>
        </w:tc>
        <w:tc>
          <w:tcPr>
            <w:tcW w:w="1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0.43%</w:t>
            </w:r>
          </w:p>
        </w:tc>
        <w:tc>
          <w:tcPr>
            <w:tcW w:w="10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2,558</w:t>
            </w:r>
          </w:p>
        </w:tc>
        <w:tc>
          <w:tcPr>
            <w:tcW w:w="1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0.43%</w:t>
            </w:r>
          </w:p>
        </w:tc>
        <w:tc>
          <w:tcPr>
            <w:tcW w:w="100" w:type="dxa"/>
            <w:vAlign w:val="bottom"/>
          </w:tcPr>
          <w:p>
            <w:pPr>
              <w:spacing w:after="0"/>
              <w:rPr>
                <w:sz w:val="21"/>
                <w:szCs w:val="21"/>
                <w:color w:val="auto"/>
              </w:rPr>
            </w:pPr>
          </w:p>
        </w:tc>
        <w:tc>
          <w:tcPr>
            <w:tcW w:w="1360" w:type="dxa"/>
            <w:vAlign w:val="bottom"/>
          </w:tcPr>
          <w:p>
            <w:pPr>
              <w:jc w:val="right"/>
              <w:ind w:right="14"/>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7"/>
        </w:trPr>
        <w:tc>
          <w:tcPr>
            <w:tcW w:w="2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58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1-3 months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31,253</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0.43%</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24,518</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0.39%</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43"/>
        </w:trPr>
        <w:tc>
          <w:tcPr>
            <w:tcW w:w="2580" w:type="dxa"/>
            <w:vAlign w:val="bottom"/>
            <w:gridSpan w:val="2"/>
          </w:tcPr>
          <w:p>
            <w:pPr>
              <w:ind w:left="120"/>
              <w:spacing w:after="0"/>
              <w:rPr>
                <w:sz w:val="20"/>
                <w:szCs w:val="20"/>
                <w:color w:val="auto"/>
              </w:rPr>
            </w:pPr>
            <w:r>
              <w:rPr>
                <w:rFonts w:ascii="Arial" w:cs="Arial" w:eastAsia="Arial" w:hAnsi="Arial"/>
                <w:sz w:val="18"/>
                <w:szCs w:val="18"/>
                <w:color w:val="auto"/>
              </w:rPr>
              <w:t>4-6 months</w:t>
            </w:r>
          </w:p>
        </w:tc>
        <w:tc>
          <w:tcPr>
            <w:tcW w:w="220" w:type="dxa"/>
            <w:vAlign w:val="bottom"/>
          </w:tcPr>
          <w:p>
            <w:pPr>
              <w:spacing w:after="0"/>
              <w:rPr>
                <w:sz w:val="21"/>
                <w:szCs w:val="21"/>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25,571</w:t>
            </w:r>
          </w:p>
        </w:tc>
        <w:tc>
          <w:tcPr>
            <w:tcW w:w="1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0.45%</w:t>
            </w:r>
          </w:p>
        </w:tc>
        <w:tc>
          <w:tcPr>
            <w:tcW w:w="10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72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16,475</w:t>
            </w:r>
          </w:p>
        </w:tc>
        <w:tc>
          <w:tcPr>
            <w:tcW w:w="1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0.37%</w:t>
            </w:r>
          </w:p>
        </w:tc>
        <w:tc>
          <w:tcPr>
            <w:tcW w:w="100" w:type="dxa"/>
            <w:vAlign w:val="bottom"/>
          </w:tcPr>
          <w:p>
            <w:pPr>
              <w:spacing w:after="0"/>
              <w:rPr>
                <w:sz w:val="21"/>
                <w:szCs w:val="21"/>
                <w:color w:val="auto"/>
              </w:rPr>
            </w:pPr>
          </w:p>
        </w:tc>
        <w:tc>
          <w:tcPr>
            <w:tcW w:w="1360" w:type="dxa"/>
            <w:vAlign w:val="bottom"/>
          </w:tcPr>
          <w:p>
            <w:pPr>
              <w:jc w:val="right"/>
              <w:ind w:right="14"/>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7"/>
        </w:trPr>
        <w:tc>
          <w:tcPr>
            <w:tcW w:w="2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58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7-9 months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8,641</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0.49%</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2,423</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0.45%</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43"/>
        </w:trPr>
        <w:tc>
          <w:tcPr>
            <w:tcW w:w="2580" w:type="dxa"/>
            <w:vAlign w:val="bottom"/>
            <w:gridSpan w:val="2"/>
          </w:tcPr>
          <w:p>
            <w:pPr>
              <w:ind w:left="120"/>
              <w:spacing w:after="0"/>
              <w:rPr>
                <w:sz w:val="20"/>
                <w:szCs w:val="20"/>
                <w:color w:val="auto"/>
              </w:rPr>
            </w:pPr>
            <w:r>
              <w:rPr>
                <w:rFonts w:ascii="Arial" w:cs="Arial" w:eastAsia="Arial" w:hAnsi="Arial"/>
                <w:sz w:val="18"/>
                <w:szCs w:val="18"/>
                <w:color w:val="auto"/>
              </w:rPr>
              <w:t>10-12 months</w:t>
            </w:r>
          </w:p>
        </w:tc>
        <w:tc>
          <w:tcPr>
            <w:tcW w:w="220" w:type="dxa"/>
            <w:vAlign w:val="bottom"/>
          </w:tcPr>
          <w:p>
            <w:pPr>
              <w:spacing w:after="0"/>
              <w:rPr>
                <w:sz w:val="21"/>
                <w:szCs w:val="21"/>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7,547</w:t>
            </w:r>
          </w:p>
        </w:tc>
        <w:tc>
          <w:tcPr>
            <w:tcW w:w="1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0.57%</w:t>
            </w:r>
          </w:p>
        </w:tc>
        <w:tc>
          <w:tcPr>
            <w:tcW w:w="10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266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1,006</w:t>
            </w:r>
          </w:p>
        </w:tc>
        <w:tc>
          <w:tcPr>
            <w:tcW w:w="1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0.53%</w:t>
            </w:r>
          </w:p>
        </w:tc>
        <w:tc>
          <w:tcPr>
            <w:tcW w:w="100" w:type="dxa"/>
            <w:vAlign w:val="bottom"/>
          </w:tcPr>
          <w:p>
            <w:pPr>
              <w:spacing w:after="0"/>
              <w:rPr>
                <w:sz w:val="21"/>
                <w:szCs w:val="21"/>
                <w:color w:val="auto"/>
              </w:rPr>
            </w:pPr>
          </w:p>
        </w:tc>
        <w:tc>
          <w:tcPr>
            <w:tcW w:w="1360" w:type="dxa"/>
            <w:vAlign w:val="bottom"/>
          </w:tcPr>
          <w:p>
            <w:pPr>
              <w:jc w:val="right"/>
              <w:ind w:right="14"/>
              <w:spacing w:after="0"/>
              <w:rPr>
                <w:sz w:val="20"/>
                <w:szCs w:val="20"/>
                <w:color w:val="auto"/>
              </w:rPr>
            </w:pPr>
            <w:r>
              <w:rPr>
                <w:rFonts w:ascii="Arial" w:cs="Arial" w:eastAsia="Arial" w:hAnsi="Arial"/>
                <w:sz w:val="18"/>
                <w:szCs w:val="18"/>
                <w:color w:val="auto"/>
              </w:rPr>
              <w:t>244</w:t>
            </w:r>
          </w:p>
        </w:tc>
        <w:tc>
          <w:tcPr>
            <w:tcW w:w="0" w:type="dxa"/>
            <w:vAlign w:val="bottom"/>
          </w:tcPr>
          <w:p>
            <w:pPr>
              <w:spacing w:after="0"/>
              <w:rPr>
                <w:sz w:val="1"/>
                <w:szCs w:val="1"/>
                <w:color w:val="auto"/>
              </w:rPr>
            </w:pPr>
          </w:p>
        </w:tc>
      </w:tr>
      <w:tr>
        <w:trPr>
          <w:trHeight w:val="27"/>
        </w:trPr>
        <w:tc>
          <w:tcPr>
            <w:tcW w:w="2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58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13-24 months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693</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0.67%</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613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600</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0.51%</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268</w:t>
            </w:r>
          </w:p>
        </w:tc>
        <w:tc>
          <w:tcPr>
            <w:tcW w:w="0" w:type="dxa"/>
            <w:vAlign w:val="bottom"/>
          </w:tcPr>
          <w:p>
            <w:pPr>
              <w:spacing w:after="0"/>
              <w:rPr>
                <w:sz w:val="1"/>
                <w:szCs w:val="1"/>
                <w:color w:val="auto"/>
              </w:rPr>
            </w:pPr>
          </w:p>
        </w:tc>
      </w:tr>
      <w:tr>
        <w:trPr>
          <w:trHeight w:val="243"/>
        </w:trPr>
        <w:tc>
          <w:tcPr>
            <w:tcW w:w="2580" w:type="dxa"/>
            <w:vAlign w:val="bottom"/>
            <w:gridSpan w:val="2"/>
          </w:tcPr>
          <w:p>
            <w:pPr>
              <w:ind w:left="120"/>
              <w:spacing w:after="0"/>
              <w:rPr>
                <w:sz w:val="20"/>
                <w:szCs w:val="20"/>
                <w:color w:val="auto"/>
              </w:rPr>
            </w:pPr>
            <w:r>
              <w:rPr>
                <w:rFonts w:ascii="Arial" w:cs="Arial" w:eastAsia="Arial" w:hAnsi="Arial"/>
                <w:sz w:val="18"/>
                <w:szCs w:val="18"/>
                <w:color w:val="auto"/>
              </w:rPr>
              <w:t>25-36 months</w:t>
            </w:r>
          </w:p>
        </w:tc>
        <w:tc>
          <w:tcPr>
            <w:tcW w:w="220" w:type="dxa"/>
            <w:vAlign w:val="bottom"/>
          </w:tcPr>
          <w:p>
            <w:pPr>
              <w:spacing w:after="0"/>
              <w:rPr>
                <w:sz w:val="21"/>
                <w:szCs w:val="21"/>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825</w:t>
            </w:r>
          </w:p>
        </w:tc>
        <w:tc>
          <w:tcPr>
            <w:tcW w:w="1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0.72%</w:t>
            </w:r>
          </w:p>
        </w:tc>
        <w:tc>
          <w:tcPr>
            <w:tcW w:w="10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992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4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258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8"/>
                <w:szCs w:val="18"/>
                <w:color w:val="auto"/>
              </w:rPr>
              <w:t>Total agency MBS</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79,254</w:t>
            </w:r>
          </w:p>
        </w:tc>
        <w:tc>
          <w:tcPr>
            <w:tcW w:w="10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0.46%</w:t>
            </w:r>
          </w:p>
        </w:tc>
        <w:tc>
          <w:tcPr>
            <w:tcW w:w="10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89</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47,580</w:t>
            </w:r>
          </w:p>
        </w:tc>
        <w:tc>
          <w:tcPr>
            <w:tcW w:w="10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0.40%</w:t>
            </w: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09"/>
        </w:trPr>
        <w:tc>
          <w:tcPr>
            <w:tcW w:w="2580" w:type="dxa"/>
            <w:vAlign w:val="bottom"/>
            <w:gridSpan w:val="2"/>
          </w:tcPr>
          <w:p>
            <w:pPr>
              <w:ind w:left="720"/>
              <w:spacing w:after="0"/>
              <w:rPr>
                <w:sz w:val="20"/>
                <w:szCs w:val="20"/>
                <w:color w:val="auto"/>
              </w:rPr>
            </w:pPr>
            <w:r>
              <w:rPr>
                <w:rFonts w:ascii="Arial" w:cs="Arial" w:eastAsia="Arial" w:hAnsi="Arial"/>
                <w:sz w:val="18"/>
                <w:szCs w:val="18"/>
                <w:color w:val="auto"/>
              </w:rPr>
              <w:t>U.S. Treasury</w:t>
            </w:r>
          </w:p>
        </w:tc>
        <w:tc>
          <w:tcPr>
            <w:tcW w:w="2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580" w:type="dxa"/>
            <w:vAlign w:val="bottom"/>
            <w:gridSpan w:val="2"/>
          </w:tcPr>
          <w:p>
            <w:pPr>
              <w:ind w:left="720"/>
              <w:spacing w:after="0"/>
              <w:rPr>
                <w:sz w:val="20"/>
                <w:szCs w:val="20"/>
                <w:color w:val="auto"/>
              </w:rPr>
            </w:pPr>
            <w:r>
              <w:rPr>
                <w:rFonts w:ascii="Arial" w:cs="Arial" w:eastAsia="Arial" w:hAnsi="Arial"/>
                <w:sz w:val="18"/>
                <w:szCs w:val="18"/>
                <w:color w:val="auto"/>
              </w:rPr>
              <w:t>securities:</w:t>
            </w:r>
          </w:p>
        </w:tc>
        <w:tc>
          <w:tcPr>
            <w:tcW w:w="2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58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1 day</w:t>
            </w: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54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101</w:t>
            </w:r>
          </w:p>
        </w:tc>
        <w:tc>
          <w:tcPr>
            <w:tcW w:w="10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0.40%</w:t>
            </w:r>
          </w:p>
        </w:tc>
        <w:tc>
          <w:tcPr>
            <w:tcW w:w="1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9"/>
        </w:trPr>
        <w:tc>
          <w:tcPr>
            <w:tcW w:w="2580" w:type="dxa"/>
            <w:vAlign w:val="bottom"/>
            <w:gridSpan w:val="2"/>
          </w:tcPr>
          <w:p>
            <w:pPr>
              <w:ind w:left="720"/>
              <w:spacing w:after="0"/>
              <w:rPr>
                <w:sz w:val="20"/>
                <w:szCs w:val="20"/>
                <w:color w:val="auto"/>
              </w:rPr>
            </w:pPr>
            <w:r>
              <w:rPr>
                <w:rFonts w:ascii="Arial" w:cs="Arial" w:eastAsia="Arial" w:hAnsi="Arial"/>
                <w:sz w:val="18"/>
                <w:szCs w:val="18"/>
                <w:color w:val="auto"/>
              </w:rPr>
              <w:t>Total / Weighted</w:t>
            </w:r>
          </w:p>
        </w:tc>
        <w:tc>
          <w:tcPr>
            <w:tcW w:w="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vMerge w:val="restart"/>
          </w:tcPr>
          <w:p>
            <w:pPr>
              <w:jc w:val="right"/>
              <w:ind w:right="33"/>
              <w:spacing w:after="0"/>
              <w:rPr>
                <w:sz w:val="20"/>
                <w:szCs w:val="20"/>
                <w:color w:val="auto"/>
              </w:rPr>
            </w:pPr>
            <w:r>
              <w:rPr>
                <w:rFonts w:ascii="Arial" w:cs="Arial" w:eastAsia="Arial" w:hAnsi="Arial"/>
                <w:sz w:val="18"/>
                <w:szCs w:val="18"/>
                <w:color w:val="auto"/>
              </w:rPr>
              <w:t>79,254</w:t>
            </w:r>
          </w:p>
        </w:tc>
        <w:tc>
          <w:tcPr>
            <w:tcW w:w="100" w:type="dxa"/>
            <w:vAlign w:val="bottom"/>
          </w:tcPr>
          <w:p>
            <w:pPr>
              <w:spacing w:after="0"/>
              <w:rPr>
                <w:sz w:val="18"/>
                <w:szCs w:val="18"/>
                <w:color w:val="auto"/>
              </w:rPr>
            </w:pPr>
          </w:p>
        </w:tc>
        <w:tc>
          <w:tcPr>
            <w:tcW w:w="14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rPr>
              <w:t>0.46%</w:t>
            </w:r>
          </w:p>
        </w:tc>
        <w:tc>
          <w:tcPr>
            <w:tcW w:w="100" w:type="dxa"/>
            <w:vAlign w:val="bottom"/>
          </w:tcPr>
          <w:p>
            <w:pPr>
              <w:spacing w:after="0"/>
              <w:rPr>
                <w:sz w:val="18"/>
                <w:szCs w:val="18"/>
                <w:color w:val="auto"/>
              </w:rPr>
            </w:pPr>
          </w:p>
        </w:tc>
        <w:tc>
          <w:tcPr>
            <w:tcW w:w="1340" w:type="dxa"/>
            <w:vAlign w:val="bottom"/>
            <w:tcBorders>
              <w:top w:val="single" w:sz="8" w:color="auto"/>
            </w:tcBorders>
            <w:vMerge w:val="restart"/>
          </w:tcPr>
          <w:p>
            <w:pPr>
              <w:jc w:val="right"/>
              <w:ind w:right="14"/>
              <w:spacing w:after="0"/>
              <w:rPr>
                <w:sz w:val="20"/>
                <w:szCs w:val="20"/>
                <w:color w:val="auto"/>
              </w:rPr>
            </w:pPr>
            <w:r>
              <w:rPr>
                <w:rFonts w:ascii="Arial" w:cs="Arial" w:eastAsia="Arial" w:hAnsi="Arial"/>
                <w:sz w:val="18"/>
                <w:szCs w:val="18"/>
                <w:color w:val="auto"/>
              </w:rPr>
              <w:t>89</w:t>
            </w:r>
          </w:p>
        </w:tc>
        <w:tc>
          <w:tcPr>
            <w:tcW w:w="120" w:type="dxa"/>
            <w:vAlign w:val="bottom"/>
          </w:tcPr>
          <w:p>
            <w:pPr>
              <w:spacing w:after="0"/>
              <w:rPr>
                <w:sz w:val="18"/>
                <w:szCs w:val="18"/>
                <w:color w:val="auto"/>
              </w:rPr>
            </w:pPr>
          </w:p>
        </w:tc>
        <w:tc>
          <w:tcPr>
            <w:tcW w:w="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vMerge w:val="restart"/>
          </w:tcPr>
          <w:p>
            <w:pPr>
              <w:jc w:val="right"/>
              <w:ind w:right="13"/>
              <w:spacing w:after="0"/>
              <w:rPr>
                <w:sz w:val="20"/>
                <w:szCs w:val="20"/>
                <w:color w:val="auto"/>
              </w:rPr>
            </w:pPr>
            <w:r>
              <w:rPr>
                <w:rFonts w:ascii="Arial" w:cs="Arial" w:eastAsia="Arial" w:hAnsi="Arial"/>
                <w:sz w:val="18"/>
                <w:szCs w:val="18"/>
                <w:color w:val="auto"/>
              </w:rPr>
              <w:t>47,681</w:t>
            </w:r>
          </w:p>
        </w:tc>
        <w:tc>
          <w:tcPr>
            <w:tcW w:w="100" w:type="dxa"/>
            <w:vAlign w:val="bottom"/>
          </w:tcPr>
          <w:p>
            <w:pPr>
              <w:spacing w:after="0"/>
              <w:rPr>
                <w:sz w:val="18"/>
                <w:szCs w:val="18"/>
                <w:color w:val="auto"/>
              </w:rPr>
            </w:pPr>
          </w:p>
        </w:tc>
        <w:tc>
          <w:tcPr>
            <w:tcW w:w="14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rPr>
              <w:t>0.40%</w:t>
            </w:r>
          </w:p>
        </w:tc>
        <w:tc>
          <w:tcPr>
            <w:tcW w:w="100" w:type="dxa"/>
            <w:vAlign w:val="bottom"/>
          </w:tcPr>
          <w:p>
            <w:pPr>
              <w:spacing w:after="0"/>
              <w:rPr>
                <w:sz w:val="18"/>
                <w:szCs w:val="18"/>
                <w:color w:val="auto"/>
              </w:rPr>
            </w:pPr>
          </w:p>
        </w:tc>
        <w:tc>
          <w:tcPr>
            <w:tcW w:w="1360" w:type="dxa"/>
            <w:vAlign w:val="bottom"/>
            <w:tcBorders>
              <w:top w:val="single" w:sz="8" w:color="auto"/>
            </w:tcBorders>
            <w:vMerge w:val="restart"/>
          </w:tcPr>
          <w:p>
            <w:pPr>
              <w:jc w:val="right"/>
              <w:ind w:right="14"/>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42"/>
        </w:trPr>
        <w:tc>
          <w:tcPr>
            <w:tcW w:w="2580" w:type="dxa"/>
            <w:vAlign w:val="bottom"/>
            <w:gridSpan w:val="2"/>
          </w:tcPr>
          <w:p>
            <w:pPr>
              <w:ind w:left="720"/>
              <w:spacing w:after="0"/>
              <w:rPr>
                <w:sz w:val="20"/>
                <w:szCs w:val="20"/>
                <w:color w:val="auto"/>
              </w:rPr>
            </w:pPr>
            <w:r>
              <w:rPr>
                <w:rFonts w:ascii="Arial" w:cs="Arial" w:eastAsia="Arial" w:hAnsi="Arial"/>
                <w:sz w:val="18"/>
                <w:szCs w:val="18"/>
                <w:color w:val="auto"/>
              </w:rPr>
              <w:t>Average</w:t>
            </w:r>
          </w:p>
        </w:tc>
        <w:tc>
          <w:tcPr>
            <w:tcW w:w="220" w:type="dxa"/>
            <w:vAlign w:val="bottom"/>
            <w:tcBorders>
              <w:bottom w:val="single" w:sz="8" w:color="auto"/>
            </w:tcBorders>
            <w:vMerge w:val="continue"/>
          </w:tcPr>
          <w:p>
            <w:pPr>
              <w:spacing w:after="0"/>
              <w:rPr>
                <w:sz w:val="20"/>
                <w:szCs w:val="20"/>
                <w:color w:val="auto"/>
              </w:rPr>
            </w:pPr>
          </w:p>
        </w:tc>
        <w:tc>
          <w:tcPr>
            <w:tcW w:w="116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Borders>
              <w:bottom w:val="single" w:sz="8" w:color="auto"/>
            </w:tcBorders>
            <w:vMerge w:val="continue"/>
          </w:tcPr>
          <w:p>
            <w:pPr>
              <w:spacing w:after="0"/>
              <w:rPr>
                <w:sz w:val="20"/>
                <w:szCs w:val="20"/>
                <w:color w:val="auto"/>
              </w:rPr>
            </w:pPr>
          </w:p>
        </w:tc>
        <w:tc>
          <w:tcPr>
            <w:tcW w:w="11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As of September 30, 2012 and December 31, 2011, we did not have an amount at risk with any repurchase agreement counterparty greater than 4% of our stockholders’ equity.</w:t>
      </w:r>
    </w:p>
    <w:p>
      <w:pPr>
        <w:spacing w:after="0" w:line="116"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As of September 30, 2012 and December 31, 2011, we had other debt consisting of debt of consolidated VIEs outstanding with a carrying value of $1.0 billion and $54 million, respectively, and a principal balance of $979 million (or $976 million, net of original issue discounts) and $54 million, respectively. Debt of consolidated VIEs consists of variable rate debt outstanding in connection with the consolidation of structured transactions for which we are the primary beneficiary of in our accompanying financial statements. As of September 30, 2012, debt of consolidated VIEs carried a weighted average interest rate of LIBOR plus 42 basis points. The actual maturities of debt of consolidated VIEs are generally shorter than the stated contractual maturities. The actual maturities are affected by the contractual lives of the underlying agency MBS securitizing the debt of consolidated VIEs and periodic principal prepayments of such underlying securities. The estimated weighted average life of debt of consolidated VIEs as of September 30, 2012 was 3.8 years.</w:t>
      </w:r>
    </w:p>
    <w:p>
      <w:pPr>
        <w:spacing w:after="0" w:line="3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and Other Hedging Instruments</w:t>
      </w:r>
    </w:p>
    <w:p>
      <w:pPr>
        <w:spacing w:after="0" w:line="17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In connection with our risk management strategy, we hedge a portion of our interest rate risk by entering into derivative and other hedging instrument contracts. We may enter into agreements for interest rate swaps, interest rate swaptions, interest rate cap or floor contracts and futures or forward contracts. We may also purchase or short TBA and U.S. Treasury securities, purchase or write put or call options on TBA securities or we may invest in other types of mortgage derivative securities, such as interest-only securities, and synthetic total return swaps, such as the Markit IOS Index. Our risk management strategy attempts to manage the overall risk of the portfolio, reduce fluctuations in book value and generate additional income distributable to stockholders. For additional information regarding our derivative instruments and our overall risk management strategy, please refer to the discussion of derivative and other hedging instruments in Note 3.</w:t>
      </w:r>
    </w:p>
    <w:p>
      <w:pPr>
        <w:spacing w:after="0" w:line="13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September 30, 2012 and December 31, 2011, our derivative and other hedging instruments were comprised primarily of interest rate swaps, which have the effect of economically modifying the repricing characteristics of our repurchase agreements and cash flows on such liabilities. Our interest rate swaps are used to manage the interest rate risk created by our variable rate short-term repurchase agreements. Under our interest rate swaps, we typically pay a fixed-rate and receive a floating rate based on one-month LIBOR with terms up to 10 years.</w:t>
      </w:r>
    </w:p>
    <w:p>
      <w:pPr>
        <w:spacing w:after="0" w:line="133"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Derivative and other hedging instruments entered into in addition to interest rate swap agreements are intended to supplement our use of interest rate swaps and we do not currently expect our use of these instruments to be the primary protection against interest rate risk for our portfolio. These instruments are accounted for as derivatives, but are not generally designated as hedges under ASC 815, or as other securities, with any changes in the fair values of the contracts prior to their settlement date included in earnings in gain (loss) on derivative instruments and other securities, net in our consolidated statements of comprehensive income. We do not use derivative or other hedging instruments for speculative purposes.</w:t>
      </w: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968"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i w:val="1"/>
          <w:iCs w:val="1"/>
          <w:color w:val="auto"/>
        </w:rPr>
        <w:t>Derivatives Designated as Hedging Instruments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Prior to September 30, 2011, our interest rate swaps were typically designated as cash flow hedges under ASC 815; however, as of September 30, 2011, we elected to discontinue hedge accounting for our interest rate swaps in order to increase our funding flexibility. For further information regarding our discontinuation of hedge accounting please refer to Note 3.</w:t>
      </w:r>
    </w:p>
    <w:p>
      <w:pPr>
        <w:spacing w:after="0" w:line="127"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For the three and nine months ended September 30, 2012, we reclassified $51 million and $155 million, respectively, of net deferred losses from accumulated OCI into interest expense related to our de-designated interest rate swaps and recognized an equal, but offsetting, amount in other comprehensive income. Our total net periodic interest costs on our swap portfolio was $125 million and $330 million for the three and nine months ended September 30, 2012, respectively. The difference of $74 million and $175 million for the three and nine months ended September 30, 2012, respectively, are reported in our accompanying consolidated statement of comprehensive income in gain (loss) on derivative instruments and other securities, net. As of September 30, 2012, the net deferred loss in accumulated OCI related to de-designated interest rate swaps was $536 million and the weighted average remaining contractual term was 2.5 years. The net deferred loss expected to be reclassified from OCI into interest expense over the next twelve months is $194 million.</w:t>
      </w:r>
    </w:p>
    <w:p>
      <w:pPr>
        <w:spacing w:after="0" w:line="138"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The following tables summarize information about our outstanding interest rate swaps designated as hedging instruments under ASC 815 and their effect on our consolidated statement of comprehensive income for the three and nine months ended September 30, 2011 (dollars in millions).</w:t>
      </w:r>
    </w:p>
    <w:p>
      <w:pPr>
        <w:sectPr>
          <w:pgSz w:w="11900" w:h="16838" w:orient="portrait"/>
          <w:cols w:equalWidth="0" w:num="1">
            <w:col w:w="11420"/>
          </w:cols>
          <w:pgMar w:left="240" w:top="746" w:right="239" w:bottom="1440" w:gutter="0" w:footer="0" w:header="0"/>
        </w:sectPr>
      </w:pPr>
    </w:p>
    <w:p>
      <w:pPr>
        <w:spacing w:after="0" w:line="23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780" w:type="dxa"/>
            <w:vAlign w:val="bottom"/>
            <w:vMerge w:val="restart"/>
          </w:tcPr>
          <w:p>
            <w:pPr>
              <w:spacing w:after="0"/>
              <w:rPr>
                <w:sz w:val="20"/>
                <w:szCs w:val="20"/>
                <w:color w:val="auto"/>
              </w:rPr>
            </w:pPr>
            <w:r>
              <w:rPr>
                <w:rFonts w:ascii="Arial" w:cs="Arial" w:eastAsia="Arial" w:hAnsi="Arial"/>
                <w:sz w:val="14"/>
                <w:szCs w:val="14"/>
                <w:b w:val="1"/>
                <w:bCs w:val="1"/>
                <w:color w:val="auto"/>
              </w:rPr>
              <w:t>Interest Rate Swaps Designated</w:t>
            </w:r>
          </w:p>
        </w:tc>
        <w:tc>
          <w:tcPr>
            <w:tcW w:w="1680" w:type="dxa"/>
            <w:vAlign w:val="bottom"/>
          </w:tcPr>
          <w:p>
            <w:pPr>
              <w:jc w:val="center"/>
              <w:ind w:left="588"/>
              <w:spacing w:after="0"/>
              <w:rPr>
                <w:sz w:val="20"/>
                <w:szCs w:val="20"/>
                <w:color w:val="auto"/>
              </w:rPr>
            </w:pPr>
            <w:r>
              <w:rPr>
                <w:rFonts w:ascii="Arial" w:cs="Arial" w:eastAsia="Arial" w:hAnsi="Arial"/>
                <w:sz w:val="14"/>
                <w:szCs w:val="14"/>
                <w:b w:val="1"/>
                <w:bCs w:val="1"/>
                <w:color w:val="auto"/>
                <w:w w:val="90"/>
              </w:rPr>
              <w:t>Beginning</w:t>
            </w:r>
          </w:p>
        </w:tc>
        <w:tc>
          <w:tcPr>
            <w:tcW w:w="960" w:type="dxa"/>
            <w:vAlign w:val="bottom"/>
          </w:tcPr>
          <w:p>
            <w:pPr>
              <w:spacing w:after="0"/>
              <w:rPr>
                <w:sz w:val="14"/>
                <w:szCs w:val="14"/>
                <w:color w:val="auto"/>
              </w:rPr>
            </w:pPr>
          </w:p>
        </w:tc>
        <w:tc>
          <w:tcPr>
            <w:tcW w:w="980" w:type="dxa"/>
            <w:vAlign w:val="bottom"/>
            <w:vMerge w:val="restart"/>
          </w:tcPr>
          <w:p>
            <w:pPr>
              <w:ind w:left="160"/>
              <w:spacing w:after="0"/>
              <w:rPr>
                <w:sz w:val="20"/>
                <w:szCs w:val="20"/>
                <w:color w:val="auto"/>
              </w:rPr>
            </w:pPr>
            <w:r>
              <w:rPr>
                <w:rFonts w:ascii="Arial" w:cs="Arial" w:eastAsia="Arial" w:hAnsi="Arial"/>
                <w:sz w:val="14"/>
                <w:szCs w:val="14"/>
                <w:b w:val="1"/>
                <w:bCs w:val="1"/>
                <w:color w:val="auto"/>
                <w:w w:val="95"/>
              </w:rPr>
              <w:t>Expirations /</w:t>
            </w:r>
          </w:p>
        </w:tc>
        <w:tc>
          <w:tcPr>
            <w:tcW w:w="0" w:type="dxa"/>
            <w:vAlign w:val="bottom"/>
          </w:tcPr>
          <w:p>
            <w:pPr>
              <w:spacing w:after="0"/>
              <w:rPr>
                <w:sz w:val="1"/>
                <w:szCs w:val="1"/>
                <w:color w:val="auto"/>
              </w:rPr>
            </w:pPr>
          </w:p>
        </w:tc>
      </w:tr>
      <w:tr>
        <w:trPr>
          <w:trHeight w:val="149"/>
        </w:trPr>
        <w:tc>
          <w:tcPr>
            <w:tcW w:w="2780" w:type="dxa"/>
            <w:vAlign w:val="bottom"/>
            <w:vMerge w:val="continue"/>
          </w:tcPr>
          <w:p>
            <w:pPr>
              <w:spacing w:after="0"/>
              <w:rPr>
                <w:sz w:val="12"/>
                <w:szCs w:val="12"/>
                <w:color w:val="auto"/>
              </w:rPr>
            </w:pPr>
          </w:p>
        </w:tc>
        <w:tc>
          <w:tcPr>
            <w:tcW w:w="1680" w:type="dxa"/>
            <w:vAlign w:val="bottom"/>
          </w:tcPr>
          <w:p>
            <w:pPr>
              <w:jc w:val="center"/>
              <w:ind w:left="588"/>
              <w:spacing w:after="0" w:line="149" w:lineRule="exact"/>
              <w:rPr>
                <w:sz w:val="20"/>
                <w:szCs w:val="20"/>
                <w:color w:val="auto"/>
              </w:rPr>
            </w:pPr>
            <w:r>
              <w:rPr>
                <w:rFonts w:ascii="Arial" w:cs="Arial" w:eastAsia="Arial" w:hAnsi="Arial"/>
                <w:sz w:val="14"/>
                <w:szCs w:val="14"/>
                <w:b w:val="1"/>
                <w:bCs w:val="1"/>
                <w:color w:val="auto"/>
                <w:w w:val="96"/>
              </w:rPr>
              <w:t>Notional</w:t>
            </w:r>
          </w:p>
        </w:tc>
        <w:tc>
          <w:tcPr>
            <w:tcW w:w="96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Additions</w:t>
            </w:r>
          </w:p>
        </w:tc>
        <w:tc>
          <w:tcPr>
            <w:tcW w:w="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2780" w:type="dxa"/>
            <w:vAlign w:val="bottom"/>
          </w:tcPr>
          <w:p>
            <w:pPr>
              <w:spacing w:after="0"/>
              <w:rPr>
                <w:sz w:val="20"/>
                <w:szCs w:val="20"/>
                <w:color w:val="auto"/>
              </w:rPr>
            </w:pPr>
            <w:r>
              <w:rPr>
                <w:rFonts w:ascii="Arial" w:cs="Arial" w:eastAsia="Arial" w:hAnsi="Arial"/>
                <w:sz w:val="14"/>
                <w:szCs w:val="14"/>
                <w:b w:val="1"/>
                <w:bCs w:val="1"/>
                <w:color w:val="auto"/>
              </w:rPr>
              <w:t>as Hedging Instruments</w:t>
            </w:r>
          </w:p>
        </w:tc>
        <w:tc>
          <w:tcPr>
            <w:tcW w:w="1680" w:type="dxa"/>
            <w:vAlign w:val="bottom"/>
          </w:tcPr>
          <w:p>
            <w:pPr>
              <w:jc w:val="center"/>
              <w:ind w:left="588"/>
              <w:spacing w:after="0"/>
              <w:rPr>
                <w:sz w:val="20"/>
                <w:szCs w:val="20"/>
                <w:color w:val="auto"/>
              </w:rPr>
            </w:pPr>
            <w:r>
              <w:rPr>
                <w:rFonts w:ascii="Arial" w:cs="Arial" w:eastAsia="Arial" w:hAnsi="Arial"/>
                <w:sz w:val="14"/>
                <w:szCs w:val="14"/>
                <w:b w:val="1"/>
                <w:bCs w:val="1"/>
                <w:color w:val="auto"/>
                <w:w w:val="94"/>
              </w:rPr>
              <w:t>Amount</w:t>
            </w:r>
          </w:p>
        </w:tc>
        <w:tc>
          <w:tcPr>
            <w:tcW w:w="960" w:type="dxa"/>
            <w:vAlign w:val="bottom"/>
            <w:vMerge w:val="continue"/>
          </w:tcPr>
          <w:p>
            <w:pPr>
              <w:spacing w:after="0"/>
              <w:rPr>
                <w:sz w:val="16"/>
                <w:szCs w:val="16"/>
                <w:color w:val="auto"/>
              </w:rPr>
            </w:pPr>
          </w:p>
        </w:tc>
        <w:tc>
          <w:tcPr>
            <w:tcW w:w="980" w:type="dxa"/>
            <w:vAlign w:val="bottom"/>
          </w:tcPr>
          <w:p>
            <w:pPr>
              <w:ind w:left="160"/>
              <w:spacing w:after="0"/>
              <w:rPr>
                <w:sz w:val="20"/>
                <w:szCs w:val="20"/>
                <w:color w:val="auto"/>
              </w:rPr>
            </w:pPr>
            <w:r>
              <w:rPr>
                <w:rFonts w:ascii="Arial" w:cs="Arial" w:eastAsia="Arial" w:hAnsi="Arial"/>
                <w:sz w:val="14"/>
                <w:szCs w:val="14"/>
                <w:b w:val="1"/>
                <w:bCs w:val="1"/>
                <w:color w:val="auto"/>
                <w:w w:val="90"/>
              </w:rPr>
              <w:t>Terminations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708025</wp:posOffset>
            </wp:positionH>
            <wp:positionV relativeFrom="paragraph">
              <wp:posOffset>7620</wp:posOffset>
            </wp:positionV>
            <wp:extent cx="5848985"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48985"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ind w:left="80"/>
        <w:spacing w:after="0"/>
        <w:tabs>
          <w:tab w:leader="none" w:pos="1500" w:val="left"/>
        </w:tabs>
        <w:rPr>
          <w:sz w:val="20"/>
          <w:szCs w:val="20"/>
          <w:color w:val="auto"/>
        </w:rPr>
      </w:pPr>
      <w:r>
        <w:rPr>
          <w:rFonts w:ascii="Arial" w:cs="Arial" w:eastAsia="Arial" w:hAnsi="Arial"/>
          <w:sz w:val="14"/>
          <w:szCs w:val="14"/>
          <w:b w:val="1"/>
          <w:bCs w:val="1"/>
          <w:color w:val="auto"/>
        </w:rPr>
        <w:t>Hedge De-</w:t>
      </w:r>
      <w:r>
        <w:rPr>
          <w:sz w:val="20"/>
          <w:szCs w:val="20"/>
          <w:color w:val="auto"/>
        </w:rPr>
        <w:tab/>
      </w:r>
      <w:r>
        <w:rPr>
          <w:rFonts w:ascii="Arial" w:cs="Arial" w:eastAsia="Arial" w:hAnsi="Arial"/>
          <w:sz w:val="12"/>
          <w:szCs w:val="12"/>
          <w:b w:val="1"/>
          <w:bCs w:val="1"/>
          <w:color w:val="auto"/>
        </w:rPr>
        <w:t>Ending</w:t>
      </w:r>
    </w:p>
    <w:p>
      <w:pPr>
        <w:spacing w:after="0" w:line="4" w:lineRule="exact"/>
        <w:rPr>
          <w:sz w:val="20"/>
          <w:szCs w:val="20"/>
          <w:color w:val="auto"/>
        </w:rPr>
      </w:pPr>
    </w:p>
    <w:p>
      <w:pPr>
        <w:spacing w:after="0"/>
        <w:tabs>
          <w:tab w:leader="none" w:pos="1180" w:val="left"/>
        </w:tabs>
        <w:rPr>
          <w:sz w:val="20"/>
          <w:szCs w:val="20"/>
          <w:color w:val="auto"/>
        </w:rPr>
      </w:pPr>
      <w:r>
        <w:rPr>
          <w:rFonts w:ascii="Arial" w:cs="Arial" w:eastAsia="Arial" w:hAnsi="Arial"/>
          <w:sz w:val="13"/>
          <w:szCs w:val="13"/>
          <w:b w:val="1"/>
          <w:bCs w:val="1"/>
          <w:color w:val="auto"/>
        </w:rPr>
        <w:t>Designations</w:t>
      </w:r>
      <w:r>
        <w:rPr>
          <w:sz w:val="20"/>
          <w:szCs w:val="20"/>
          <w:color w:val="auto"/>
        </w:rPr>
        <w:tab/>
      </w:r>
      <w:r>
        <w:rPr>
          <w:rFonts w:ascii="Arial" w:cs="Arial" w:eastAsia="Arial" w:hAnsi="Arial"/>
          <w:sz w:val="13"/>
          <w:szCs w:val="13"/>
          <w:b w:val="1"/>
          <w:bCs w:val="1"/>
          <w:color w:val="auto"/>
        </w:rPr>
        <w:t>Notional Amount</w:t>
      </w:r>
    </w:p>
    <w:p>
      <w:pPr>
        <w:spacing w:after="0" w:line="63" w:lineRule="exact"/>
        <w:rPr>
          <w:sz w:val="20"/>
          <w:szCs w:val="20"/>
          <w:color w:val="auto"/>
        </w:rPr>
      </w:pPr>
    </w:p>
    <w:p>
      <w:pPr>
        <w:sectPr>
          <w:pgSz w:w="11900" w:h="16838" w:orient="portrait"/>
          <w:cols w:equalWidth="0" w:num="2">
            <w:col w:w="7540" w:space="420"/>
            <w:col w:w="3460"/>
          </w:cols>
          <w:pgMar w:left="240" w:top="746" w:right="239" w:bottom="1440" w:gutter="0" w:footer="0" w:header="0"/>
          <w:type w:val="continuous"/>
        </w:sectPr>
      </w:pPr>
    </w:p>
    <w:tbl>
      <w:tblPr>
        <w:tblLayout w:type="fixed"/>
        <w:tblInd w:w="1140" w:type="dxa"/>
        <w:tblCellMar>
          <w:top w:w="0" w:type="dxa"/>
          <w:left w:w="0" w:type="dxa"/>
          <w:bottom w:w="0" w:type="dxa"/>
          <w:right w:w="0" w:type="dxa"/>
        </w:tblCellMar>
      </w:tblPr>
      <w:tr>
        <w:trPr>
          <w:trHeight w:val="206"/>
        </w:trPr>
        <w:tc>
          <w:tcPr>
            <w:tcW w:w="3060" w:type="dxa"/>
            <w:vAlign w:val="bottom"/>
          </w:tcPr>
          <w:p>
            <w:pPr>
              <w:spacing w:after="0"/>
              <w:rPr>
                <w:sz w:val="20"/>
                <w:szCs w:val="20"/>
                <w:color w:val="auto"/>
              </w:rPr>
            </w:pPr>
            <w:r>
              <w:rPr>
                <w:rFonts w:ascii="Arial" w:cs="Arial" w:eastAsia="Arial" w:hAnsi="Arial"/>
                <w:sz w:val="16"/>
                <w:szCs w:val="16"/>
                <w:color w:val="auto"/>
              </w:rPr>
              <w:t>Three months ended September 30, 2011</w:t>
            </w:r>
          </w:p>
        </w:tc>
        <w:tc>
          <w:tcPr>
            <w:tcW w:w="70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59"/>
              <w:spacing w:after="0"/>
              <w:rPr>
                <w:sz w:val="20"/>
                <w:szCs w:val="20"/>
                <w:color w:val="auto"/>
              </w:rPr>
            </w:pPr>
            <w:r>
              <w:rPr>
                <w:rFonts w:ascii="Arial" w:cs="Arial" w:eastAsia="Arial" w:hAnsi="Arial"/>
                <w:sz w:val="16"/>
                <w:szCs w:val="16"/>
                <w:color w:val="auto"/>
              </w:rPr>
              <w:t>22,000</w:t>
            </w:r>
          </w:p>
        </w:tc>
        <w:tc>
          <w:tcPr>
            <w:tcW w:w="1100" w:type="dxa"/>
            <w:vAlign w:val="bottom"/>
          </w:tcPr>
          <w:p>
            <w:pPr>
              <w:jc w:val="right"/>
              <w:ind w:right="319"/>
              <w:spacing w:after="0"/>
              <w:rPr>
                <w:sz w:val="20"/>
                <w:szCs w:val="20"/>
                <w:color w:val="auto"/>
              </w:rPr>
            </w:pPr>
            <w:r>
              <w:rPr>
                <w:rFonts w:ascii="Arial" w:cs="Arial" w:eastAsia="Arial" w:hAnsi="Arial"/>
                <w:sz w:val="16"/>
                <w:szCs w:val="16"/>
                <w:color w:val="auto"/>
              </w:rPr>
              <w:t>2,100</w:t>
            </w:r>
          </w:p>
        </w:tc>
        <w:tc>
          <w:tcPr>
            <w:tcW w:w="740" w:type="dxa"/>
            <w:vAlign w:val="bottom"/>
          </w:tcPr>
          <w:p>
            <w:pPr>
              <w:jc w:val="right"/>
              <w:spacing w:after="0"/>
              <w:rPr>
                <w:sz w:val="20"/>
                <w:szCs w:val="20"/>
                <w:color w:val="auto"/>
              </w:rPr>
            </w:pPr>
            <w:r>
              <w:rPr>
                <w:rFonts w:ascii="Arial" w:cs="Arial" w:eastAsia="Arial" w:hAnsi="Arial"/>
                <w:sz w:val="16"/>
                <w:szCs w:val="16"/>
                <w:color w:val="auto"/>
              </w:rPr>
              <w:t>(200)</w:t>
            </w:r>
          </w:p>
        </w:tc>
      </w:tr>
      <w:tr>
        <w:trPr>
          <w:trHeight w:val="270"/>
        </w:trPr>
        <w:tc>
          <w:tcPr>
            <w:tcW w:w="3060" w:type="dxa"/>
            <w:vAlign w:val="bottom"/>
          </w:tcPr>
          <w:p>
            <w:pPr>
              <w:spacing w:after="0"/>
              <w:rPr>
                <w:sz w:val="20"/>
                <w:szCs w:val="20"/>
                <w:color w:val="auto"/>
              </w:rPr>
            </w:pPr>
            <w:r>
              <w:rPr>
                <w:rFonts w:ascii="Arial" w:cs="Arial" w:eastAsia="Arial" w:hAnsi="Arial"/>
                <w:sz w:val="16"/>
                <w:szCs w:val="16"/>
                <w:color w:val="auto"/>
              </w:rPr>
              <w:t>Nine months ended September 30, 2011</w:t>
            </w:r>
          </w:p>
        </w:tc>
        <w:tc>
          <w:tcPr>
            <w:tcW w:w="70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59"/>
              <w:spacing w:after="0"/>
              <w:rPr>
                <w:sz w:val="20"/>
                <w:szCs w:val="20"/>
                <w:color w:val="auto"/>
              </w:rPr>
            </w:pPr>
            <w:r>
              <w:rPr>
                <w:rFonts w:ascii="Arial" w:cs="Arial" w:eastAsia="Arial" w:hAnsi="Arial"/>
                <w:sz w:val="16"/>
                <w:szCs w:val="16"/>
                <w:color w:val="auto"/>
              </w:rPr>
              <w:t>6,450</w:t>
            </w:r>
          </w:p>
        </w:tc>
        <w:tc>
          <w:tcPr>
            <w:tcW w:w="1100" w:type="dxa"/>
            <w:vAlign w:val="bottom"/>
          </w:tcPr>
          <w:p>
            <w:pPr>
              <w:jc w:val="right"/>
              <w:ind w:right="319"/>
              <w:spacing w:after="0"/>
              <w:rPr>
                <w:sz w:val="20"/>
                <w:szCs w:val="20"/>
                <w:color w:val="auto"/>
              </w:rPr>
            </w:pPr>
            <w:r>
              <w:rPr>
                <w:rFonts w:ascii="Arial" w:cs="Arial" w:eastAsia="Arial" w:hAnsi="Arial"/>
                <w:sz w:val="16"/>
                <w:szCs w:val="16"/>
                <w:color w:val="auto"/>
              </w:rPr>
              <w:t>17,900</w:t>
            </w:r>
          </w:p>
        </w:tc>
        <w:tc>
          <w:tcPr>
            <w:tcW w:w="740" w:type="dxa"/>
            <w:vAlign w:val="bottom"/>
          </w:tcPr>
          <w:p>
            <w:pPr>
              <w:jc w:val="right"/>
              <w:spacing w:after="0"/>
              <w:rPr>
                <w:sz w:val="20"/>
                <w:szCs w:val="20"/>
                <w:color w:val="auto"/>
              </w:rPr>
            </w:pPr>
            <w:r>
              <w:rPr>
                <w:rFonts w:ascii="Arial" w:cs="Arial" w:eastAsia="Arial" w:hAnsi="Arial"/>
                <w:sz w:val="16"/>
                <w:szCs w:val="16"/>
                <w:color w:val="auto"/>
              </w:rPr>
              <w:t>(450)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tbl>
      <w:tblPr>
        <w:tblLayout w:type="fixed"/>
        <w:tblInd w:w="40" w:type="dxa"/>
        <w:tblCellMar>
          <w:top w:w="0" w:type="dxa"/>
          <w:left w:w="0" w:type="dxa"/>
          <w:bottom w:w="0" w:type="dxa"/>
          <w:right w:w="0" w:type="dxa"/>
        </w:tblCellMar>
      </w:tblPr>
      <w:tr>
        <w:trPr>
          <w:trHeight w:val="162"/>
        </w:trPr>
        <w:tc>
          <w:tcPr>
            <w:tcW w:w="2520" w:type="dxa"/>
            <w:vAlign w:val="bottom"/>
          </w:tcPr>
          <w:p>
            <w:pPr>
              <w:spacing w:after="0"/>
              <w:rPr>
                <w:sz w:val="14"/>
                <w:szCs w:val="14"/>
                <w:color w:val="auto"/>
              </w:rPr>
            </w:pPr>
          </w:p>
        </w:tc>
        <w:tc>
          <w:tcPr>
            <w:tcW w:w="1580" w:type="dxa"/>
            <w:vAlign w:val="bottom"/>
            <w:vMerge w:val="restart"/>
          </w:tcPr>
          <w:p>
            <w:pPr>
              <w:jc w:val="center"/>
              <w:ind w:left="48"/>
              <w:spacing w:after="0"/>
              <w:rPr>
                <w:sz w:val="20"/>
                <w:szCs w:val="20"/>
                <w:color w:val="auto"/>
              </w:rPr>
            </w:pPr>
            <w:r>
              <w:rPr>
                <w:rFonts w:ascii="Arial" w:cs="Arial" w:eastAsia="Arial" w:hAnsi="Arial"/>
                <w:sz w:val="14"/>
                <w:szCs w:val="14"/>
                <w:b w:val="1"/>
                <w:bCs w:val="1"/>
                <w:color w:val="auto"/>
                <w:w w:val="94"/>
              </w:rPr>
              <w:t>Amount of</w:t>
            </w:r>
          </w:p>
        </w:tc>
        <w:tc>
          <w:tcPr>
            <w:tcW w:w="1780" w:type="dxa"/>
            <w:vAlign w:val="bottom"/>
          </w:tcPr>
          <w:p>
            <w:pPr>
              <w:jc w:val="center"/>
              <w:spacing w:after="0"/>
              <w:rPr>
                <w:sz w:val="20"/>
                <w:szCs w:val="20"/>
                <w:color w:val="auto"/>
              </w:rPr>
            </w:pPr>
            <w:r>
              <w:rPr>
                <w:rFonts w:ascii="Arial" w:cs="Arial" w:eastAsia="Arial" w:hAnsi="Arial"/>
                <w:sz w:val="14"/>
                <w:szCs w:val="14"/>
                <w:b w:val="1"/>
                <w:bCs w:val="1"/>
                <w:color w:val="auto"/>
                <w:w w:val="94"/>
              </w:rPr>
              <w:t>Location of Gain</w:t>
            </w:r>
          </w:p>
        </w:tc>
        <w:tc>
          <w:tcPr>
            <w:tcW w:w="1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2520" w:type="dxa"/>
            <w:vAlign w:val="bottom"/>
          </w:tcPr>
          <w:p>
            <w:pPr>
              <w:spacing w:after="0"/>
              <w:rPr>
                <w:sz w:val="5"/>
                <w:szCs w:val="5"/>
                <w:color w:val="auto"/>
              </w:rPr>
            </w:pPr>
          </w:p>
        </w:tc>
        <w:tc>
          <w:tcPr>
            <w:tcW w:w="1580" w:type="dxa"/>
            <w:vAlign w:val="bottom"/>
            <w:vMerge w:val="continue"/>
          </w:tcPr>
          <w:p>
            <w:pPr>
              <w:spacing w:after="0"/>
              <w:rPr>
                <w:sz w:val="5"/>
                <w:szCs w:val="5"/>
                <w:color w:val="auto"/>
              </w:rPr>
            </w:pPr>
          </w:p>
        </w:tc>
        <w:tc>
          <w:tcPr>
            <w:tcW w:w="1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or (Loss)</w:t>
            </w:r>
          </w:p>
        </w:tc>
        <w:tc>
          <w:tcPr>
            <w:tcW w:w="15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520" w:type="dxa"/>
            <w:vAlign w:val="bottom"/>
          </w:tcPr>
          <w:p>
            <w:pPr>
              <w:spacing w:after="0"/>
              <w:rPr>
                <w:sz w:val="8"/>
                <w:szCs w:val="8"/>
                <w:color w:val="auto"/>
              </w:rPr>
            </w:pPr>
          </w:p>
        </w:tc>
        <w:tc>
          <w:tcPr>
            <w:tcW w:w="1580" w:type="dxa"/>
            <w:vAlign w:val="bottom"/>
            <w:vMerge w:val="restart"/>
          </w:tcPr>
          <w:p>
            <w:pPr>
              <w:jc w:val="center"/>
              <w:ind w:left="28"/>
              <w:spacing w:after="0" w:line="149" w:lineRule="exact"/>
              <w:rPr>
                <w:sz w:val="20"/>
                <w:szCs w:val="20"/>
                <w:color w:val="auto"/>
              </w:rPr>
            </w:pPr>
            <w:r>
              <w:rPr>
                <w:rFonts w:ascii="Arial" w:cs="Arial" w:eastAsia="Arial" w:hAnsi="Arial"/>
                <w:sz w:val="14"/>
                <w:szCs w:val="14"/>
                <w:b w:val="1"/>
                <w:bCs w:val="1"/>
                <w:color w:val="auto"/>
                <w:w w:val="92"/>
              </w:rPr>
              <w:t>Gain or (Loss)</w:t>
            </w:r>
          </w:p>
        </w:tc>
        <w:tc>
          <w:tcPr>
            <w:tcW w:w="1780" w:type="dxa"/>
            <w:vAlign w:val="bottom"/>
            <w:vMerge w:val="continue"/>
          </w:tcPr>
          <w:p>
            <w:pPr>
              <w:spacing w:after="0"/>
              <w:rPr>
                <w:sz w:val="8"/>
                <w:szCs w:val="8"/>
                <w:color w:val="auto"/>
              </w:rPr>
            </w:pPr>
          </w:p>
        </w:tc>
        <w:tc>
          <w:tcPr>
            <w:tcW w:w="1560" w:type="dxa"/>
            <w:vAlign w:val="bottom"/>
            <w:vMerge w:val="restart"/>
          </w:tcPr>
          <w:p>
            <w:pPr>
              <w:jc w:val="center"/>
              <w:ind w:left="208"/>
              <w:spacing w:after="0" w:line="149" w:lineRule="exact"/>
              <w:rPr>
                <w:sz w:val="20"/>
                <w:szCs w:val="20"/>
                <w:color w:val="auto"/>
              </w:rPr>
            </w:pPr>
            <w:r>
              <w:rPr>
                <w:rFonts w:ascii="Arial" w:cs="Arial" w:eastAsia="Arial" w:hAnsi="Arial"/>
                <w:sz w:val="14"/>
                <w:szCs w:val="14"/>
                <w:b w:val="1"/>
                <w:bCs w:val="1"/>
                <w:color w:val="auto"/>
                <w:w w:val="96"/>
              </w:rPr>
              <w:t>Amount of (Gain) or</w:t>
            </w:r>
          </w:p>
        </w:tc>
        <w:tc>
          <w:tcPr>
            <w:tcW w:w="0" w:type="dxa"/>
            <w:vAlign w:val="bottom"/>
          </w:tcPr>
          <w:p>
            <w:pPr>
              <w:spacing w:after="0"/>
              <w:rPr>
                <w:sz w:val="1"/>
                <w:szCs w:val="1"/>
                <w:color w:val="auto"/>
              </w:rPr>
            </w:pPr>
          </w:p>
        </w:tc>
      </w:tr>
      <w:tr>
        <w:trPr>
          <w:trHeight w:val="54"/>
        </w:trPr>
        <w:tc>
          <w:tcPr>
            <w:tcW w:w="2520" w:type="dxa"/>
            <w:vAlign w:val="bottom"/>
          </w:tcPr>
          <w:p>
            <w:pPr>
              <w:spacing w:after="0"/>
              <w:rPr>
                <w:sz w:val="4"/>
                <w:szCs w:val="4"/>
                <w:color w:val="auto"/>
              </w:rPr>
            </w:pPr>
          </w:p>
        </w:tc>
        <w:tc>
          <w:tcPr>
            <w:tcW w:w="1580" w:type="dxa"/>
            <w:vAlign w:val="bottom"/>
            <w:vMerge w:val="continue"/>
          </w:tcPr>
          <w:p>
            <w:pPr>
              <w:spacing w:after="0"/>
              <w:rPr>
                <w:sz w:val="4"/>
                <w:szCs w:val="4"/>
                <w:color w:val="auto"/>
              </w:rPr>
            </w:pPr>
          </w:p>
        </w:tc>
        <w:tc>
          <w:tcPr>
            <w:tcW w:w="1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Reclassified from</w:t>
            </w:r>
          </w:p>
        </w:tc>
        <w:tc>
          <w:tcPr>
            <w:tcW w:w="15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520" w:type="dxa"/>
            <w:vAlign w:val="bottom"/>
          </w:tcPr>
          <w:p>
            <w:pPr>
              <w:spacing w:after="0"/>
              <w:rPr>
                <w:sz w:val="9"/>
                <w:szCs w:val="9"/>
                <w:color w:val="auto"/>
              </w:rPr>
            </w:pPr>
          </w:p>
        </w:tc>
        <w:tc>
          <w:tcPr>
            <w:tcW w:w="1580" w:type="dxa"/>
            <w:vAlign w:val="bottom"/>
            <w:vMerge w:val="restart"/>
          </w:tcPr>
          <w:p>
            <w:pPr>
              <w:jc w:val="center"/>
              <w:ind w:left="48"/>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1780" w:type="dxa"/>
            <w:vAlign w:val="bottom"/>
            <w:vMerge w:val="continue"/>
          </w:tcPr>
          <w:p>
            <w:pPr>
              <w:spacing w:after="0"/>
              <w:rPr>
                <w:sz w:val="9"/>
                <w:szCs w:val="9"/>
                <w:color w:val="auto"/>
              </w:rPr>
            </w:pPr>
          </w:p>
        </w:tc>
        <w:tc>
          <w:tcPr>
            <w:tcW w:w="1560" w:type="dxa"/>
            <w:vAlign w:val="bottom"/>
            <w:vMerge w:val="restart"/>
          </w:tcPr>
          <w:p>
            <w:pPr>
              <w:jc w:val="center"/>
              <w:ind w:left="208"/>
              <w:spacing w:after="0" w:line="149" w:lineRule="exact"/>
              <w:rPr>
                <w:sz w:val="20"/>
                <w:szCs w:val="20"/>
                <w:color w:val="auto"/>
              </w:rPr>
            </w:pPr>
            <w:r>
              <w:rPr>
                <w:rFonts w:ascii="Arial" w:cs="Arial" w:eastAsia="Arial" w:hAnsi="Arial"/>
                <w:sz w:val="14"/>
                <w:szCs w:val="14"/>
                <w:b w:val="1"/>
                <w:bCs w:val="1"/>
                <w:color w:val="auto"/>
                <w:w w:val="87"/>
              </w:rPr>
              <w:t>Loss Reclassified</w:t>
            </w:r>
          </w:p>
        </w:tc>
        <w:tc>
          <w:tcPr>
            <w:tcW w:w="0" w:type="dxa"/>
            <w:vAlign w:val="bottom"/>
          </w:tcPr>
          <w:p>
            <w:pPr>
              <w:spacing w:after="0"/>
              <w:rPr>
                <w:sz w:val="1"/>
                <w:szCs w:val="1"/>
                <w:color w:val="auto"/>
              </w:rPr>
            </w:pPr>
          </w:p>
        </w:tc>
      </w:tr>
      <w:tr>
        <w:trPr>
          <w:trHeight w:val="41"/>
        </w:trPr>
        <w:tc>
          <w:tcPr>
            <w:tcW w:w="2520" w:type="dxa"/>
            <w:vAlign w:val="bottom"/>
          </w:tcPr>
          <w:p>
            <w:pPr>
              <w:spacing w:after="0"/>
              <w:rPr>
                <w:sz w:val="3"/>
                <w:szCs w:val="3"/>
                <w:color w:val="auto"/>
              </w:rPr>
            </w:pPr>
          </w:p>
        </w:tc>
        <w:tc>
          <w:tcPr>
            <w:tcW w:w="1580" w:type="dxa"/>
            <w:vAlign w:val="bottom"/>
            <w:vMerge w:val="continue"/>
          </w:tcPr>
          <w:p>
            <w:pPr>
              <w:spacing w:after="0"/>
              <w:rPr>
                <w:sz w:val="3"/>
                <w:szCs w:val="3"/>
                <w:color w:val="auto"/>
              </w:rPr>
            </w:pPr>
          </w:p>
        </w:tc>
        <w:tc>
          <w:tcPr>
            <w:tcW w:w="1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9"/>
              </w:rPr>
              <w:t>OCI into</w:t>
            </w:r>
          </w:p>
        </w:tc>
        <w:tc>
          <w:tcPr>
            <w:tcW w:w="15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44"/>
        </w:trPr>
        <w:tc>
          <w:tcPr>
            <w:tcW w:w="2520" w:type="dxa"/>
            <w:vAlign w:val="bottom"/>
            <w:vMerge w:val="restart"/>
          </w:tcPr>
          <w:p>
            <w:pPr>
              <w:spacing w:after="0"/>
              <w:rPr>
                <w:sz w:val="20"/>
                <w:szCs w:val="20"/>
                <w:color w:val="auto"/>
              </w:rPr>
            </w:pPr>
            <w:r>
              <w:rPr>
                <w:rFonts w:ascii="Arial" w:cs="Arial" w:eastAsia="Arial" w:hAnsi="Arial"/>
                <w:sz w:val="14"/>
                <w:szCs w:val="14"/>
                <w:b w:val="1"/>
                <w:bCs w:val="1"/>
                <w:color w:val="auto"/>
              </w:rPr>
              <w:t>Interest Rate Swaps Designated as</w:t>
            </w:r>
          </w:p>
        </w:tc>
        <w:tc>
          <w:tcPr>
            <w:tcW w:w="1580" w:type="dxa"/>
            <w:vAlign w:val="bottom"/>
          </w:tcPr>
          <w:p>
            <w:pPr>
              <w:jc w:val="center"/>
              <w:ind w:left="28"/>
              <w:spacing w:after="0" w:line="145" w:lineRule="exact"/>
              <w:rPr>
                <w:sz w:val="20"/>
                <w:szCs w:val="20"/>
                <w:color w:val="auto"/>
              </w:rPr>
            </w:pPr>
            <w:r>
              <w:rPr>
                <w:rFonts w:ascii="Arial" w:cs="Arial" w:eastAsia="Arial" w:hAnsi="Arial"/>
                <w:sz w:val="14"/>
                <w:szCs w:val="14"/>
                <w:b w:val="1"/>
                <w:bCs w:val="1"/>
                <w:color w:val="auto"/>
              </w:rPr>
              <w:t>OCI</w:t>
            </w:r>
          </w:p>
        </w:tc>
        <w:tc>
          <w:tcPr>
            <w:tcW w:w="1780" w:type="dxa"/>
            <w:vAlign w:val="bottom"/>
            <w:vMerge w:val="continue"/>
          </w:tcPr>
          <w:p>
            <w:pPr>
              <w:spacing w:after="0"/>
              <w:rPr>
                <w:sz w:val="12"/>
                <w:szCs w:val="12"/>
                <w:color w:val="auto"/>
              </w:rPr>
            </w:pPr>
          </w:p>
        </w:tc>
        <w:tc>
          <w:tcPr>
            <w:tcW w:w="1560" w:type="dxa"/>
            <w:vAlign w:val="bottom"/>
          </w:tcPr>
          <w:p>
            <w:pPr>
              <w:jc w:val="center"/>
              <w:ind w:left="208"/>
              <w:spacing w:after="0" w:line="145" w:lineRule="exact"/>
              <w:rPr>
                <w:sz w:val="20"/>
                <w:szCs w:val="20"/>
                <w:color w:val="auto"/>
              </w:rPr>
            </w:pPr>
            <w:r>
              <w:rPr>
                <w:rFonts w:ascii="Arial" w:cs="Arial" w:eastAsia="Arial" w:hAnsi="Arial"/>
                <w:sz w:val="14"/>
                <w:szCs w:val="14"/>
                <w:b w:val="1"/>
                <w:bCs w:val="1"/>
                <w:color w:val="auto"/>
                <w:w w:val="98"/>
              </w:rPr>
              <w:t>from OCI into</w:t>
            </w:r>
          </w:p>
        </w:tc>
        <w:tc>
          <w:tcPr>
            <w:tcW w:w="0" w:type="dxa"/>
            <w:vAlign w:val="bottom"/>
          </w:tcPr>
          <w:p>
            <w:pPr>
              <w:spacing w:after="0"/>
              <w:rPr>
                <w:sz w:val="1"/>
                <w:szCs w:val="1"/>
                <w:color w:val="auto"/>
              </w:rPr>
            </w:pPr>
          </w:p>
        </w:tc>
      </w:tr>
      <w:tr>
        <w:trPr>
          <w:trHeight w:val="149"/>
        </w:trPr>
        <w:tc>
          <w:tcPr>
            <w:tcW w:w="2520" w:type="dxa"/>
            <w:vAlign w:val="bottom"/>
            <w:vMerge w:val="continue"/>
          </w:tcPr>
          <w:p>
            <w:pPr>
              <w:spacing w:after="0"/>
              <w:rPr>
                <w:sz w:val="12"/>
                <w:szCs w:val="12"/>
                <w:color w:val="auto"/>
              </w:rPr>
            </w:pPr>
          </w:p>
        </w:tc>
        <w:tc>
          <w:tcPr>
            <w:tcW w:w="1580" w:type="dxa"/>
            <w:vAlign w:val="bottom"/>
          </w:tcPr>
          <w:p>
            <w:pPr>
              <w:jc w:val="center"/>
              <w:ind w:left="28"/>
              <w:spacing w:after="0" w:line="149" w:lineRule="exact"/>
              <w:rPr>
                <w:sz w:val="20"/>
                <w:szCs w:val="20"/>
                <w:color w:val="auto"/>
              </w:rPr>
            </w:pPr>
            <w:r>
              <w:rPr>
                <w:rFonts w:ascii="Arial" w:cs="Arial" w:eastAsia="Arial" w:hAnsi="Arial"/>
                <w:sz w:val="14"/>
                <w:szCs w:val="14"/>
                <w:b w:val="1"/>
                <w:bCs w:val="1"/>
                <w:color w:val="auto"/>
                <w:w w:val="95"/>
              </w:rPr>
              <w:t>(Effective</w:t>
            </w:r>
          </w:p>
        </w:tc>
        <w:tc>
          <w:tcPr>
            <w:tcW w:w="1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Earnings (Effective</w:t>
            </w:r>
          </w:p>
        </w:tc>
        <w:tc>
          <w:tcPr>
            <w:tcW w:w="1560" w:type="dxa"/>
            <w:vAlign w:val="bottom"/>
          </w:tcPr>
          <w:p>
            <w:pPr>
              <w:jc w:val="center"/>
              <w:ind w:left="208"/>
              <w:spacing w:after="0" w:line="149" w:lineRule="exact"/>
              <w:rPr>
                <w:sz w:val="20"/>
                <w:szCs w:val="20"/>
                <w:color w:val="auto"/>
              </w:rPr>
            </w:pPr>
            <w:r>
              <w:rPr>
                <w:rFonts w:ascii="Arial" w:cs="Arial" w:eastAsia="Arial" w:hAnsi="Arial"/>
                <w:sz w:val="14"/>
                <w:szCs w:val="14"/>
                <w:b w:val="1"/>
                <w:bCs w:val="1"/>
                <w:color w:val="auto"/>
                <w:w w:val="93"/>
              </w:rPr>
              <w:t>Earnings</w:t>
            </w:r>
          </w:p>
        </w:tc>
        <w:tc>
          <w:tcPr>
            <w:tcW w:w="0" w:type="dxa"/>
            <w:vAlign w:val="bottom"/>
          </w:tcPr>
          <w:p>
            <w:pPr>
              <w:spacing w:after="0"/>
              <w:rPr>
                <w:sz w:val="1"/>
                <w:szCs w:val="1"/>
                <w:color w:val="auto"/>
              </w:rPr>
            </w:pPr>
          </w:p>
        </w:tc>
      </w:tr>
      <w:tr>
        <w:trPr>
          <w:trHeight w:val="191"/>
        </w:trPr>
        <w:tc>
          <w:tcPr>
            <w:tcW w:w="2520" w:type="dxa"/>
            <w:vAlign w:val="bottom"/>
          </w:tcPr>
          <w:p>
            <w:pPr>
              <w:spacing w:after="0"/>
              <w:rPr>
                <w:sz w:val="20"/>
                <w:szCs w:val="20"/>
                <w:color w:val="auto"/>
              </w:rPr>
            </w:pPr>
            <w:r>
              <w:rPr>
                <w:rFonts w:ascii="Arial" w:cs="Arial" w:eastAsia="Arial" w:hAnsi="Arial"/>
                <w:sz w:val="14"/>
                <w:szCs w:val="14"/>
                <w:b w:val="1"/>
                <w:bCs w:val="1"/>
                <w:color w:val="auto"/>
              </w:rPr>
              <w:t>Hedging Instruments:</w:t>
            </w:r>
          </w:p>
        </w:tc>
        <w:tc>
          <w:tcPr>
            <w:tcW w:w="1580" w:type="dxa"/>
            <w:vAlign w:val="bottom"/>
          </w:tcPr>
          <w:p>
            <w:pPr>
              <w:jc w:val="center"/>
              <w:ind w:left="28"/>
              <w:spacing w:after="0"/>
              <w:rPr>
                <w:sz w:val="20"/>
                <w:szCs w:val="20"/>
                <w:color w:val="auto"/>
              </w:rPr>
            </w:pPr>
            <w:r>
              <w:rPr>
                <w:rFonts w:ascii="Arial" w:cs="Arial" w:eastAsia="Arial" w:hAnsi="Arial"/>
                <w:sz w:val="14"/>
                <w:szCs w:val="14"/>
                <w:b w:val="1"/>
                <w:bCs w:val="1"/>
                <w:color w:val="auto"/>
                <w:w w:val="96"/>
              </w:rPr>
              <w:t>Portion)</w:t>
            </w:r>
          </w:p>
        </w:tc>
        <w:tc>
          <w:tcPr>
            <w:tcW w:w="1780" w:type="dxa"/>
            <w:vAlign w:val="bottom"/>
          </w:tcPr>
          <w:p>
            <w:pPr>
              <w:jc w:val="center"/>
              <w:spacing w:after="0"/>
              <w:rPr>
                <w:sz w:val="20"/>
                <w:szCs w:val="20"/>
                <w:color w:val="auto"/>
              </w:rPr>
            </w:pPr>
            <w:r>
              <w:rPr>
                <w:rFonts w:ascii="Arial" w:cs="Arial" w:eastAsia="Arial" w:hAnsi="Arial"/>
                <w:sz w:val="14"/>
                <w:szCs w:val="14"/>
                <w:b w:val="1"/>
                <w:bCs w:val="1"/>
                <w:color w:val="auto"/>
                <w:w w:val="96"/>
              </w:rPr>
              <w:t>Portion)</w:t>
            </w:r>
          </w:p>
        </w:tc>
        <w:tc>
          <w:tcPr>
            <w:tcW w:w="1560" w:type="dxa"/>
            <w:vAlign w:val="bottom"/>
          </w:tcPr>
          <w:p>
            <w:pPr>
              <w:jc w:val="center"/>
              <w:ind w:left="228"/>
              <w:spacing w:after="0"/>
              <w:rPr>
                <w:sz w:val="20"/>
                <w:szCs w:val="20"/>
                <w:color w:val="auto"/>
              </w:rPr>
            </w:pPr>
            <w:r>
              <w:rPr>
                <w:rFonts w:ascii="Arial" w:cs="Arial" w:eastAsia="Arial" w:hAnsi="Arial"/>
                <w:sz w:val="14"/>
                <w:szCs w:val="14"/>
                <w:b w:val="1"/>
                <w:bCs w:val="1"/>
                <w:color w:val="auto"/>
                <w:w w:val="94"/>
              </w:rPr>
              <w:t>(Effective Portion)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ind w:left="320"/>
        <w:spacing w:after="0"/>
        <w:tabs>
          <w:tab w:leader="none" w:pos="1020" w:val="left"/>
        </w:tabs>
        <w:rPr>
          <w:sz w:val="20"/>
          <w:szCs w:val="20"/>
          <w:color w:val="auto"/>
        </w:rPr>
      </w:pPr>
      <w:r>
        <w:rPr>
          <w:rFonts w:ascii="Arial" w:cs="Arial" w:eastAsia="Arial" w:hAnsi="Arial"/>
          <w:sz w:val="16"/>
          <w:szCs w:val="16"/>
          <w:color w:val="auto"/>
        </w:rPr>
        <w:t>(23,900)</w:t>
      </w:r>
      <w:r>
        <w:rPr>
          <w:sz w:val="20"/>
          <w:szCs w:val="20"/>
          <w:color w:val="auto"/>
        </w:rPr>
        <w:tab/>
      </w:r>
      <w:r>
        <w:rPr>
          <w:rFonts w:ascii="Arial" w:cs="Arial" w:eastAsia="Arial" w:hAnsi="Arial"/>
          <w:sz w:val="14"/>
          <w:szCs w:val="14"/>
          <w:color w:val="auto"/>
        </w:rPr>
        <w:t>$</w:t>
      </w:r>
    </w:p>
    <w:p>
      <w:pPr>
        <w:spacing w:after="0" w:line="86" w:lineRule="exact"/>
        <w:rPr>
          <w:sz w:val="20"/>
          <w:szCs w:val="20"/>
          <w:color w:val="auto"/>
        </w:rPr>
      </w:pPr>
    </w:p>
    <w:p>
      <w:pPr>
        <w:ind w:left="320"/>
        <w:spacing w:after="0"/>
        <w:tabs>
          <w:tab w:leader="none" w:pos="1020" w:val="left"/>
        </w:tabs>
        <w:rPr>
          <w:sz w:val="20"/>
          <w:szCs w:val="20"/>
          <w:color w:val="auto"/>
        </w:rPr>
      </w:pPr>
      <w:r>
        <w:rPr>
          <w:rFonts w:ascii="Arial" w:cs="Arial" w:eastAsia="Arial" w:hAnsi="Arial"/>
          <w:sz w:val="16"/>
          <w:szCs w:val="16"/>
          <w:color w:val="auto"/>
        </w:rPr>
        <w:t>(23,900)</w:t>
      </w:r>
      <w:r>
        <w:rPr>
          <w:sz w:val="20"/>
          <w:szCs w:val="20"/>
          <w:color w:val="auto"/>
        </w:rPr>
        <w:tab/>
      </w:r>
      <w:r>
        <w:rPr>
          <w:rFonts w:ascii="Arial" w:cs="Arial" w:eastAsia="Arial" w:hAnsi="Arial"/>
          <w:sz w:val="14"/>
          <w:szCs w:val="1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Location of Gain or (Loss)</w:t>
      </w:r>
    </w:p>
    <w:p>
      <w:pPr>
        <w:spacing w:after="0" w:line="29" w:lineRule="exact"/>
        <w:rPr>
          <w:sz w:val="20"/>
          <w:szCs w:val="20"/>
          <w:color w:val="auto"/>
        </w:rPr>
      </w:pPr>
    </w:p>
    <w:p>
      <w:pPr>
        <w:jc w:val="center"/>
        <w:ind w:left="60" w:right="20"/>
        <w:spacing w:after="0" w:line="271" w:lineRule="auto"/>
        <w:rPr>
          <w:sz w:val="20"/>
          <w:szCs w:val="20"/>
          <w:color w:val="auto"/>
        </w:rPr>
      </w:pPr>
      <w:r>
        <w:rPr>
          <w:rFonts w:ascii="Arial" w:cs="Arial" w:eastAsia="Arial" w:hAnsi="Arial"/>
          <w:sz w:val="13"/>
          <w:szCs w:val="13"/>
          <w:b w:val="1"/>
          <w:bCs w:val="1"/>
          <w:color w:val="auto"/>
        </w:rPr>
        <w:t>Recognized in Earnings (Ineffective Portion and Amount Excluded from Effectiveness Testing)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w:t>
      </w:r>
    </w:p>
    <w:p>
      <w:pPr>
        <w:spacing w:after="0" w:line="86" w:lineRule="exact"/>
        <w:rPr>
          <w:sz w:val="20"/>
          <w:szCs w:val="20"/>
          <w:color w:val="auto"/>
        </w:rPr>
      </w:pPr>
    </w:p>
    <w:p>
      <w:pPr>
        <w:spacing w:after="0"/>
        <w:rPr>
          <w:sz w:val="20"/>
          <w:szCs w:val="20"/>
          <w:color w:val="auto"/>
        </w:rPr>
      </w:pPr>
      <w:r>
        <w:rPr>
          <w:rFonts w:ascii="Arial" w:cs="Arial" w:eastAsia="Arial" w:hAnsi="Arial"/>
          <w:sz w:val="16"/>
          <w:szCs w:val="16"/>
          <w:color w:val="auto"/>
        </w:rPr>
        <w:t>—</w:t>
      </w:r>
    </w:p>
    <w:p>
      <w:pPr>
        <w:spacing w:after="0" w:line="357" w:lineRule="exact"/>
        <w:rPr>
          <w:sz w:val="20"/>
          <w:szCs w:val="20"/>
          <w:color w:val="auto"/>
        </w:rPr>
      </w:pPr>
    </w:p>
    <w:p>
      <w:pPr>
        <w:jc w:val="center"/>
        <w:ind w:left="-139"/>
        <w:spacing w:after="0" w:line="227" w:lineRule="auto"/>
        <w:rPr>
          <w:sz w:val="20"/>
          <w:szCs w:val="20"/>
          <w:color w:val="auto"/>
        </w:rPr>
      </w:pPr>
      <w:r>
        <w:rPr>
          <w:rFonts w:ascii="Arial" w:cs="Arial" w:eastAsia="Arial" w:hAnsi="Arial"/>
          <w:sz w:val="14"/>
          <w:szCs w:val="14"/>
          <w:b w:val="1"/>
          <w:bCs w:val="1"/>
          <w:color w:val="auto"/>
        </w:rPr>
        <w:t>Amount of Gain or (Loss) Recognized in Earnings</w:t>
      </w:r>
    </w:p>
    <w:p>
      <w:pPr>
        <w:spacing w:after="0" w:line="1" w:lineRule="exact"/>
        <w:rPr>
          <w:sz w:val="20"/>
          <w:szCs w:val="20"/>
          <w:color w:val="auto"/>
        </w:rPr>
      </w:pPr>
    </w:p>
    <w:p>
      <w:pPr>
        <w:jc w:val="center"/>
        <w:ind w:left="-139" w:right="40"/>
        <w:spacing w:after="0" w:line="245" w:lineRule="auto"/>
        <w:rPr>
          <w:sz w:val="20"/>
          <w:szCs w:val="20"/>
          <w:color w:val="auto"/>
        </w:rPr>
      </w:pPr>
      <w:r>
        <w:rPr>
          <w:rFonts w:ascii="Arial" w:cs="Arial" w:eastAsia="Arial" w:hAnsi="Arial"/>
          <w:sz w:val="13"/>
          <w:szCs w:val="13"/>
          <w:b w:val="1"/>
          <w:bCs w:val="1"/>
          <w:color w:val="auto"/>
        </w:rPr>
        <w:t>(Ineffective Portion and Amount Excluded from Effectiveness Testing)</w:t>
      </w:r>
    </w:p>
    <w:p>
      <w:pPr>
        <w:spacing w:after="0" w:line="3" w:lineRule="exact"/>
        <w:rPr>
          <w:sz w:val="20"/>
          <w:szCs w:val="20"/>
          <w:color w:val="auto"/>
        </w:rPr>
      </w:pPr>
    </w:p>
    <w:p>
      <w:pPr>
        <w:sectPr>
          <w:pgSz w:w="11900" w:h="16838" w:orient="portrait"/>
          <w:cols w:equalWidth="0" w:num="3">
            <w:col w:w="7600" w:space="480"/>
            <w:col w:w="1620" w:space="400"/>
            <w:col w:w="1320"/>
          </w:cols>
          <w:pgMar w:left="240" w:top="746" w:right="239" w:bottom="1440" w:gutter="0" w:footer="0" w:header="0"/>
          <w:type w:val="continuous"/>
        </w:sectPr>
      </w:pPr>
    </w:p>
    <w:tbl>
      <w:tblPr>
        <w:tblLayout w:type="fixed"/>
        <w:tblInd w:w="0" w:type="dxa"/>
        <w:tblCellMar>
          <w:top w:w="0" w:type="dxa"/>
          <w:left w:w="0" w:type="dxa"/>
          <w:bottom w:w="0" w:type="dxa"/>
          <w:right w:w="0" w:type="dxa"/>
        </w:tblCellMar>
      </w:tblPr>
      <w:tr>
        <w:trPr>
          <w:trHeight w:val="220"/>
        </w:trPr>
        <w:tc>
          <w:tcPr>
            <w:tcW w:w="26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spacing w:after="0"/>
              <w:rPr>
                <w:sz w:val="19"/>
                <w:szCs w:val="19"/>
                <w:color w:val="auto"/>
              </w:rPr>
            </w:pPr>
          </w:p>
        </w:tc>
        <w:tc>
          <w:tcPr>
            <w:tcW w:w="8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7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7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2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Gain (loss) on derivative</w:t>
            </w:r>
          </w:p>
        </w:tc>
        <w:tc>
          <w:tcPr>
            <w:tcW w:w="66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spacing w:after="0"/>
              <w:rPr>
                <w:sz w:val="19"/>
                <w:szCs w:val="19"/>
                <w:color w:val="auto"/>
              </w:rPr>
            </w:pPr>
          </w:p>
        </w:tc>
      </w:tr>
      <w:tr>
        <w:trPr>
          <w:trHeight w:val="203"/>
        </w:trPr>
        <w:tc>
          <w:tcPr>
            <w:tcW w:w="27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Three Months Ended September 30,</w:t>
            </w:r>
          </w:p>
        </w:tc>
        <w:tc>
          <w:tcPr>
            <w:tcW w:w="4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7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20" w:type="dxa"/>
            <w:vAlign w:val="bottom"/>
            <w:shd w:val="clear" w:color="auto" w:fill="CCEEFF"/>
          </w:tcPr>
          <w:p>
            <w:pPr>
              <w:ind w:left="20"/>
              <w:spacing w:after="0"/>
              <w:rPr>
                <w:sz w:val="20"/>
                <w:szCs w:val="20"/>
                <w:color w:val="auto"/>
              </w:rPr>
            </w:pPr>
            <w:r>
              <w:rPr>
                <w:rFonts w:ascii="Arial" w:cs="Arial" w:eastAsia="Arial" w:hAnsi="Arial"/>
                <w:sz w:val="16"/>
                <w:szCs w:val="16"/>
                <w:color w:val="auto"/>
                <w:w w:val="94"/>
              </w:rPr>
              <w:t>instruments and other securities,</w:t>
            </w:r>
          </w:p>
        </w:tc>
        <w:tc>
          <w:tcPr>
            <w:tcW w:w="6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r>
      <w:tr>
        <w:trPr>
          <w:trHeight w:val="219"/>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2011</w:t>
            </w:r>
          </w:p>
        </w:tc>
        <w:tc>
          <w:tcPr>
            <w:tcW w:w="12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jc w:val="right"/>
              <w:ind w:right="27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(512)</w:t>
            </w:r>
          </w:p>
        </w:tc>
        <w:tc>
          <w:tcPr>
            <w:tcW w:w="120" w:type="dxa"/>
            <w:vAlign w:val="bottom"/>
            <w:tcBorders>
              <w:bottom w:val="single" w:sz="8" w:color="CCEEFF"/>
            </w:tcBorders>
            <w:shd w:val="clear" w:color="auto" w:fill="CCEEFF"/>
          </w:tcPr>
          <w:p>
            <w:pPr>
              <w:spacing w:after="0"/>
              <w:rPr>
                <w:sz w:val="19"/>
                <w:szCs w:val="19"/>
                <w:color w:val="auto"/>
              </w:rPr>
            </w:pPr>
          </w:p>
        </w:tc>
        <w:tc>
          <w:tcPr>
            <w:tcW w:w="1840" w:type="dxa"/>
            <w:vAlign w:val="bottom"/>
            <w:tcBorders>
              <w:bottom w:val="single" w:sz="8" w:color="CCEEFF"/>
            </w:tcBorders>
            <w:gridSpan w:val="2"/>
            <w:shd w:val="clear" w:color="auto" w:fill="CCEEFF"/>
          </w:tcPr>
          <w:p>
            <w:pPr>
              <w:ind w:left="640"/>
              <w:spacing w:after="0"/>
              <w:rPr>
                <w:sz w:val="20"/>
                <w:szCs w:val="20"/>
                <w:color w:val="auto"/>
              </w:rPr>
            </w:pPr>
            <w:r>
              <w:rPr>
                <w:rFonts w:ascii="Arial" w:cs="Arial" w:eastAsia="Arial" w:hAnsi="Arial"/>
                <w:sz w:val="16"/>
                <w:szCs w:val="16"/>
                <w:color w:val="auto"/>
                <w:w w:val="99"/>
              </w:rPr>
              <w:t>Interest expense</w:t>
            </w: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w:t>
            </w:r>
          </w:p>
        </w:tc>
        <w:tc>
          <w:tcPr>
            <w:tcW w:w="100" w:type="dxa"/>
            <w:vAlign w:val="bottom"/>
            <w:tcBorders>
              <w:bottom w:val="single" w:sz="8" w:color="CCEEFF"/>
            </w:tcBorders>
            <w:shd w:val="clear" w:color="auto" w:fill="CCEEFF"/>
          </w:tcPr>
          <w:p>
            <w:pPr>
              <w:spacing w:after="0"/>
              <w:rPr>
                <w:sz w:val="19"/>
                <w:szCs w:val="19"/>
                <w:color w:val="auto"/>
              </w:rPr>
            </w:pPr>
          </w:p>
        </w:tc>
        <w:tc>
          <w:tcPr>
            <w:tcW w:w="2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w:t>
            </w:r>
          </w:p>
        </w:tc>
        <w:tc>
          <w:tcPr>
            <w:tcW w:w="660" w:type="dxa"/>
            <w:vAlign w:val="bottom"/>
            <w:tcBorders>
              <w:bottom w:val="single" w:sz="8" w:color="CCEEFF"/>
            </w:tcBorders>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r>
      <w:tr>
        <w:trPr>
          <w:trHeight w:val="220"/>
        </w:trPr>
        <w:tc>
          <w:tcPr>
            <w:tcW w:w="26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20" w:type="dxa"/>
            <w:vAlign w:val="bottom"/>
          </w:tcPr>
          <w:p>
            <w:pPr>
              <w:ind w:left="20"/>
              <w:spacing w:after="0"/>
              <w:rPr>
                <w:sz w:val="20"/>
                <w:szCs w:val="20"/>
                <w:color w:val="auto"/>
              </w:rPr>
            </w:pPr>
            <w:r>
              <w:rPr>
                <w:rFonts w:ascii="Arial" w:cs="Arial" w:eastAsia="Arial" w:hAnsi="Arial"/>
                <w:sz w:val="16"/>
                <w:szCs w:val="16"/>
                <w:color w:val="auto"/>
              </w:rPr>
              <w:t>Gain (loss) on derivative</w:t>
            </w:r>
          </w:p>
        </w:tc>
        <w:tc>
          <w:tcPr>
            <w:tcW w:w="660" w:type="dxa"/>
            <w:vAlign w:val="bottom"/>
          </w:tcPr>
          <w:p>
            <w:pPr>
              <w:spacing w:after="0"/>
              <w:rPr>
                <w:sz w:val="19"/>
                <w:szCs w:val="19"/>
                <w:color w:val="auto"/>
              </w:rPr>
            </w:pPr>
          </w:p>
        </w:tc>
        <w:tc>
          <w:tcPr>
            <w:tcW w:w="740" w:type="dxa"/>
            <w:vAlign w:val="bottom"/>
          </w:tcPr>
          <w:p>
            <w:pPr>
              <w:spacing w:after="0"/>
              <w:rPr>
                <w:sz w:val="19"/>
                <w:szCs w:val="19"/>
                <w:color w:val="auto"/>
              </w:rPr>
            </w:pPr>
          </w:p>
        </w:tc>
      </w:tr>
      <w:tr>
        <w:trPr>
          <w:trHeight w:val="203"/>
        </w:trPr>
        <w:tc>
          <w:tcPr>
            <w:tcW w:w="2760" w:type="dxa"/>
            <w:vAlign w:val="bottom"/>
            <w:gridSpan w:val="2"/>
          </w:tcPr>
          <w:p>
            <w:pPr>
              <w:ind w:left="40"/>
              <w:spacing w:after="0"/>
              <w:rPr>
                <w:sz w:val="20"/>
                <w:szCs w:val="20"/>
                <w:color w:val="auto"/>
              </w:rPr>
            </w:pPr>
            <w:r>
              <w:rPr>
                <w:rFonts w:ascii="Arial" w:cs="Arial" w:eastAsia="Arial" w:hAnsi="Arial"/>
                <w:sz w:val="16"/>
                <w:szCs w:val="16"/>
                <w:color w:val="auto"/>
              </w:rPr>
              <w:t>Nine Months Ended September 30,</w:t>
            </w:r>
          </w:p>
        </w:tc>
        <w:tc>
          <w:tcPr>
            <w:tcW w:w="4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20" w:type="dxa"/>
            <w:vAlign w:val="bottom"/>
          </w:tcPr>
          <w:p>
            <w:pPr>
              <w:ind w:left="20"/>
              <w:spacing w:after="0"/>
              <w:rPr>
                <w:sz w:val="20"/>
                <w:szCs w:val="20"/>
                <w:color w:val="auto"/>
              </w:rPr>
            </w:pPr>
            <w:r>
              <w:rPr>
                <w:rFonts w:ascii="Arial" w:cs="Arial" w:eastAsia="Arial" w:hAnsi="Arial"/>
                <w:sz w:val="16"/>
                <w:szCs w:val="16"/>
                <w:color w:val="auto"/>
                <w:w w:val="94"/>
              </w:rPr>
              <w:t>instruments and other securities,</w:t>
            </w:r>
          </w:p>
        </w:tc>
        <w:tc>
          <w:tcPr>
            <w:tcW w:w="66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06"/>
        </w:trPr>
        <w:tc>
          <w:tcPr>
            <w:tcW w:w="2640" w:type="dxa"/>
            <w:vAlign w:val="bottom"/>
          </w:tcPr>
          <w:p>
            <w:pPr>
              <w:ind w:left="40"/>
              <w:spacing w:after="0"/>
              <w:rPr>
                <w:sz w:val="20"/>
                <w:szCs w:val="20"/>
                <w:color w:val="auto"/>
              </w:rPr>
            </w:pPr>
            <w:r>
              <w:rPr>
                <w:rFonts w:ascii="Arial" w:cs="Arial" w:eastAsia="Arial" w:hAnsi="Arial"/>
                <w:sz w:val="16"/>
                <w:szCs w:val="16"/>
                <w:color w:val="auto"/>
              </w:rPr>
              <w:t>2011</w:t>
            </w:r>
          </w:p>
        </w:tc>
        <w:tc>
          <w:tcPr>
            <w:tcW w:w="120" w:type="dxa"/>
            <w:vAlign w:val="bottom"/>
          </w:tcPr>
          <w:p>
            <w:pPr>
              <w:spacing w:after="0"/>
              <w:rPr>
                <w:sz w:val="17"/>
                <w:szCs w:val="17"/>
                <w:color w:val="auto"/>
              </w:rPr>
            </w:pPr>
          </w:p>
        </w:tc>
        <w:tc>
          <w:tcPr>
            <w:tcW w:w="480" w:type="dxa"/>
            <w:vAlign w:val="bottom"/>
          </w:tcPr>
          <w:p>
            <w:pPr>
              <w:jc w:val="right"/>
              <w:ind w:right="279"/>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(707)</w:t>
            </w:r>
          </w:p>
        </w:tc>
        <w:tc>
          <w:tcPr>
            <w:tcW w:w="120" w:type="dxa"/>
            <w:vAlign w:val="bottom"/>
          </w:tcPr>
          <w:p>
            <w:pPr>
              <w:spacing w:after="0"/>
              <w:rPr>
                <w:sz w:val="17"/>
                <w:szCs w:val="17"/>
                <w:color w:val="auto"/>
              </w:rPr>
            </w:pPr>
          </w:p>
        </w:tc>
        <w:tc>
          <w:tcPr>
            <w:tcW w:w="1840" w:type="dxa"/>
            <w:vAlign w:val="bottom"/>
            <w:gridSpan w:val="2"/>
          </w:tcPr>
          <w:p>
            <w:pPr>
              <w:ind w:left="640"/>
              <w:spacing w:after="0"/>
              <w:rPr>
                <w:sz w:val="20"/>
                <w:szCs w:val="20"/>
                <w:color w:val="auto"/>
              </w:rPr>
            </w:pPr>
            <w:r>
              <w:rPr>
                <w:rFonts w:ascii="Arial" w:cs="Arial" w:eastAsia="Arial" w:hAnsi="Arial"/>
                <w:sz w:val="16"/>
                <w:szCs w:val="16"/>
                <w:color w:val="auto"/>
                <w:w w:val="99"/>
              </w:rPr>
              <w:t>Interest expense</w:t>
            </w:r>
          </w:p>
        </w:tc>
        <w:tc>
          <w:tcPr>
            <w:tcW w:w="1700" w:type="dxa"/>
            <w:vAlign w:val="bottom"/>
          </w:tcPr>
          <w:p>
            <w:pPr>
              <w:jc w:val="right"/>
              <w:spacing w:after="0"/>
              <w:rPr>
                <w:sz w:val="20"/>
                <w:szCs w:val="20"/>
                <w:color w:val="auto"/>
              </w:rPr>
            </w:pPr>
            <w:r>
              <w:rPr>
                <w:rFonts w:ascii="Arial" w:cs="Arial" w:eastAsia="Arial" w:hAnsi="Arial"/>
                <w:sz w:val="16"/>
                <w:szCs w:val="16"/>
                <w:color w:val="auto"/>
              </w:rPr>
              <w:t>(140)</w:t>
            </w:r>
          </w:p>
        </w:tc>
        <w:tc>
          <w:tcPr>
            <w:tcW w:w="100" w:type="dxa"/>
            <w:vAlign w:val="bottom"/>
          </w:tcPr>
          <w:p>
            <w:pPr>
              <w:spacing w:after="0"/>
              <w:rPr>
                <w:sz w:val="17"/>
                <w:szCs w:val="17"/>
                <w:color w:val="auto"/>
              </w:rPr>
            </w:pPr>
          </w:p>
        </w:tc>
        <w:tc>
          <w:tcPr>
            <w:tcW w:w="2220" w:type="dxa"/>
            <w:vAlign w:val="bottom"/>
          </w:tcPr>
          <w:p>
            <w:pPr>
              <w:ind w:left="20"/>
              <w:spacing w:after="0"/>
              <w:rPr>
                <w:sz w:val="20"/>
                <w:szCs w:val="20"/>
                <w:color w:val="auto"/>
              </w:rPr>
            </w:pPr>
            <w:r>
              <w:rPr>
                <w:rFonts w:ascii="Arial" w:cs="Arial" w:eastAsia="Arial" w:hAnsi="Arial"/>
                <w:sz w:val="16"/>
                <w:szCs w:val="16"/>
                <w:color w:val="auto"/>
              </w:rPr>
              <w:t>net</w:t>
            </w:r>
          </w:p>
        </w:tc>
        <w:tc>
          <w:tcPr>
            <w:tcW w:w="660" w:type="dxa"/>
            <w:vAlign w:val="bottom"/>
          </w:tcPr>
          <w:p>
            <w:pPr>
              <w:jc w:val="right"/>
              <w:ind w:right="419"/>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(2)</w:t>
            </w:r>
          </w:p>
        </w:tc>
      </w:tr>
    </w:tbl>
    <w:p>
      <w:pPr>
        <w:spacing w:after="0" w:line="23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During the nine months ended September 30, 2011, we also held forward contracts to purchase TBA and specified agency securities that were designated as cash flow hedges pursuant to ASC 815. The following tables summarize information about these securities and their effect on our consolidated statement of comprehensive income for the nine months ended September 30, 2011 (dollars in millions). We did not designate any such agreements as cash flow hedges during the three months ended September 30, 2011 and the three and nine months ended September 30, 2012.</w:t>
      </w: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33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Purchases of TBAs and Forward</w:t>
            </w:r>
          </w:p>
        </w:tc>
        <w:tc>
          <w:tcPr>
            <w:tcW w:w="7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vMerge w:val="restart"/>
          </w:tcPr>
          <w:p>
            <w:pPr>
              <w:jc w:val="center"/>
              <w:ind w:left="226"/>
              <w:spacing w:after="0"/>
              <w:rPr>
                <w:sz w:val="20"/>
                <w:szCs w:val="20"/>
                <w:color w:val="auto"/>
              </w:rPr>
            </w:pPr>
            <w:r>
              <w:rPr>
                <w:rFonts w:ascii="Arial" w:cs="Arial" w:eastAsia="Arial" w:hAnsi="Arial"/>
                <w:sz w:val="14"/>
                <w:szCs w:val="14"/>
                <w:b w:val="1"/>
                <w:bCs w:val="1"/>
                <w:color w:val="auto"/>
                <w:w w:val="92"/>
              </w:rPr>
              <w:t>Ending</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8"/>
              </w:rPr>
              <w:t>Fair Value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49"/>
        </w:trPr>
        <w:tc>
          <w:tcPr>
            <w:tcW w:w="3360" w:type="dxa"/>
            <w:vAlign w:val="bottom"/>
            <w:vMerge w:val="continue"/>
          </w:tcPr>
          <w:p>
            <w:pPr>
              <w:spacing w:after="0"/>
              <w:rPr>
                <w:sz w:val="12"/>
                <w:szCs w:val="12"/>
                <w:color w:val="auto"/>
              </w:rPr>
            </w:pPr>
          </w:p>
        </w:tc>
        <w:tc>
          <w:tcPr>
            <w:tcW w:w="760" w:type="dxa"/>
            <w:vAlign w:val="bottom"/>
          </w:tcPr>
          <w:p>
            <w:pPr>
              <w:spacing w:after="0"/>
              <w:rPr>
                <w:sz w:val="12"/>
                <w:szCs w:val="12"/>
                <w:color w:val="auto"/>
              </w:rPr>
            </w:pPr>
          </w:p>
        </w:tc>
        <w:tc>
          <w:tcPr>
            <w:tcW w:w="13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Beginning</w:t>
            </w:r>
          </w:p>
        </w:tc>
        <w:tc>
          <w:tcPr>
            <w:tcW w:w="1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Settlement /</w:t>
            </w:r>
          </w:p>
        </w:tc>
        <w:tc>
          <w:tcPr>
            <w:tcW w:w="82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9"/>
        </w:trPr>
        <w:tc>
          <w:tcPr>
            <w:tcW w:w="3360" w:type="dxa"/>
            <w:vAlign w:val="bottom"/>
          </w:tcPr>
          <w:p>
            <w:pPr>
              <w:ind w:left="40"/>
              <w:spacing w:after="0" w:line="149" w:lineRule="exact"/>
              <w:rPr>
                <w:sz w:val="20"/>
                <w:szCs w:val="20"/>
                <w:color w:val="auto"/>
              </w:rPr>
            </w:pPr>
            <w:r>
              <w:rPr>
                <w:rFonts w:ascii="Arial" w:cs="Arial" w:eastAsia="Arial" w:hAnsi="Arial"/>
                <w:sz w:val="14"/>
                <w:szCs w:val="14"/>
                <w:b w:val="1"/>
                <w:bCs w:val="1"/>
                <w:color w:val="auto"/>
              </w:rPr>
              <w:t>Settling Agency Securities</w:t>
            </w:r>
          </w:p>
        </w:tc>
        <w:tc>
          <w:tcPr>
            <w:tcW w:w="76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Additions</w:t>
            </w:r>
          </w:p>
        </w:tc>
        <w:tc>
          <w:tcPr>
            <w:tcW w:w="12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820" w:type="dxa"/>
            <w:vAlign w:val="bottom"/>
          </w:tcPr>
          <w:p>
            <w:pPr>
              <w:jc w:val="center"/>
              <w:ind w:left="186"/>
              <w:spacing w:after="0" w:line="149" w:lineRule="exact"/>
              <w:rPr>
                <w:sz w:val="20"/>
                <w:szCs w:val="20"/>
                <w:color w:val="auto"/>
              </w:rPr>
            </w:pPr>
            <w:r>
              <w:rPr>
                <w:rFonts w:ascii="Arial" w:cs="Arial" w:eastAsia="Arial" w:hAnsi="Arial"/>
                <w:sz w:val="14"/>
                <w:szCs w:val="14"/>
                <w:b w:val="1"/>
                <w:bCs w:val="1"/>
                <w:color w:val="auto"/>
                <w:w w:val="92"/>
              </w:rPr>
              <w:t>Notional</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as of</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Period End</w:t>
            </w:r>
          </w:p>
        </w:tc>
        <w:tc>
          <w:tcPr>
            <w:tcW w:w="0" w:type="dxa"/>
            <w:vAlign w:val="bottom"/>
          </w:tcPr>
          <w:p>
            <w:pPr>
              <w:spacing w:after="0"/>
              <w:rPr>
                <w:sz w:val="1"/>
                <w:szCs w:val="1"/>
                <w:color w:val="auto"/>
              </w:rPr>
            </w:pPr>
          </w:p>
        </w:tc>
      </w:tr>
      <w:tr>
        <w:trPr>
          <w:trHeight w:val="192"/>
        </w:trPr>
        <w:tc>
          <w:tcPr>
            <w:tcW w:w="33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Designated as Hedging Instruments</w:t>
            </w:r>
          </w:p>
        </w:tc>
        <w:tc>
          <w:tcPr>
            <w:tcW w:w="7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25"/>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Expirations</w:t>
            </w:r>
          </w:p>
        </w:tc>
        <w:tc>
          <w:tcPr>
            <w:tcW w:w="120" w:type="dxa"/>
            <w:vAlign w:val="bottom"/>
            <w:tcBorders>
              <w:bottom w:val="single" w:sz="8" w:color="CCEEFF"/>
            </w:tcBorders>
          </w:tcPr>
          <w:p>
            <w:pPr>
              <w:spacing w:after="0"/>
              <w:rPr>
                <w:sz w:val="16"/>
                <w:szCs w:val="16"/>
                <w:color w:val="auto"/>
              </w:rPr>
            </w:pPr>
          </w:p>
        </w:tc>
        <w:tc>
          <w:tcPr>
            <w:tcW w:w="820" w:type="dxa"/>
            <w:vAlign w:val="bottom"/>
            <w:tcBorders>
              <w:bottom w:val="single" w:sz="8" w:color="auto"/>
            </w:tcBorders>
          </w:tcPr>
          <w:p>
            <w:pPr>
              <w:jc w:val="center"/>
              <w:ind w:left="206"/>
              <w:spacing w:after="0"/>
              <w:rPr>
                <w:sz w:val="20"/>
                <w:szCs w:val="20"/>
                <w:color w:val="auto"/>
              </w:rPr>
            </w:pPr>
            <w:r>
              <w:rPr>
                <w:rFonts w:ascii="Arial" w:cs="Arial" w:eastAsia="Arial" w:hAnsi="Arial"/>
                <w:sz w:val="14"/>
                <w:szCs w:val="14"/>
                <w:b w:val="1"/>
                <w:bCs w:val="1"/>
                <w:color w:val="auto"/>
                <w:w w:val="94"/>
              </w:rPr>
              <w:t>Amount</w:t>
            </w:r>
          </w:p>
        </w:tc>
        <w:tc>
          <w:tcPr>
            <w:tcW w:w="3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66"/>
              <w:spacing w:after="0"/>
              <w:rPr>
                <w:sz w:val="20"/>
                <w:szCs w:val="20"/>
                <w:color w:val="auto"/>
              </w:rPr>
            </w:pPr>
            <w:r>
              <w:rPr>
                <w:rFonts w:ascii="Arial" w:cs="Arial" w:eastAsia="Arial" w:hAnsi="Arial"/>
                <w:sz w:val="14"/>
                <w:szCs w:val="14"/>
                <w:b w:val="1"/>
                <w:bCs w:val="1"/>
                <w:color w:val="auto"/>
                <w:w w:val="94"/>
              </w:rPr>
              <w:t>Period End</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(Months)</w:t>
            </w:r>
          </w:p>
        </w:tc>
        <w:tc>
          <w:tcPr>
            <w:tcW w:w="0" w:type="dxa"/>
            <w:vAlign w:val="bottom"/>
          </w:tcPr>
          <w:p>
            <w:pPr>
              <w:spacing w:after="0"/>
              <w:rPr>
                <w:sz w:val="1"/>
                <w:szCs w:val="1"/>
                <w:color w:val="auto"/>
              </w:rPr>
            </w:pPr>
          </w:p>
        </w:tc>
      </w:tr>
      <w:tr>
        <w:trPr>
          <w:trHeight w:val="223"/>
        </w:trPr>
        <w:tc>
          <w:tcPr>
            <w:tcW w:w="3360" w:type="dxa"/>
            <w:vAlign w:val="bottom"/>
            <w:shd w:val="clear" w:color="auto" w:fill="CCEEFF"/>
          </w:tcPr>
          <w:p>
            <w:pPr>
              <w:ind w:left="40"/>
              <w:spacing w:after="0"/>
              <w:rPr>
                <w:sz w:val="20"/>
                <w:szCs w:val="20"/>
                <w:color w:val="auto"/>
              </w:rPr>
            </w:pPr>
            <w:r>
              <w:rPr>
                <w:rFonts w:ascii="Arial" w:cs="Arial" w:eastAsia="Arial" w:hAnsi="Arial"/>
                <w:sz w:val="16"/>
                <w:szCs w:val="16"/>
                <w:color w:val="auto"/>
              </w:rPr>
              <w:t>Nine Months Ended September 30, 2011</w:t>
            </w: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45"/>
              <w:spacing w:after="0"/>
              <w:rPr>
                <w:sz w:val="20"/>
                <w:szCs w:val="20"/>
                <w:color w:val="auto"/>
              </w:rPr>
            </w:pPr>
            <w:r>
              <w:rPr>
                <w:rFonts w:ascii="Arial" w:cs="Arial" w:eastAsia="Arial" w:hAnsi="Arial"/>
                <w:sz w:val="16"/>
                <w:szCs w:val="16"/>
                <w:color w:val="auto"/>
              </w:rPr>
              <w:t>245</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gridSpan w:val="2"/>
            <w:shd w:val="clear" w:color="auto" w:fill="CCEEFF"/>
          </w:tcPr>
          <w:p>
            <w:pPr>
              <w:ind w:left="68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w:t>
            </w: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jc w:val="right"/>
              <w:ind w:right="646"/>
              <w:spacing w:after="0"/>
              <w:rPr>
                <w:sz w:val="20"/>
                <w:szCs w:val="20"/>
                <w:color w:val="auto"/>
              </w:rPr>
            </w:pPr>
            <w:r>
              <w:rPr>
                <w:rFonts w:ascii="Arial" w:cs="Arial" w:eastAsia="Arial" w:hAnsi="Arial"/>
                <w:sz w:val="16"/>
                <w:szCs w:val="16"/>
                <w:color w:val="auto"/>
                <w:w w:val="89"/>
              </w:rPr>
              <w:t>$</w:t>
            </w:r>
          </w:p>
        </w:tc>
        <w:tc>
          <w:tcPr>
            <w:tcW w:w="540" w:type="dxa"/>
            <w:vAlign w:val="bottom"/>
            <w:gridSpan w:val="3"/>
            <w:shd w:val="clear" w:color="auto" w:fill="CCEEFF"/>
          </w:tcPr>
          <w:p>
            <w:pPr>
              <w:ind w:left="20"/>
              <w:spacing w:after="0"/>
              <w:rPr>
                <w:sz w:val="20"/>
                <w:szCs w:val="20"/>
                <w:color w:val="auto"/>
              </w:rPr>
            </w:pPr>
            <w:r>
              <w:rPr>
                <w:rFonts w:ascii="Arial" w:cs="Arial" w:eastAsia="Arial" w:hAnsi="Arial"/>
                <w:sz w:val="16"/>
                <w:szCs w:val="16"/>
                <w:color w:val="auto"/>
              </w:rPr>
              <w:t>—   $</w:t>
            </w:r>
          </w:p>
        </w:tc>
        <w:tc>
          <w:tcPr>
            <w:tcW w:w="980" w:type="dxa"/>
            <w:vAlign w:val="bottom"/>
            <w:gridSpan w:val="2"/>
            <w:shd w:val="clear" w:color="auto" w:fill="CCEEFF"/>
          </w:tcPr>
          <w:p>
            <w:pPr>
              <w:ind w:left="600"/>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ind w:left="7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360" w:type="dxa"/>
            <w:vAlign w:val="bottom"/>
            <w:shd w:val="clear" w:color="auto" w:fill="CCEEFF"/>
          </w:tcPr>
          <w:p>
            <w:pPr>
              <w:spacing w:after="0"/>
              <w:rPr>
                <w:sz w:val="2"/>
                <w:szCs w:val="2"/>
                <w:color w:val="auto"/>
              </w:rPr>
            </w:pPr>
          </w:p>
        </w:tc>
        <w:tc>
          <w:tcPr>
            <w:tcW w:w="76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746" w:right="239" w:bottom="1440" w:gutter="0" w:footer="0" w:header="0"/>
          <w:type w:val="continuous"/>
        </w:sectPr>
      </w:pPr>
    </w:p>
    <w:bookmarkStart w:id="18" w:name="page19"/>
    <w:bookmarkEnd w:id="18"/>
    <w:tbl>
      <w:tblPr>
        <w:tblLayout w:type="fixed"/>
        <w:tblInd w:w="60" w:type="dxa"/>
        <w:tblCellMar>
          <w:top w:w="0" w:type="dxa"/>
          <w:left w:w="0" w:type="dxa"/>
          <w:bottom w:w="0" w:type="dxa"/>
          <w:right w:w="0" w:type="dxa"/>
        </w:tblCellMar>
      </w:tblPr>
      <w:tr>
        <w:trPr>
          <w:trHeight w:val="161"/>
        </w:trPr>
        <w:tc>
          <w:tcPr>
            <w:tcW w:w="30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680" w:type="dxa"/>
            <w:vAlign w:val="bottom"/>
          </w:tcPr>
          <w:p>
            <w:pPr>
              <w:jc w:val="center"/>
              <w:ind w:left="188"/>
              <w:spacing w:after="0"/>
              <w:rPr>
                <w:sz w:val="20"/>
                <w:szCs w:val="20"/>
                <w:color w:val="auto"/>
              </w:rPr>
            </w:pPr>
            <w:r>
              <w:rPr>
                <w:rFonts w:ascii="Arial" w:cs="Arial" w:eastAsia="Arial" w:hAnsi="Arial"/>
                <w:sz w:val="14"/>
                <w:szCs w:val="14"/>
                <w:b w:val="1"/>
                <w:bCs w:val="1"/>
                <w:color w:val="auto"/>
                <w:w w:val="95"/>
              </w:rPr>
              <w:t>Amount of (Gain) or</w:t>
            </w:r>
          </w:p>
        </w:tc>
        <w:tc>
          <w:tcPr>
            <w:tcW w:w="0" w:type="dxa"/>
            <w:vAlign w:val="bottom"/>
          </w:tcPr>
          <w:p>
            <w:pPr>
              <w:spacing w:after="0"/>
              <w:rPr>
                <w:sz w:val="1"/>
                <w:szCs w:val="1"/>
                <w:color w:val="auto"/>
              </w:rPr>
            </w:pPr>
          </w:p>
        </w:tc>
      </w:tr>
      <w:tr>
        <w:trPr>
          <w:trHeight w:val="149"/>
        </w:trPr>
        <w:tc>
          <w:tcPr>
            <w:tcW w:w="30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680" w:type="dxa"/>
            <w:vAlign w:val="bottom"/>
          </w:tcPr>
          <w:p>
            <w:pPr>
              <w:jc w:val="center"/>
              <w:ind w:left="188"/>
              <w:spacing w:after="0" w:line="149" w:lineRule="exact"/>
              <w:rPr>
                <w:sz w:val="20"/>
                <w:szCs w:val="20"/>
                <w:color w:val="auto"/>
              </w:rPr>
            </w:pPr>
            <w:r>
              <w:rPr>
                <w:rFonts w:ascii="Arial" w:cs="Arial" w:eastAsia="Arial" w:hAnsi="Arial"/>
                <w:sz w:val="14"/>
                <w:szCs w:val="14"/>
                <w:b w:val="1"/>
                <w:bCs w:val="1"/>
                <w:color w:val="auto"/>
                <w:w w:val="89"/>
              </w:rPr>
              <w:t>Loss Recognized in</w:t>
            </w:r>
          </w:p>
        </w:tc>
        <w:tc>
          <w:tcPr>
            <w:tcW w:w="0" w:type="dxa"/>
            <w:vAlign w:val="bottom"/>
          </w:tcPr>
          <w:p>
            <w:pPr>
              <w:spacing w:after="0"/>
              <w:rPr>
                <w:sz w:val="1"/>
                <w:szCs w:val="1"/>
                <w:color w:val="auto"/>
              </w:rPr>
            </w:pPr>
          </w:p>
        </w:tc>
      </w:tr>
      <w:tr>
        <w:trPr>
          <w:trHeight w:val="149"/>
        </w:trPr>
        <w:tc>
          <w:tcPr>
            <w:tcW w:w="3020" w:type="dxa"/>
            <w:vAlign w:val="bottom"/>
          </w:tcPr>
          <w:p>
            <w:pPr>
              <w:spacing w:after="0"/>
              <w:rPr>
                <w:sz w:val="12"/>
                <w:szCs w:val="12"/>
                <w:color w:val="auto"/>
              </w:rPr>
            </w:pPr>
          </w:p>
        </w:tc>
        <w:tc>
          <w:tcPr>
            <w:tcW w:w="2280" w:type="dxa"/>
            <w:vAlign w:val="bottom"/>
            <w:vMerge w:val="restart"/>
          </w:tcPr>
          <w:p>
            <w:pPr>
              <w:jc w:val="center"/>
              <w:ind w:left="488"/>
              <w:spacing w:after="0"/>
              <w:rPr>
                <w:sz w:val="20"/>
                <w:szCs w:val="20"/>
                <w:color w:val="auto"/>
              </w:rPr>
            </w:pPr>
            <w:r>
              <w:rPr>
                <w:rFonts w:ascii="Arial" w:cs="Arial" w:eastAsia="Arial" w:hAnsi="Arial"/>
                <w:sz w:val="14"/>
                <w:szCs w:val="14"/>
                <w:b w:val="1"/>
                <w:bCs w:val="1"/>
                <w:color w:val="auto"/>
                <w:w w:val="94"/>
              </w:rPr>
              <w:t>Amount of Gain or</w:t>
            </w:r>
          </w:p>
        </w:tc>
        <w:tc>
          <w:tcPr>
            <w:tcW w:w="1680" w:type="dxa"/>
            <w:vAlign w:val="bottom"/>
          </w:tcPr>
          <w:p>
            <w:pPr>
              <w:jc w:val="center"/>
              <w:ind w:left="188"/>
              <w:spacing w:after="0" w:line="149" w:lineRule="exact"/>
              <w:rPr>
                <w:sz w:val="20"/>
                <w:szCs w:val="20"/>
                <w:color w:val="auto"/>
              </w:rPr>
            </w:pPr>
            <w:r>
              <w:rPr>
                <w:rFonts w:ascii="Arial" w:cs="Arial" w:eastAsia="Arial" w:hAnsi="Arial"/>
                <w:sz w:val="14"/>
                <w:szCs w:val="14"/>
                <w:b w:val="1"/>
                <w:bCs w:val="1"/>
                <w:color w:val="auto"/>
                <w:w w:val="97"/>
              </w:rPr>
              <w:t>OCI for Cash Flow</w:t>
            </w:r>
          </w:p>
        </w:tc>
        <w:tc>
          <w:tcPr>
            <w:tcW w:w="0" w:type="dxa"/>
            <w:vAlign w:val="bottom"/>
          </w:tcPr>
          <w:p>
            <w:pPr>
              <w:spacing w:after="0"/>
              <w:rPr>
                <w:sz w:val="1"/>
                <w:szCs w:val="1"/>
                <w:color w:val="auto"/>
              </w:rPr>
            </w:pPr>
          </w:p>
        </w:tc>
      </w:tr>
      <w:tr>
        <w:trPr>
          <w:trHeight w:val="149"/>
        </w:trPr>
        <w:tc>
          <w:tcPr>
            <w:tcW w:w="3020" w:type="dxa"/>
            <w:vAlign w:val="bottom"/>
          </w:tcPr>
          <w:p>
            <w:pPr>
              <w:spacing w:after="0"/>
              <w:rPr>
                <w:sz w:val="12"/>
                <w:szCs w:val="12"/>
                <w:color w:val="auto"/>
              </w:rPr>
            </w:pPr>
          </w:p>
        </w:tc>
        <w:tc>
          <w:tcPr>
            <w:tcW w:w="2280" w:type="dxa"/>
            <w:vAlign w:val="bottom"/>
            <w:vMerge w:val="continue"/>
          </w:tcPr>
          <w:p>
            <w:pPr>
              <w:spacing w:after="0"/>
              <w:rPr>
                <w:sz w:val="12"/>
                <w:szCs w:val="12"/>
                <w:color w:val="auto"/>
              </w:rPr>
            </w:pPr>
          </w:p>
        </w:tc>
        <w:tc>
          <w:tcPr>
            <w:tcW w:w="1680" w:type="dxa"/>
            <w:vAlign w:val="bottom"/>
          </w:tcPr>
          <w:p>
            <w:pPr>
              <w:jc w:val="center"/>
              <w:ind w:left="188"/>
              <w:spacing w:after="0" w:line="149" w:lineRule="exact"/>
              <w:rPr>
                <w:sz w:val="20"/>
                <w:szCs w:val="20"/>
                <w:color w:val="auto"/>
              </w:rPr>
            </w:pPr>
            <w:r>
              <w:rPr>
                <w:rFonts w:ascii="Arial" w:cs="Arial" w:eastAsia="Arial" w:hAnsi="Arial"/>
                <w:sz w:val="14"/>
                <w:szCs w:val="14"/>
                <w:b w:val="1"/>
                <w:bCs w:val="1"/>
                <w:color w:val="auto"/>
                <w:w w:val="88"/>
              </w:rPr>
              <w:t>Hedges and</w:t>
            </w:r>
          </w:p>
        </w:tc>
        <w:tc>
          <w:tcPr>
            <w:tcW w:w="0" w:type="dxa"/>
            <w:vAlign w:val="bottom"/>
          </w:tcPr>
          <w:p>
            <w:pPr>
              <w:spacing w:after="0"/>
              <w:rPr>
                <w:sz w:val="1"/>
                <w:szCs w:val="1"/>
                <w:color w:val="auto"/>
              </w:rPr>
            </w:pPr>
          </w:p>
        </w:tc>
      </w:tr>
      <w:tr>
        <w:trPr>
          <w:trHeight w:val="149"/>
        </w:trPr>
        <w:tc>
          <w:tcPr>
            <w:tcW w:w="3020" w:type="dxa"/>
            <w:vAlign w:val="bottom"/>
            <w:vMerge w:val="restart"/>
          </w:tcPr>
          <w:p>
            <w:pPr>
              <w:spacing w:after="0"/>
              <w:rPr>
                <w:sz w:val="20"/>
                <w:szCs w:val="20"/>
                <w:color w:val="auto"/>
              </w:rPr>
            </w:pPr>
            <w:r>
              <w:rPr>
                <w:rFonts w:ascii="Arial" w:cs="Arial" w:eastAsia="Arial" w:hAnsi="Arial"/>
                <w:sz w:val="14"/>
                <w:szCs w:val="14"/>
                <w:b w:val="1"/>
                <w:bCs w:val="1"/>
                <w:color w:val="auto"/>
              </w:rPr>
              <w:t>Purchases of TBAs and Forward</w:t>
            </w:r>
          </w:p>
        </w:tc>
        <w:tc>
          <w:tcPr>
            <w:tcW w:w="2280" w:type="dxa"/>
            <w:vAlign w:val="bottom"/>
          </w:tcPr>
          <w:p>
            <w:pPr>
              <w:jc w:val="center"/>
              <w:ind w:left="488"/>
              <w:spacing w:after="0" w:line="149" w:lineRule="exact"/>
              <w:rPr>
                <w:sz w:val="20"/>
                <w:szCs w:val="20"/>
                <w:color w:val="auto"/>
              </w:rPr>
            </w:pPr>
            <w:r>
              <w:rPr>
                <w:rFonts w:ascii="Arial" w:cs="Arial" w:eastAsia="Arial" w:hAnsi="Arial"/>
                <w:sz w:val="14"/>
                <w:szCs w:val="14"/>
                <w:b w:val="1"/>
                <w:bCs w:val="1"/>
                <w:color w:val="auto"/>
                <w:w w:val="93"/>
              </w:rPr>
              <w:t>(Loss) Recognized</w:t>
            </w:r>
          </w:p>
        </w:tc>
        <w:tc>
          <w:tcPr>
            <w:tcW w:w="1680" w:type="dxa"/>
            <w:vAlign w:val="bottom"/>
          </w:tcPr>
          <w:p>
            <w:pPr>
              <w:jc w:val="center"/>
              <w:ind w:left="188"/>
              <w:spacing w:after="0" w:line="149" w:lineRule="exact"/>
              <w:rPr>
                <w:sz w:val="20"/>
                <w:szCs w:val="20"/>
                <w:color w:val="auto"/>
              </w:rPr>
            </w:pPr>
            <w:r>
              <w:rPr>
                <w:rFonts w:ascii="Arial" w:cs="Arial" w:eastAsia="Arial" w:hAnsi="Arial"/>
                <w:sz w:val="14"/>
                <w:szCs w:val="14"/>
                <w:b w:val="1"/>
                <w:bCs w:val="1"/>
                <w:color w:val="auto"/>
                <w:w w:val="94"/>
              </w:rPr>
              <w:t>Reclassified to OCI for</w:t>
            </w:r>
          </w:p>
        </w:tc>
        <w:tc>
          <w:tcPr>
            <w:tcW w:w="0" w:type="dxa"/>
            <w:vAlign w:val="bottom"/>
          </w:tcPr>
          <w:p>
            <w:pPr>
              <w:spacing w:after="0"/>
              <w:rPr>
                <w:sz w:val="1"/>
                <w:szCs w:val="1"/>
                <w:color w:val="auto"/>
              </w:rPr>
            </w:pPr>
          </w:p>
        </w:tc>
      </w:tr>
      <w:tr>
        <w:trPr>
          <w:trHeight w:val="149"/>
        </w:trPr>
        <w:tc>
          <w:tcPr>
            <w:tcW w:w="3020" w:type="dxa"/>
            <w:vAlign w:val="bottom"/>
            <w:vMerge w:val="continue"/>
          </w:tcPr>
          <w:p>
            <w:pPr>
              <w:spacing w:after="0"/>
              <w:rPr>
                <w:sz w:val="12"/>
                <w:szCs w:val="12"/>
                <w:color w:val="auto"/>
              </w:rPr>
            </w:pPr>
          </w:p>
        </w:tc>
        <w:tc>
          <w:tcPr>
            <w:tcW w:w="2280" w:type="dxa"/>
            <w:vAlign w:val="bottom"/>
          </w:tcPr>
          <w:p>
            <w:pPr>
              <w:jc w:val="center"/>
              <w:ind w:left="488"/>
              <w:spacing w:after="0" w:line="149" w:lineRule="exact"/>
              <w:rPr>
                <w:sz w:val="20"/>
                <w:szCs w:val="20"/>
                <w:color w:val="auto"/>
              </w:rPr>
            </w:pPr>
            <w:r>
              <w:rPr>
                <w:rFonts w:ascii="Arial" w:cs="Arial" w:eastAsia="Arial" w:hAnsi="Arial"/>
                <w:sz w:val="14"/>
                <w:szCs w:val="14"/>
                <w:b w:val="1"/>
                <w:bCs w:val="1"/>
                <w:color w:val="auto"/>
                <w:w w:val="98"/>
              </w:rPr>
              <w:t>in OCI for Cash</w:t>
            </w:r>
          </w:p>
        </w:tc>
        <w:tc>
          <w:tcPr>
            <w:tcW w:w="1680" w:type="dxa"/>
            <w:vAlign w:val="bottom"/>
          </w:tcPr>
          <w:p>
            <w:pPr>
              <w:jc w:val="center"/>
              <w:ind w:left="188"/>
              <w:spacing w:after="0" w:line="149" w:lineRule="exact"/>
              <w:rPr>
                <w:sz w:val="20"/>
                <w:szCs w:val="20"/>
                <w:color w:val="auto"/>
              </w:rPr>
            </w:pPr>
            <w:r>
              <w:rPr>
                <w:rFonts w:ascii="Arial" w:cs="Arial" w:eastAsia="Arial" w:hAnsi="Arial"/>
                <w:sz w:val="14"/>
                <w:szCs w:val="14"/>
                <w:b w:val="1"/>
                <w:bCs w:val="1"/>
                <w:color w:val="auto"/>
                <w:w w:val="92"/>
              </w:rPr>
              <w:t>Available-for-Sale</w:t>
            </w:r>
          </w:p>
        </w:tc>
        <w:tc>
          <w:tcPr>
            <w:tcW w:w="0" w:type="dxa"/>
            <w:vAlign w:val="bottom"/>
          </w:tcPr>
          <w:p>
            <w:pPr>
              <w:spacing w:after="0"/>
              <w:rPr>
                <w:sz w:val="1"/>
                <w:szCs w:val="1"/>
                <w:color w:val="auto"/>
              </w:rPr>
            </w:pPr>
          </w:p>
        </w:tc>
      </w:tr>
      <w:tr>
        <w:trPr>
          <w:trHeight w:val="149"/>
        </w:trPr>
        <w:tc>
          <w:tcPr>
            <w:tcW w:w="3020" w:type="dxa"/>
            <w:vAlign w:val="bottom"/>
          </w:tcPr>
          <w:p>
            <w:pPr>
              <w:spacing w:after="0" w:line="149" w:lineRule="exact"/>
              <w:rPr>
                <w:sz w:val="20"/>
                <w:szCs w:val="20"/>
                <w:color w:val="auto"/>
              </w:rPr>
            </w:pPr>
            <w:r>
              <w:rPr>
                <w:rFonts w:ascii="Arial" w:cs="Arial" w:eastAsia="Arial" w:hAnsi="Arial"/>
                <w:sz w:val="14"/>
                <w:szCs w:val="14"/>
                <w:b w:val="1"/>
                <w:bCs w:val="1"/>
                <w:color w:val="auto"/>
              </w:rPr>
              <w:t>Settling Agency Securities</w:t>
            </w:r>
          </w:p>
        </w:tc>
        <w:tc>
          <w:tcPr>
            <w:tcW w:w="2280" w:type="dxa"/>
            <w:vAlign w:val="bottom"/>
          </w:tcPr>
          <w:p>
            <w:pPr>
              <w:jc w:val="center"/>
              <w:ind w:left="488"/>
              <w:spacing w:after="0" w:line="149" w:lineRule="exact"/>
              <w:rPr>
                <w:sz w:val="20"/>
                <w:szCs w:val="20"/>
                <w:color w:val="auto"/>
              </w:rPr>
            </w:pPr>
            <w:r>
              <w:rPr>
                <w:rFonts w:ascii="Arial" w:cs="Arial" w:eastAsia="Arial" w:hAnsi="Arial"/>
                <w:sz w:val="14"/>
                <w:szCs w:val="14"/>
                <w:b w:val="1"/>
                <w:bCs w:val="1"/>
                <w:color w:val="auto"/>
                <w:w w:val="92"/>
              </w:rPr>
              <w:t>Flow Hedges</w:t>
            </w:r>
          </w:p>
        </w:tc>
        <w:tc>
          <w:tcPr>
            <w:tcW w:w="1680" w:type="dxa"/>
            <w:vAlign w:val="bottom"/>
          </w:tcPr>
          <w:p>
            <w:pPr>
              <w:jc w:val="center"/>
              <w:ind w:left="168"/>
              <w:spacing w:after="0" w:line="149" w:lineRule="exact"/>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186"/>
        </w:trPr>
        <w:tc>
          <w:tcPr>
            <w:tcW w:w="3020" w:type="dxa"/>
            <w:vAlign w:val="bottom"/>
          </w:tcPr>
          <w:p>
            <w:pPr>
              <w:spacing w:after="0"/>
              <w:rPr>
                <w:sz w:val="20"/>
                <w:szCs w:val="20"/>
                <w:color w:val="auto"/>
              </w:rPr>
            </w:pPr>
            <w:r>
              <w:rPr>
                <w:rFonts w:ascii="Arial" w:cs="Arial" w:eastAsia="Arial" w:hAnsi="Arial"/>
                <w:sz w:val="14"/>
                <w:szCs w:val="14"/>
                <w:b w:val="1"/>
                <w:bCs w:val="1"/>
                <w:color w:val="auto"/>
              </w:rPr>
              <w:t>Designated as Hedging Instruments</w:t>
            </w:r>
          </w:p>
        </w:tc>
        <w:tc>
          <w:tcPr>
            <w:tcW w:w="2280" w:type="dxa"/>
            <w:vAlign w:val="bottom"/>
          </w:tcPr>
          <w:p>
            <w:pPr>
              <w:jc w:val="center"/>
              <w:ind w:left="468"/>
              <w:spacing w:after="0"/>
              <w:rPr>
                <w:sz w:val="20"/>
                <w:szCs w:val="20"/>
                <w:color w:val="auto"/>
              </w:rPr>
            </w:pPr>
            <w:r>
              <w:rPr>
                <w:rFonts w:ascii="Arial" w:cs="Arial" w:eastAsia="Arial" w:hAnsi="Arial"/>
                <w:sz w:val="14"/>
                <w:szCs w:val="14"/>
                <w:b w:val="1"/>
                <w:bCs w:val="1"/>
                <w:color w:val="auto"/>
                <w:w w:val="94"/>
              </w:rPr>
              <w:t>(Effective Portion)</w:t>
            </w:r>
          </w:p>
        </w:tc>
        <w:tc>
          <w:tcPr>
            <w:tcW w:w="1680" w:type="dxa"/>
            <w:vAlign w:val="bottom"/>
          </w:tcPr>
          <w:p>
            <w:pPr>
              <w:jc w:val="center"/>
              <w:ind w:left="188"/>
              <w:spacing w:after="0"/>
              <w:rPr>
                <w:sz w:val="20"/>
                <w:szCs w:val="20"/>
                <w:color w:val="auto"/>
              </w:rPr>
            </w:pPr>
            <w:r>
              <w:rPr>
                <w:rFonts w:ascii="Arial" w:cs="Arial" w:eastAsia="Arial" w:hAnsi="Arial"/>
                <w:sz w:val="14"/>
                <w:szCs w:val="14"/>
                <w:b w:val="1"/>
                <w:bCs w:val="1"/>
                <w:color w:val="auto"/>
                <w:w w:val="94"/>
              </w:rPr>
              <w:t>(Effective Portion)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98" w:lineRule="exact"/>
        <w:rPr>
          <w:sz w:val="20"/>
          <w:szCs w:val="20"/>
          <w:color w:val="auto"/>
        </w:rPr>
      </w:pPr>
    </w:p>
    <w:p>
      <w:pPr>
        <w:ind w:left="200"/>
        <w:spacing w:after="0"/>
        <w:rPr>
          <w:sz w:val="20"/>
          <w:szCs w:val="20"/>
          <w:color w:val="auto"/>
        </w:rPr>
      </w:pPr>
      <w:r>
        <w:rPr>
          <w:rFonts w:ascii="Arial" w:cs="Arial" w:eastAsia="Arial" w:hAnsi="Arial"/>
          <w:sz w:val="14"/>
          <w:szCs w:val="14"/>
          <w:b w:val="1"/>
          <w:bCs w:val="1"/>
          <w:color w:val="auto"/>
        </w:rPr>
        <w:t>Location of Gain or (Loss)</w:t>
      </w:r>
    </w:p>
    <w:p>
      <w:pPr>
        <w:spacing w:after="0" w:line="17" w:lineRule="exact"/>
        <w:rPr>
          <w:sz w:val="20"/>
          <w:szCs w:val="20"/>
          <w:color w:val="auto"/>
        </w:rPr>
      </w:pPr>
    </w:p>
    <w:p>
      <w:pPr>
        <w:ind w:left="280"/>
        <w:spacing w:after="0"/>
        <w:rPr>
          <w:sz w:val="20"/>
          <w:szCs w:val="20"/>
          <w:color w:val="auto"/>
        </w:rPr>
      </w:pPr>
      <w:r>
        <w:rPr>
          <w:rFonts w:ascii="Arial" w:cs="Arial" w:eastAsia="Arial" w:hAnsi="Arial"/>
          <w:sz w:val="14"/>
          <w:szCs w:val="14"/>
          <w:b w:val="1"/>
          <w:bCs w:val="1"/>
          <w:color w:val="auto"/>
        </w:rPr>
        <w:t>Recognized in Earnings</w:t>
      </w:r>
    </w:p>
    <w:p>
      <w:pPr>
        <w:spacing w:after="0"/>
        <w:rPr>
          <w:sz w:val="20"/>
          <w:szCs w:val="20"/>
          <w:color w:val="auto"/>
        </w:rPr>
      </w:pPr>
      <w:r>
        <w:rPr>
          <w:rFonts w:ascii="Arial" w:cs="Arial" w:eastAsia="Arial" w:hAnsi="Arial"/>
          <w:sz w:val="13"/>
          <w:szCs w:val="13"/>
          <w:b w:val="1"/>
          <w:bCs w:val="1"/>
          <w:color w:val="auto"/>
        </w:rPr>
        <w:t>(Ineffective Portion and Amount</w:t>
      </w:r>
    </w:p>
    <w:p>
      <w:pPr>
        <w:jc w:val="center"/>
        <w:spacing w:after="0" w:line="221" w:lineRule="auto"/>
        <w:rPr>
          <w:sz w:val="20"/>
          <w:szCs w:val="20"/>
          <w:color w:val="auto"/>
        </w:rPr>
      </w:pPr>
      <w:r>
        <w:rPr>
          <w:rFonts w:ascii="Arial" w:cs="Arial" w:eastAsia="Arial" w:hAnsi="Arial"/>
          <w:sz w:val="14"/>
          <w:szCs w:val="14"/>
          <w:b w:val="1"/>
          <w:bCs w:val="1"/>
          <w:color w:val="auto"/>
        </w:rPr>
        <w:t>Excluded from Effectiveness</w:t>
      </w:r>
    </w:p>
    <w:p>
      <w:pPr>
        <w:jc w:val="center"/>
        <w:spacing w:after="0"/>
        <w:rPr>
          <w:sz w:val="20"/>
          <w:szCs w:val="20"/>
          <w:color w:val="auto"/>
        </w:rPr>
      </w:pPr>
      <w:r>
        <w:rPr>
          <w:rFonts w:ascii="Arial" w:cs="Arial" w:eastAsia="Arial" w:hAnsi="Arial"/>
          <w:sz w:val="14"/>
          <w:szCs w:val="14"/>
          <w:b w:val="1"/>
          <w:bCs w:val="1"/>
          <w:color w:val="auto"/>
        </w:rPr>
        <w:t>Testing)</w:t>
      </w:r>
    </w:p>
    <w:p>
      <w:pPr>
        <w:spacing w:after="0" w:line="20" w:lineRule="exact"/>
        <w:rPr>
          <w:sz w:val="20"/>
          <w:szCs w:val="20"/>
          <w:color w:val="auto"/>
        </w:rPr>
      </w:pPr>
      <w:r>
        <w:rPr>
          <w:sz w:val="20"/>
          <w:szCs w:val="20"/>
          <w:color w:val="auto"/>
        </w:rPr>
        <w:br w:type="column"/>
      </w:r>
    </w:p>
    <w:p>
      <w:pPr>
        <w:jc w:val="center"/>
        <w:ind w:right="220"/>
        <w:spacing w:after="0" w:line="246" w:lineRule="auto"/>
        <w:rPr>
          <w:sz w:val="20"/>
          <w:szCs w:val="20"/>
          <w:color w:val="auto"/>
        </w:rPr>
      </w:pPr>
      <w:r>
        <w:rPr>
          <w:rFonts w:ascii="Arial" w:cs="Arial" w:eastAsia="Arial" w:hAnsi="Arial"/>
          <w:sz w:val="13"/>
          <w:szCs w:val="13"/>
          <w:b w:val="1"/>
          <w:bCs w:val="1"/>
          <w:color w:val="auto"/>
        </w:rPr>
        <w:t>Amount of Gain or (Loss) Recognized in Earnings (Ineffective Portion and Amount Excluded from Effectiveness Testing)</w:t>
      </w:r>
    </w:p>
    <w:p>
      <w:pPr>
        <w:spacing w:after="0" w:line="1" w:lineRule="exact"/>
        <w:rPr>
          <w:sz w:val="20"/>
          <w:szCs w:val="20"/>
          <w:color w:val="auto"/>
        </w:rPr>
      </w:pPr>
    </w:p>
    <w:p>
      <w:pPr>
        <w:sectPr>
          <w:pgSz w:w="11900" w:h="16838" w:orient="portrait"/>
          <w:cols w:equalWidth="0" w:num="3">
            <w:col w:w="7040" w:space="540"/>
            <w:col w:w="2000" w:space="440"/>
            <w:col w:w="1400"/>
          </w:cols>
          <w:pgMar w:left="240" w:top="888" w:right="239" w:bottom="1440" w:gutter="0" w:footer="0" w:header="0"/>
        </w:sectPr>
      </w:pPr>
    </w:p>
    <w:tbl>
      <w:tblPr>
        <w:tblLayout w:type="fixed"/>
        <w:tblInd w:w="40" w:type="dxa"/>
        <w:tblCellMar>
          <w:top w:w="0" w:type="dxa"/>
          <w:left w:w="0" w:type="dxa"/>
          <w:bottom w:w="0" w:type="dxa"/>
          <w:right w:w="0" w:type="dxa"/>
        </w:tblCellMar>
      </w:tblPr>
      <w:tr>
        <w:trPr>
          <w:trHeight w:val="225"/>
        </w:trPr>
        <w:tc>
          <w:tcPr>
            <w:tcW w:w="36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620" w:type="dxa"/>
            <w:vAlign w:val="bottom"/>
            <w:tcBorders>
              <w:top w:val="single" w:sz="8" w:color="auto"/>
            </w:tcBorders>
            <w:shd w:val="clear" w:color="auto" w:fill="CCEEFF"/>
          </w:tcPr>
          <w:p>
            <w:pPr>
              <w:spacing w:after="0"/>
              <w:rPr>
                <w:sz w:val="19"/>
                <w:szCs w:val="19"/>
                <w:color w:val="auto"/>
              </w:rPr>
            </w:pPr>
          </w:p>
        </w:tc>
        <w:tc>
          <w:tcPr>
            <w:tcW w:w="78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940" w:type="dxa"/>
            <w:vAlign w:val="bottom"/>
            <w:tcBorders>
              <w:top w:val="single" w:sz="8" w:color="auto"/>
            </w:tcBorders>
            <w:shd w:val="clear" w:color="auto" w:fill="CCEEFF"/>
          </w:tcPr>
          <w:p>
            <w:pPr>
              <w:spacing w:after="0"/>
              <w:rPr>
                <w:sz w:val="19"/>
                <w:szCs w:val="19"/>
                <w:color w:val="auto"/>
              </w:rPr>
            </w:pPr>
          </w:p>
        </w:tc>
        <w:tc>
          <w:tcPr>
            <w:tcW w:w="108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28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Gain (loss) on derivative</w:t>
            </w:r>
          </w:p>
        </w:tc>
        <w:tc>
          <w:tcPr>
            <w:tcW w:w="100" w:type="dxa"/>
            <w:vAlign w:val="bottom"/>
            <w:tcBorders>
              <w:top w:val="single" w:sz="8" w:color="CCEEFF"/>
            </w:tcBorders>
            <w:shd w:val="clear" w:color="auto" w:fill="CCEEFF"/>
          </w:tcPr>
          <w:p>
            <w:pPr>
              <w:spacing w:after="0"/>
              <w:rPr>
                <w:sz w:val="19"/>
                <w:szCs w:val="19"/>
                <w:color w:val="auto"/>
              </w:rPr>
            </w:pPr>
          </w:p>
        </w:tc>
        <w:tc>
          <w:tcPr>
            <w:tcW w:w="700" w:type="dxa"/>
            <w:vAlign w:val="bottom"/>
            <w:tcBorders>
              <w:top w:val="single" w:sz="8" w:color="auto"/>
            </w:tcBorders>
            <w:shd w:val="clear" w:color="auto" w:fill="CCEEFF"/>
          </w:tcPr>
          <w:p>
            <w:pPr>
              <w:spacing w:after="0"/>
              <w:rPr>
                <w:sz w:val="19"/>
                <w:szCs w:val="19"/>
                <w:color w:val="auto"/>
              </w:rPr>
            </w:pPr>
          </w:p>
        </w:tc>
        <w:tc>
          <w:tcPr>
            <w:tcW w:w="880" w:type="dxa"/>
            <w:vAlign w:val="bottom"/>
            <w:tcBorders>
              <w:top w:val="single" w:sz="8" w:color="auto"/>
            </w:tcBorders>
            <w:shd w:val="clear" w:color="auto" w:fill="CCEEFF"/>
          </w:tcPr>
          <w:p>
            <w:pPr>
              <w:spacing w:after="0"/>
              <w:rPr>
                <w:sz w:val="19"/>
                <w:szCs w:val="19"/>
                <w:color w:val="auto"/>
              </w:rPr>
            </w:pPr>
          </w:p>
        </w:tc>
      </w:tr>
      <w:tr>
        <w:trPr>
          <w:trHeight w:val="203"/>
        </w:trPr>
        <w:tc>
          <w:tcPr>
            <w:tcW w:w="36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38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instruments and other</w:t>
            </w:r>
          </w:p>
        </w:tc>
        <w:tc>
          <w:tcPr>
            <w:tcW w:w="7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r>
      <w:tr>
        <w:trPr>
          <w:trHeight w:val="220"/>
        </w:trPr>
        <w:tc>
          <w:tcPr>
            <w:tcW w:w="37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Nine months ended September 30, 2011</w:t>
            </w:r>
          </w:p>
        </w:tc>
        <w:tc>
          <w:tcPr>
            <w:tcW w:w="62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900" w:type="dxa"/>
            <w:vAlign w:val="bottom"/>
            <w:gridSpan w:val="2"/>
            <w:shd w:val="clear" w:color="auto" w:fill="CCEEFF"/>
          </w:tcPr>
          <w:p>
            <w:pPr>
              <w:ind w:left="500"/>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ind w:right="759"/>
              <w:spacing w:after="0"/>
              <w:rPr>
                <w:sz w:val="20"/>
                <w:szCs w:val="20"/>
                <w:color w:val="auto"/>
              </w:rPr>
            </w:pPr>
            <w:r>
              <w:rPr>
                <w:rFonts w:ascii="Arial" w:cs="Arial" w:eastAsia="Arial" w:hAnsi="Arial"/>
                <w:sz w:val="16"/>
                <w:szCs w:val="16"/>
                <w:color w:val="auto"/>
                <w:w w:val="89"/>
              </w:rPr>
              <w:t>$</w:t>
            </w:r>
          </w:p>
        </w:tc>
        <w:tc>
          <w:tcPr>
            <w:tcW w:w="3560" w:type="dxa"/>
            <w:vAlign w:val="bottom"/>
            <w:gridSpan w:val="4"/>
            <w:shd w:val="clear" w:color="auto" w:fill="CCEEFF"/>
          </w:tcPr>
          <w:p>
            <w:pPr>
              <w:ind w:left="840"/>
              <w:spacing w:after="0"/>
              <w:rPr>
                <w:sz w:val="20"/>
                <w:szCs w:val="20"/>
                <w:color w:val="auto"/>
              </w:rPr>
            </w:pPr>
            <w:r>
              <w:rPr>
                <w:rFonts w:ascii="Arial" w:cs="Arial" w:eastAsia="Arial" w:hAnsi="Arial"/>
                <w:sz w:val="16"/>
                <w:szCs w:val="16"/>
                <w:color w:val="auto"/>
              </w:rPr>
              <w:t>(3)   securities, net</w:t>
            </w:r>
          </w:p>
        </w:tc>
        <w:tc>
          <w:tcPr>
            <w:tcW w:w="700" w:type="dxa"/>
            <w:vAlign w:val="bottom"/>
            <w:shd w:val="clear" w:color="auto" w:fill="CCEEFF"/>
          </w:tcPr>
          <w:p>
            <w:pPr>
              <w:jc w:val="right"/>
              <w:ind w:right="499"/>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ind w:left="600"/>
              <w:spacing w:after="0"/>
              <w:rPr>
                <w:sz w:val="20"/>
                <w:szCs w:val="20"/>
                <w:color w:val="auto"/>
              </w:rPr>
            </w:pPr>
            <w:r>
              <w:rPr>
                <w:rFonts w:ascii="Arial" w:cs="Arial" w:eastAsia="Arial" w:hAnsi="Arial"/>
                <w:sz w:val="16"/>
                <w:szCs w:val="16"/>
                <w:color w:val="auto"/>
              </w:rPr>
              <w:t>—</w:t>
            </w:r>
          </w:p>
        </w:tc>
      </w:tr>
      <w:tr>
        <w:trPr>
          <w:trHeight w:val="33"/>
        </w:trPr>
        <w:tc>
          <w:tcPr>
            <w:tcW w:w="36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62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Not Designated as Hedging Instruments</w:t>
      </w:r>
    </w:p>
    <w:p>
      <w:pPr>
        <w:spacing w:after="0" w:line="279"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table below summarizes fair value information about our derivatives outstanding that were not designated as hedging instruments as of September 30, 2012 and December 31, 2011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1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Derivatives Not Designated as Hedging Instruments</w:t>
            </w:r>
          </w:p>
        </w:tc>
        <w:tc>
          <w:tcPr>
            <w:tcW w:w="3640" w:type="dxa"/>
            <w:vAlign w:val="bottom"/>
            <w:tcBorders>
              <w:bottom w:val="single" w:sz="8" w:color="auto"/>
            </w:tcBorders>
          </w:tcPr>
          <w:p>
            <w:pPr>
              <w:ind w:left="132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ind w:right="180"/>
              <w:spacing w:after="0"/>
              <w:rPr>
                <w:sz w:val="20"/>
                <w:szCs w:val="20"/>
                <w:color w:val="auto"/>
              </w:rPr>
            </w:pPr>
            <w:r>
              <w:rPr>
                <w:rFonts w:ascii="Arial" w:cs="Arial" w:eastAsia="Arial" w:hAnsi="Arial"/>
                <w:sz w:val="14"/>
                <w:szCs w:val="14"/>
                <w:b w:val="1"/>
                <w:bCs w:val="1"/>
                <w:color w:val="auto"/>
                <w:w w:val="94"/>
              </w:rPr>
              <w:t>September 30, 2012</w:t>
            </w: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tcPr>
          <w:p>
            <w:pPr>
              <w:jc w:val="right"/>
              <w:ind w:right="180"/>
              <w:spacing w:after="0"/>
              <w:rPr>
                <w:sz w:val="20"/>
                <w:szCs w:val="20"/>
                <w:color w:val="auto"/>
              </w:rPr>
            </w:pPr>
            <w:r>
              <w:rPr>
                <w:rFonts w:ascii="Arial" w:cs="Arial" w:eastAsia="Arial" w:hAnsi="Arial"/>
                <w:sz w:val="14"/>
                <w:szCs w:val="14"/>
                <w:b w:val="1"/>
                <w:bCs w:val="1"/>
                <w:color w:val="auto"/>
                <w:w w:val="96"/>
              </w:rPr>
              <w:t>December 31, 2011</w:t>
            </w:r>
          </w:p>
        </w:tc>
      </w:tr>
      <w:tr>
        <w:trPr>
          <w:trHeight w:val="223"/>
        </w:trPr>
        <w:tc>
          <w:tcPr>
            <w:tcW w:w="4140" w:type="dxa"/>
            <w:vAlign w:val="bottom"/>
          </w:tcPr>
          <w:p>
            <w:pPr>
              <w:ind w:left="40"/>
              <w:spacing w:after="0"/>
              <w:rPr>
                <w:sz w:val="20"/>
                <w:szCs w:val="20"/>
                <w:color w:val="auto"/>
              </w:rPr>
            </w:pPr>
            <w:r>
              <w:rPr>
                <w:rFonts w:ascii="Arial" w:cs="Arial" w:eastAsia="Arial" w:hAnsi="Arial"/>
                <w:sz w:val="16"/>
                <w:szCs w:val="16"/>
                <w:color w:val="auto"/>
              </w:rPr>
              <w:t>Interest rate swaps</w:t>
            </w:r>
          </w:p>
        </w:tc>
        <w:tc>
          <w:tcPr>
            <w:tcW w:w="3760" w:type="dxa"/>
            <w:vAlign w:val="bottom"/>
            <w:gridSpan w:val="2"/>
          </w:tcPr>
          <w:p>
            <w:pPr>
              <w:ind w:left="480"/>
              <w:spacing w:after="0"/>
              <w:rPr>
                <w:sz w:val="20"/>
                <w:szCs w:val="20"/>
                <w:color w:val="auto"/>
              </w:rPr>
            </w:pPr>
            <w:r>
              <w:rPr>
                <w:rFonts w:ascii="Arial" w:cs="Arial" w:eastAsia="Arial" w:hAnsi="Arial"/>
                <w:sz w:val="16"/>
                <w:szCs w:val="16"/>
                <w:color w:val="auto"/>
              </w:rPr>
              <w:t>Derivative assets, at fair value</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520" w:type="dxa"/>
            <w:vAlign w:val="bottom"/>
          </w:tcPr>
          <w:p>
            <w:pPr>
              <w:jc w:val="right"/>
              <w:ind w:right="20"/>
              <w:spacing w:after="0"/>
              <w:rPr>
                <w:sz w:val="20"/>
                <w:szCs w:val="20"/>
                <w:color w:val="auto"/>
              </w:rPr>
            </w:pPr>
            <w:r>
              <w:rPr>
                <w:rFonts w:ascii="Arial" w:cs="Arial" w:eastAsia="Arial" w:hAnsi="Arial"/>
                <w:sz w:val="16"/>
                <w:szCs w:val="16"/>
                <w:color w:val="auto"/>
              </w:rPr>
              <w:t>6</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500" w:type="dxa"/>
            <w:vAlign w:val="bottom"/>
          </w:tcPr>
          <w:p>
            <w:pPr>
              <w:jc w:val="right"/>
              <w:ind w:right="20"/>
              <w:spacing w:after="0"/>
              <w:rPr>
                <w:sz w:val="20"/>
                <w:szCs w:val="20"/>
                <w:color w:val="auto"/>
              </w:rPr>
            </w:pPr>
            <w:r>
              <w:rPr>
                <w:rFonts w:ascii="Arial" w:cs="Arial" w:eastAsia="Arial" w:hAnsi="Arial"/>
                <w:sz w:val="16"/>
                <w:szCs w:val="16"/>
                <w:color w:val="auto"/>
              </w:rPr>
              <w:t>13</w:t>
            </w:r>
          </w:p>
        </w:tc>
      </w:tr>
      <w:tr>
        <w:trPr>
          <w:trHeight w:val="33"/>
        </w:trPr>
        <w:tc>
          <w:tcPr>
            <w:tcW w:w="414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4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Payer swaptions</w:t>
            </w:r>
          </w:p>
        </w:tc>
        <w:tc>
          <w:tcPr>
            <w:tcW w:w="3760" w:type="dxa"/>
            <w:vAlign w:val="bottom"/>
            <w:tcBorders>
              <w:bottom w:val="single" w:sz="8" w:color="CCEEFF"/>
            </w:tcBorders>
            <w:gridSpan w:val="2"/>
            <w:shd w:val="clear" w:color="auto" w:fill="CCEEFF"/>
          </w:tcPr>
          <w:p>
            <w:pPr>
              <w:ind w:left="480"/>
              <w:spacing w:after="0"/>
              <w:rPr>
                <w:sz w:val="20"/>
                <w:szCs w:val="20"/>
                <w:color w:val="auto"/>
              </w:rPr>
            </w:pPr>
            <w:r>
              <w:rPr>
                <w:rFonts w:ascii="Arial" w:cs="Arial" w:eastAsia="Arial" w:hAnsi="Arial"/>
                <w:sz w:val="16"/>
                <w:szCs w:val="16"/>
                <w:color w:val="auto"/>
              </w:rPr>
              <w:t>Derivative assets, at fair value</w:t>
            </w: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w:t>
            </w:r>
          </w:p>
        </w:tc>
      </w:tr>
      <w:tr>
        <w:trPr>
          <w:trHeight w:val="237"/>
        </w:trPr>
        <w:tc>
          <w:tcPr>
            <w:tcW w:w="4140" w:type="dxa"/>
            <w:vAlign w:val="bottom"/>
          </w:tcPr>
          <w:p>
            <w:pPr>
              <w:ind w:left="40"/>
              <w:spacing w:after="0"/>
              <w:rPr>
                <w:sz w:val="20"/>
                <w:szCs w:val="20"/>
                <w:color w:val="auto"/>
              </w:rPr>
            </w:pPr>
            <w:r>
              <w:rPr>
                <w:rFonts w:ascii="Arial" w:cs="Arial" w:eastAsia="Arial" w:hAnsi="Arial"/>
                <w:sz w:val="16"/>
                <w:szCs w:val="16"/>
                <w:color w:val="auto"/>
              </w:rPr>
              <w:t>Purchase of TBA and forward settling agency securities</w:t>
            </w:r>
          </w:p>
        </w:tc>
        <w:tc>
          <w:tcPr>
            <w:tcW w:w="3760" w:type="dxa"/>
            <w:vAlign w:val="bottom"/>
            <w:gridSpan w:val="2"/>
          </w:tcPr>
          <w:p>
            <w:pPr>
              <w:ind w:left="480"/>
              <w:spacing w:after="0"/>
              <w:rPr>
                <w:sz w:val="20"/>
                <w:szCs w:val="20"/>
                <w:color w:val="auto"/>
              </w:rPr>
            </w:pPr>
            <w:r>
              <w:rPr>
                <w:rFonts w:ascii="Arial" w:cs="Arial" w:eastAsia="Arial" w:hAnsi="Arial"/>
                <w:sz w:val="16"/>
                <w:szCs w:val="16"/>
                <w:color w:val="auto"/>
              </w:rPr>
              <w:t>Derivative assets, at fair value</w:t>
            </w:r>
          </w:p>
        </w:tc>
        <w:tc>
          <w:tcPr>
            <w:tcW w:w="20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16"/>
                <w:szCs w:val="16"/>
                <w:color w:val="auto"/>
              </w:rPr>
              <w:t>186</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tcPr>
          <w:p>
            <w:pPr>
              <w:jc w:val="right"/>
              <w:ind w:right="20"/>
              <w:spacing w:after="0"/>
              <w:rPr>
                <w:sz w:val="20"/>
                <w:szCs w:val="20"/>
                <w:color w:val="auto"/>
              </w:rPr>
            </w:pPr>
            <w:r>
              <w:rPr>
                <w:rFonts w:ascii="Arial" w:cs="Arial" w:eastAsia="Arial" w:hAnsi="Arial"/>
                <w:sz w:val="16"/>
                <w:szCs w:val="16"/>
                <w:color w:val="auto"/>
              </w:rPr>
              <w:t>54</w:t>
            </w:r>
          </w:p>
        </w:tc>
      </w:tr>
      <w:tr>
        <w:trPr>
          <w:trHeight w:val="33"/>
        </w:trPr>
        <w:tc>
          <w:tcPr>
            <w:tcW w:w="414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4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Sale of TBA and forward settling agency securities</w:t>
            </w:r>
          </w:p>
        </w:tc>
        <w:tc>
          <w:tcPr>
            <w:tcW w:w="3760" w:type="dxa"/>
            <w:vAlign w:val="bottom"/>
            <w:tcBorders>
              <w:bottom w:val="single" w:sz="8" w:color="CCEEFF"/>
            </w:tcBorders>
            <w:gridSpan w:val="2"/>
            <w:shd w:val="clear" w:color="auto" w:fill="CCEEFF"/>
          </w:tcPr>
          <w:p>
            <w:pPr>
              <w:ind w:left="480"/>
              <w:spacing w:after="0"/>
              <w:rPr>
                <w:sz w:val="20"/>
                <w:szCs w:val="20"/>
                <w:color w:val="auto"/>
              </w:rPr>
            </w:pPr>
            <w:r>
              <w:rPr>
                <w:rFonts w:ascii="Arial" w:cs="Arial" w:eastAsia="Arial" w:hAnsi="Arial"/>
                <w:sz w:val="16"/>
                <w:szCs w:val="16"/>
                <w:color w:val="auto"/>
              </w:rPr>
              <w:t>Derivative assets, at fair value</w:t>
            </w:r>
          </w:p>
        </w:tc>
        <w:tc>
          <w:tcPr>
            <w:tcW w:w="2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w:t>
            </w:r>
          </w:p>
        </w:tc>
      </w:tr>
      <w:tr>
        <w:trPr>
          <w:trHeight w:val="237"/>
        </w:trPr>
        <w:tc>
          <w:tcPr>
            <w:tcW w:w="4140" w:type="dxa"/>
            <w:vAlign w:val="bottom"/>
          </w:tcPr>
          <w:p>
            <w:pPr>
              <w:ind w:left="40"/>
              <w:spacing w:after="0"/>
              <w:rPr>
                <w:sz w:val="20"/>
                <w:szCs w:val="20"/>
                <w:color w:val="auto"/>
              </w:rPr>
            </w:pPr>
            <w:r>
              <w:rPr>
                <w:rFonts w:ascii="Arial" w:cs="Arial" w:eastAsia="Arial" w:hAnsi="Arial"/>
                <w:sz w:val="16"/>
                <w:szCs w:val="16"/>
                <w:color w:val="auto"/>
              </w:rPr>
              <w:t>Markit IOS total return swaps - long</w:t>
            </w:r>
          </w:p>
        </w:tc>
        <w:tc>
          <w:tcPr>
            <w:tcW w:w="3760" w:type="dxa"/>
            <w:vAlign w:val="bottom"/>
            <w:gridSpan w:val="2"/>
          </w:tcPr>
          <w:p>
            <w:pPr>
              <w:ind w:left="480"/>
              <w:spacing w:after="0"/>
              <w:rPr>
                <w:sz w:val="20"/>
                <w:szCs w:val="20"/>
                <w:color w:val="auto"/>
              </w:rPr>
            </w:pPr>
            <w:r>
              <w:rPr>
                <w:rFonts w:ascii="Arial" w:cs="Arial" w:eastAsia="Arial" w:hAnsi="Arial"/>
                <w:sz w:val="16"/>
                <w:szCs w:val="16"/>
                <w:color w:val="auto"/>
              </w:rPr>
              <w:t>Derivative assets, at fair value</w:t>
            </w:r>
          </w:p>
        </w:tc>
        <w:tc>
          <w:tcPr>
            <w:tcW w:w="200" w:type="dxa"/>
            <w:vAlign w:val="bottom"/>
          </w:tcPr>
          <w:p>
            <w:pPr>
              <w:spacing w:after="0"/>
              <w:rPr>
                <w:sz w:val="20"/>
                <w:szCs w:val="20"/>
                <w:color w:val="auto"/>
              </w:rPr>
            </w:pPr>
          </w:p>
        </w:tc>
        <w:tc>
          <w:tcPr>
            <w:tcW w:w="16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500" w:type="dxa"/>
            <w:vAlign w:val="bottom"/>
          </w:tcPr>
          <w:p>
            <w:pPr>
              <w:jc w:val="right"/>
              <w:ind w:right="20"/>
              <w:spacing w:after="0"/>
              <w:rPr>
                <w:sz w:val="20"/>
                <w:szCs w:val="20"/>
                <w:color w:val="auto"/>
              </w:rPr>
            </w:pPr>
            <w:r>
              <w:rPr>
                <w:rFonts w:ascii="Arial" w:cs="Arial" w:eastAsia="Arial" w:hAnsi="Arial"/>
                <w:sz w:val="16"/>
                <w:szCs w:val="16"/>
                <w:color w:val="auto"/>
              </w:rPr>
              <w:t>1</w:t>
            </w:r>
          </w:p>
        </w:tc>
      </w:tr>
      <w:tr>
        <w:trPr>
          <w:trHeight w:val="33"/>
        </w:trPr>
        <w:tc>
          <w:tcPr>
            <w:tcW w:w="4140" w:type="dxa"/>
            <w:vAlign w:val="bottom"/>
            <w:tcBorders>
              <w:bottom w:val="single" w:sz="8" w:color="CCEEFF"/>
            </w:tcBorders>
          </w:tcPr>
          <w:p>
            <w:pPr>
              <w:spacing w:after="0"/>
              <w:rPr>
                <w:sz w:val="2"/>
                <w:szCs w:val="2"/>
                <w:color w:val="auto"/>
              </w:rPr>
            </w:pPr>
          </w:p>
        </w:tc>
        <w:tc>
          <w:tcPr>
            <w:tcW w:w="36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55"/>
        </w:trPr>
        <w:tc>
          <w:tcPr>
            <w:tcW w:w="4140" w:type="dxa"/>
            <w:vAlign w:val="bottom"/>
            <w:tcBorders>
              <w:bottom w:val="single" w:sz="8" w:color="CCEEFF"/>
            </w:tcBorders>
            <w:shd w:val="clear" w:color="auto" w:fill="CCEEFF"/>
          </w:tcPr>
          <w:p>
            <w:pPr>
              <w:spacing w:after="0"/>
              <w:rPr>
                <w:sz w:val="21"/>
                <w:szCs w:val="21"/>
                <w:color w:val="auto"/>
              </w:rPr>
            </w:pPr>
          </w:p>
        </w:tc>
        <w:tc>
          <w:tcPr>
            <w:tcW w:w="36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82</w:t>
            </w:r>
          </w:p>
        </w:tc>
      </w:tr>
      <w:tr>
        <w:trPr>
          <w:trHeight w:val="20"/>
        </w:trPr>
        <w:tc>
          <w:tcPr>
            <w:tcW w:w="4140" w:type="dxa"/>
            <w:vAlign w:val="bottom"/>
            <w:tcBorders>
              <w:top w:val="single" w:sz="8" w:color="CCEEFF"/>
            </w:tcBorders>
          </w:tcPr>
          <w:p>
            <w:pPr>
              <w:spacing w:after="0" w:line="20" w:lineRule="exact"/>
              <w:rPr>
                <w:sz w:val="1"/>
                <w:szCs w:val="1"/>
                <w:color w:val="auto"/>
              </w:rPr>
            </w:pPr>
          </w:p>
        </w:tc>
        <w:tc>
          <w:tcPr>
            <w:tcW w:w="36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r>
      <w:tr>
        <w:trPr>
          <w:trHeight w:val="204"/>
        </w:trPr>
        <w:tc>
          <w:tcPr>
            <w:tcW w:w="4140" w:type="dxa"/>
            <w:vAlign w:val="bottom"/>
          </w:tcPr>
          <w:p>
            <w:pPr>
              <w:ind w:left="40"/>
              <w:spacing w:after="0"/>
              <w:rPr>
                <w:sz w:val="20"/>
                <w:szCs w:val="20"/>
                <w:color w:val="auto"/>
              </w:rPr>
            </w:pPr>
            <w:r>
              <w:rPr>
                <w:rFonts w:ascii="Arial" w:cs="Arial" w:eastAsia="Arial" w:hAnsi="Arial"/>
                <w:sz w:val="16"/>
                <w:szCs w:val="16"/>
                <w:color w:val="auto"/>
              </w:rPr>
              <w:t>Interest rate swaps</w:t>
            </w:r>
          </w:p>
        </w:tc>
        <w:tc>
          <w:tcPr>
            <w:tcW w:w="3760" w:type="dxa"/>
            <w:vAlign w:val="bottom"/>
            <w:gridSpan w:val="2"/>
          </w:tcPr>
          <w:p>
            <w:pPr>
              <w:ind w:left="480"/>
              <w:spacing w:after="0"/>
              <w:rPr>
                <w:sz w:val="20"/>
                <w:szCs w:val="20"/>
                <w:color w:val="auto"/>
              </w:rPr>
            </w:pPr>
            <w:r>
              <w:rPr>
                <w:rFonts w:ascii="Arial" w:cs="Arial" w:eastAsia="Arial" w:hAnsi="Arial"/>
                <w:sz w:val="16"/>
                <w:szCs w:val="16"/>
                <w:color w:val="auto"/>
              </w:rPr>
              <w:t>Derivative liabilities, at fair value</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520" w:type="dxa"/>
            <w:vAlign w:val="bottom"/>
          </w:tcPr>
          <w:p>
            <w:pPr>
              <w:jc w:val="right"/>
              <w:spacing w:after="0"/>
              <w:rPr>
                <w:sz w:val="20"/>
                <w:szCs w:val="20"/>
                <w:color w:val="auto"/>
              </w:rPr>
            </w:pPr>
            <w:r>
              <w:rPr>
                <w:rFonts w:ascii="Arial" w:cs="Arial" w:eastAsia="Arial" w:hAnsi="Arial"/>
                <w:sz w:val="16"/>
                <w:szCs w:val="16"/>
                <w:color w:val="auto"/>
              </w:rPr>
              <w:t>(1,442)</w:t>
            </w:r>
          </w:p>
        </w:tc>
        <w:tc>
          <w:tcPr>
            <w:tcW w:w="120" w:type="dxa"/>
            <w:vAlign w:val="bottom"/>
          </w:tcPr>
          <w:p>
            <w:pPr>
              <w:spacing w:after="0"/>
              <w:rPr>
                <w:sz w:val="17"/>
                <w:szCs w:val="17"/>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500" w:type="dxa"/>
            <w:vAlign w:val="bottom"/>
          </w:tcPr>
          <w:p>
            <w:pPr>
              <w:jc w:val="right"/>
              <w:spacing w:after="0"/>
              <w:rPr>
                <w:sz w:val="20"/>
                <w:szCs w:val="20"/>
                <w:color w:val="auto"/>
              </w:rPr>
            </w:pPr>
            <w:r>
              <w:rPr>
                <w:rFonts w:ascii="Arial" w:cs="Arial" w:eastAsia="Arial" w:hAnsi="Arial"/>
                <w:sz w:val="16"/>
                <w:szCs w:val="16"/>
                <w:color w:val="auto"/>
              </w:rPr>
              <w:t>(795)</w:t>
            </w:r>
          </w:p>
        </w:tc>
      </w:tr>
      <w:tr>
        <w:trPr>
          <w:trHeight w:val="33"/>
        </w:trPr>
        <w:tc>
          <w:tcPr>
            <w:tcW w:w="414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4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U.S. Treasury futures - short</w:t>
            </w:r>
          </w:p>
        </w:tc>
        <w:tc>
          <w:tcPr>
            <w:tcW w:w="3760" w:type="dxa"/>
            <w:vAlign w:val="bottom"/>
            <w:tcBorders>
              <w:bottom w:val="single" w:sz="8" w:color="CCEEFF"/>
            </w:tcBorders>
            <w:gridSpan w:val="2"/>
            <w:shd w:val="clear" w:color="auto" w:fill="CCEEFF"/>
          </w:tcPr>
          <w:p>
            <w:pPr>
              <w:ind w:left="480"/>
              <w:spacing w:after="0"/>
              <w:rPr>
                <w:sz w:val="20"/>
                <w:szCs w:val="20"/>
                <w:color w:val="auto"/>
              </w:rPr>
            </w:pPr>
            <w:r>
              <w:rPr>
                <w:rFonts w:ascii="Arial" w:cs="Arial" w:eastAsia="Arial" w:hAnsi="Arial"/>
                <w:sz w:val="16"/>
                <w:szCs w:val="16"/>
                <w:color w:val="auto"/>
              </w:rPr>
              <w:t>Derivative liabilities, at fair value</w:t>
            </w:r>
          </w:p>
        </w:tc>
        <w:tc>
          <w:tcPr>
            <w:tcW w:w="20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r>
      <w:tr>
        <w:trPr>
          <w:trHeight w:val="237"/>
        </w:trPr>
        <w:tc>
          <w:tcPr>
            <w:tcW w:w="4140" w:type="dxa"/>
            <w:vAlign w:val="bottom"/>
          </w:tcPr>
          <w:p>
            <w:pPr>
              <w:ind w:left="40"/>
              <w:spacing w:after="0"/>
              <w:rPr>
                <w:sz w:val="20"/>
                <w:szCs w:val="20"/>
                <w:color w:val="auto"/>
              </w:rPr>
            </w:pPr>
            <w:r>
              <w:rPr>
                <w:rFonts w:ascii="Arial" w:cs="Arial" w:eastAsia="Arial" w:hAnsi="Arial"/>
                <w:sz w:val="16"/>
                <w:szCs w:val="16"/>
                <w:color w:val="auto"/>
              </w:rPr>
              <w:t>Purchase of TBA and forward settling agency securities</w:t>
            </w:r>
          </w:p>
        </w:tc>
        <w:tc>
          <w:tcPr>
            <w:tcW w:w="3760" w:type="dxa"/>
            <w:vAlign w:val="bottom"/>
            <w:gridSpan w:val="2"/>
          </w:tcPr>
          <w:p>
            <w:pPr>
              <w:ind w:left="480"/>
              <w:spacing w:after="0"/>
              <w:rPr>
                <w:sz w:val="20"/>
                <w:szCs w:val="20"/>
                <w:color w:val="auto"/>
              </w:rPr>
            </w:pPr>
            <w:r>
              <w:rPr>
                <w:rFonts w:ascii="Arial" w:cs="Arial" w:eastAsia="Arial" w:hAnsi="Arial"/>
                <w:sz w:val="16"/>
                <w:szCs w:val="16"/>
                <w:color w:val="auto"/>
              </w:rPr>
              <w:t>Derivative liabilities, at fair value</w:t>
            </w:r>
          </w:p>
        </w:tc>
        <w:tc>
          <w:tcPr>
            <w:tcW w:w="200" w:type="dxa"/>
            <w:vAlign w:val="bottom"/>
          </w:tcPr>
          <w:p>
            <w:pPr>
              <w:spacing w:after="0"/>
              <w:rPr>
                <w:sz w:val="20"/>
                <w:szCs w:val="20"/>
                <w:color w:val="auto"/>
              </w:rPr>
            </w:pPr>
          </w:p>
        </w:tc>
        <w:tc>
          <w:tcPr>
            <w:tcW w:w="1520" w:type="dxa"/>
            <w:vAlign w:val="bottom"/>
          </w:tcPr>
          <w:p>
            <w:pPr>
              <w:jc w:val="right"/>
              <w:spacing w:after="0"/>
              <w:rPr>
                <w:sz w:val="20"/>
                <w:szCs w:val="20"/>
                <w:color w:val="auto"/>
              </w:rPr>
            </w:pPr>
            <w:r>
              <w:rPr>
                <w:rFonts w:ascii="Arial" w:cs="Arial" w:eastAsia="Arial" w:hAnsi="Arial"/>
                <w:sz w:val="16"/>
                <w:szCs w:val="16"/>
                <w:color w:val="auto"/>
              </w:rPr>
              <w:t>(20)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tcPr>
          <w:p>
            <w:pPr>
              <w:jc w:val="right"/>
              <w:ind w:right="20"/>
              <w:spacing w:after="0"/>
              <w:rPr>
                <w:sz w:val="20"/>
                <w:szCs w:val="20"/>
                <w:color w:val="auto"/>
              </w:rPr>
            </w:pPr>
            <w:r>
              <w:rPr>
                <w:rFonts w:ascii="Arial" w:cs="Arial" w:eastAsia="Arial" w:hAnsi="Arial"/>
                <w:sz w:val="16"/>
                <w:szCs w:val="16"/>
                <w:color w:val="auto"/>
              </w:rPr>
              <w:t>—</w:t>
            </w:r>
          </w:p>
        </w:tc>
      </w:tr>
      <w:tr>
        <w:trPr>
          <w:trHeight w:val="33"/>
        </w:trPr>
        <w:tc>
          <w:tcPr>
            <w:tcW w:w="414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4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Sale of TBA and forward settling agency securities</w:t>
            </w:r>
          </w:p>
        </w:tc>
        <w:tc>
          <w:tcPr>
            <w:tcW w:w="3760" w:type="dxa"/>
            <w:vAlign w:val="bottom"/>
            <w:tcBorders>
              <w:bottom w:val="single" w:sz="8" w:color="CCEEFF"/>
            </w:tcBorders>
            <w:gridSpan w:val="2"/>
            <w:shd w:val="clear" w:color="auto" w:fill="CCEEFF"/>
          </w:tcPr>
          <w:p>
            <w:pPr>
              <w:ind w:left="480"/>
              <w:spacing w:after="0"/>
              <w:rPr>
                <w:sz w:val="20"/>
                <w:szCs w:val="20"/>
                <w:color w:val="auto"/>
              </w:rPr>
            </w:pPr>
            <w:r>
              <w:rPr>
                <w:rFonts w:ascii="Arial" w:cs="Arial" w:eastAsia="Arial" w:hAnsi="Arial"/>
                <w:sz w:val="16"/>
                <w:szCs w:val="16"/>
                <w:color w:val="auto"/>
              </w:rPr>
              <w:t>Derivative liabilities, at fair value</w:t>
            </w:r>
          </w:p>
        </w:tc>
        <w:tc>
          <w:tcPr>
            <w:tcW w:w="20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(100)</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w:t>
            </w:r>
          </w:p>
        </w:tc>
      </w:tr>
      <w:tr>
        <w:trPr>
          <w:trHeight w:val="217"/>
        </w:trPr>
        <w:tc>
          <w:tcPr>
            <w:tcW w:w="414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5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(1,562)</w:t>
            </w:r>
          </w:p>
        </w:tc>
        <w:tc>
          <w:tcPr>
            <w:tcW w:w="12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(853)</w:t>
            </w:r>
          </w:p>
        </w:tc>
      </w:tr>
      <w:tr>
        <w:trPr>
          <w:trHeight w:val="33"/>
        </w:trPr>
        <w:tc>
          <w:tcPr>
            <w:tcW w:w="414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0"/>
        </w:trPr>
        <w:tc>
          <w:tcPr>
            <w:tcW w:w="414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538"/>
        <w:spacing w:after="0" w:line="257" w:lineRule="auto"/>
        <w:rPr>
          <w:sz w:val="20"/>
          <w:szCs w:val="20"/>
          <w:color w:val="auto"/>
        </w:rPr>
      </w:pPr>
      <w:r>
        <w:rPr>
          <w:rFonts w:ascii="Arial" w:cs="Arial" w:eastAsia="Arial" w:hAnsi="Arial"/>
          <w:sz w:val="18"/>
          <w:szCs w:val="18"/>
          <w:color w:val="auto"/>
        </w:rPr>
        <w:t>Additionally, as of September 30, 2012 and December 31, 2011, we had obligations to return U.S. Treasury securities borrowed under reverse repurchase agreements accounted for as securities borrowing transactions at a fair value of $7.3 billion and $899 million, respectively. The borrowed securities were used to cover short sales of U.S. Treasury securities from which we received total proceeds of $7.2 billion and $880 million, respectively. The change in fair value of the borrowed securities is recorded in gain (loss) on derivative instruments and other securities, net in our consolidated statements of comprehensive income.</w:t>
      </w:r>
    </w:p>
    <w:p>
      <w:pPr>
        <w:spacing w:after="0" w:line="13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tables below summarize the effect of derivative instruments not designated as hedges under ASC 815 on our consolidated statements of comprehensive income for the three and nine months ended September 30, 2012 and 2011 (in millions):</w:t>
      </w:r>
    </w:p>
    <w:p>
      <w:pPr>
        <w:spacing w:after="0" w:line="200" w:lineRule="exact"/>
        <w:rPr>
          <w:sz w:val="20"/>
          <w:szCs w:val="20"/>
          <w:color w:val="auto"/>
        </w:rPr>
      </w:pPr>
    </w:p>
    <w:p>
      <w:pPr>
        <w:spacing w:after="0" w:line="354"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4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840" w:type="dxa"/>
            <w:vAlign w:val="bottom"/>
            <w:tcBorders>
              <w:bottom w:val="single" w:sz="8" w:color="auto"/>
            </w:tcBorders>
            <w:gridSpan w:val="6"/>
          </w:tcPr>
          <w:p>
            <w:pPr>
              <w:ind w:left="520"/>
              <w:spacing w:after="0"/>
              <w:rPr>
                <w:sz w:val="20"/>
                <w:szCs w:val="20"/>
                <w:color w:val="auto"/>
              </w:rPr>
            </w:pPr>
            <w:r>
              <w:rPr>
                <w:rFonts w:ascii="Arial" w:cs="Arial" w:eastAsia="Arial" w:hAnsi="Arial"/>
                <w:sz w:val="14"/>
                <w:szCs w:val="14"/>
                <w:b w:val="1"/>
                <w:bCs w:val="1"/>
                <w:color w:val="auto"/>
              </w:rPr>
              <w:t>Three Months Ended September 30, 2012</w:t>
            </w: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2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2"/>
              </w:rPr>
              <w:t>Notional</w:t>
            </w: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Settlement,</w:t>
            </w:r>
          </w:p>
        </w:tc>
        <w:tc>
          <w:tcPr>
            <w:tcW w:w="220" w:type="dxa"/>
            <w:vAlign w:val="bottom"/>
          </w:tcPr>
          <w:p>
            <w:pPr>
              <w:spacing w:after="0"/>
              <w:rPr>
                <w:sz w:val="13"/>
                <w:szCs w:val="13"/>
                <w:color w:val="auto"/>
              </w:rPr>
            </w:pPr>
          </w:p>
        </w:tc>
        <w:tc>
          <w:tcPr>
            <w:tcW w:w="12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6"/>
              </w:rPr>
              <w:t>Notional</w:t>
            </w:r>
          </w:p>
        </w:tc>
        <w:tc>
          <w:tcPr>
            <w:tcW w:w="140" w:type="dxa"/>
            <w:vAlign w:val="bottom"/>
          </w:tcPr>
          <w:p>
            <w:pPr>
              <w:spacing w:after="0"/>
              <w:rPr>
                <w:sz w:val="13"/>
                <w:szCs w:val="13"/>
                <w:color w:val="auto"/>
              </w:rPr>
            </w:pPr>
          </w:p>
        </w:tc>
        <w:tc>
          <w:tcPr>
            <w:tcW w:w="1080" w:type="dxa"/>
            <w:vAlign w:val="bottom"/>
          </w:tcPr>
          <w:p>
            <w:pPr>
              <w:jc w:val="center"/>
              <w:ind w:right="6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Amount</w:t>
            </w:r>
          </w:p>
        </w:tc>
        <w:tc>
          <w:tcPr>
            <w:tcW w:w="140" w:type="dxa"/>
            <w:vAlign w:val="bottom"/>
          </w:tcPr>
          <w:p>
            <w:pPr>
              <w:spacing w:after="0"/>
              <w:rPr>
                <w:sz w:val="12"/>
                <w:szCs w:val="12"/>
                <w:color w:val="auto"/>
              </w:rPr>
            </w:pPr>
          </w:p>
        </w:tc>
        <w:tc>
          <w:tcPr>
            <w:tcW w:w="108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7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Derivatives Not Designated as</w:t>
            </w:r>
          </w:p>
        </w:tc>
        <w:tc>
          <w:tcPr>
            <w:tcW w:w="200" w:type="dxa"/>
            <w:vAlign w:val="bottom"/>
          </w:tcPr>
          <w:p>
            <w:pPr>
              <w:spacing w:after="0"/>
              <w:rPr>
                <w:sz w:val="12"/>
                <w:szCs w:val="12"/>
                <w:color w:val="auto"/>
              </w:rPr>
            </w:pPr>
          </w:p>
        </w:tc>
        <w:tc>
          <w:tcPr>
            <w:tcW w:w="13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8"/>
              </w:rPr>
              <w:t>Amount</w:t>
            </w: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Termination,</w:t>
            </w:r>
          </w:p>
        </w:tc>
        <w:tc>
          <w:tcPr>
            <w:tcW w:w="220" w:type="dxa"/>
            <w:vAlign w:val="bottom"/>
          </w:tcPr>
          <w:p>
            <w:pPr>
              <w:spacing w:after="0"/>
              <w:rPr>
                <w:sz w:val="12"/>
                <w:szCs w:val="12"/>
                <w:color w:val="auto"/>
              </w:rPr>
            </w:pPr>
          </w:p>
        </w:tc>
        <w:tc>
          <w:tcPr>
            <w:tcW w:w="12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as of</w:t>
            </w:r>
          </w:p>
        </w:tc>
        <w:tc>
          <w:tcPr>
            <w:tcW w:w="140" w:type="dxa"/>
            <w:vAlign w:val="bottom"/>
          </w:tcPr>
          <w:p>
            <w:pPr>
              <w:spacing w:after="0"/>
              <w:rPr>
                <w:sz w:val="12"/>
                <w:szCs w:val="12"/>
                <w:color w:val="auto"/>
              </w:rPr>
            </w:pPr>
          </w:p>
        </w:tc>
        <w:tc>
          <w:tcPr>
            <w:tcW w:w="10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7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3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5"/>
              </w:rPr>
              <w:t>as of</w:t>
            </w:r>
          </w:p>
        </w:tc>
        <w:tc>
          <w:tcPr>
            <w:tcW w:w="1040" w:type="dxa"/>
            <w:vAlign w:val="bottom"/>
            <w:vMerge w:val="restart"/>
          </w:tcPr>
          <w:p>
            <w:pPr>
              <w:jc w:val="right"/>
              <w:ind w:right="141"/>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2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220" w:type="dxa"/>
            <w:vAlign w:val="bottom"/>
          </w:tcPr>
          <w:p>
            <w:pPr>
              <w:spacing w:after="0"/>
              <w:rPr>
                <w:sz w:val="12"/>
                <w:szCs w:val="12"/>
                <w:color w:val="auto"/>
              </w:rPr>
            </w:pPr>
          </w:p>
        </w:tc>
        <w:tc>
          <w:tcPr>
            <w:tcW w:w="12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2"/>
                <w:szCs w:val="12"/>
                <w:color w:val="auto"/>
              </w:rPr>
            </w:pPr>
          </w:p>
        </w:tc>
        <w:tc>
          <w:tcPr>
            <w:tcW w:w="108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6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Hedging Instruments</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122"/>
              <w:spacing w:after="0"/>
              <w:rPr>
                <w:sz w:val="20"/>
                <w:szCs w:val="20"/>
                <w:color w:val="auto"/>
              </w:rPr>
            </w:pPr>
            <w:r>
              <w:rPr>
                <w:rFonts w:ascii="Arial" w:cs="Arial" w:eastAsia="Arial" w:hAnsi="Arial"/>
                <w:sz w:val="14"/>
                <w:szCs w:val="14"/>
                <w:b w:val="1"/>
                <w:bCs w:val="1"/>
                <w:color w:val="auto"/>
                <w:w w:val="92"/>
              </w:rPr>
              <w:t>June 30, 2012</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2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6"/>
              </w:rPr>
              <w:t>2012</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82"/>
              <w:spacing w:after="0"/>
              <w:rPr>
                <w:sz w:val="20"/>
                <w:szCs w:val="20"/>
                <w:color w:val="auto"/>
              </w:rPr>
            </w:pPr>
            <w:r>
              <w:rPr>
                <w:rFonts w:ascii="Arial" w:cs="Arial" w:eastAsia="Arial" w:hAnsi="Arial"/>
                <w:sz w:val="14"/>
                <w:szCs w:val="14"/>
                <w:b w:val="1"/>
                <w:bCs w:val="1"/>
                <w:color w:val="auto"/>
                <w:w w:val="94"/>
              </w:rPr>
              <w:t>Derivatives</w:t>
            </w:r>
            <w:r>
              <w:rPr>
                <w:rFonts w:ascii="Arial" w:cs="Arial" w:eastAsia="Arial" w:hAnsi="Arial"/>
                <w:sz w:val="8"/>
                <w:szCs w:val="8"/>
                <w:b w:val="1"/>
                <w:bCs w:val="1"/>
                <w:color w:val="auto"/>
                <w:w w:val="94"/>
              </w:rPr>
              <w:t>(1)</w:t>
            </w:r>
          </w:p>
        </w:tc>
        <w:tc>
          <w:tcPr>
            <w:tcW w:w="0" w:type="dxa"/>
            <w:vAlign w:val="bottom"/>
          </w:tcPr>
          <w:p>
            <w:pPr>
              <w:spacing w:after="0"/>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Purchase of TBA and forward settling agency securities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7,447</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36,956</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(26,234)</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18,169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222</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Sale of TBA and forward settling agency securities</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42"/>
              <w:spacing w:after="0"/>
              <w:rPr>
                <w:sz w:val="20"/>
                <w:szCs w:val="20"/>
                <w:color w:val="auto"/>
              </w:rPr>
            </w:pPr>
            <w:r>
              <w:rPr>
                <w:rFonts w:ascii="Arial" w:cs="Arial" w:eastAsia="Arial" w:hAnsi="Arial"/>
                <w:sz w:val="16"/>
                <w:szCs w:val="16"/>
                <w:color w:val="auto"/>
              </w:rPr>
              <w:t>10,851</w:t>
            </w:r>
          </w:p>
        </w:tc>
        <w:tc>
          <w:tcPr>
            <w:tcW w:w="120" w:type="dxa"/>
            <w:vAlign w:val="bottom"/>
          </w:tcPr>
          <w:p>
            <w:pPr>
              <w:spacing w:after="0"/>
              <w:rPr>
                <w:sz w:val="20"/>
                <w:szCs w:val="20"/>
                <w:color w:val="auto"/>
              </w:rPr>
            </w:pPr>
          </w:p>
        </w:tc>
        <w:tc>
          <w:tcPr>
            <w:tcW w:w="1040" w:type="dxa"/>
            <w:vAlign w:val="bottom"/>
          </w:tcPr>
          <w:p>
            <w:pPr>
              <w:jc w:val="right"/>
              <w:ind w:right="41"/>
              <w:spacing w:after="0"/>
              <w:rPr>
                <w:sz w:val="20"/>
                <w:szCs w:val="20"/>
                <w:color w:val="auto"/>
              </w:rPr>
            </w:pPr>
            <w:r>
              <w:rPr>
                <w:rFonts w:ascii="Arial" w:cs="Arial" w:eastAsia="Arial" w:hAnsi="Arial"/>
                <w:sz w:val="16"/>
                <w:szCs w:val="16"/>
                <w:color w:val="auto"/>
              </w:rPr>
              <w:t>53,318</w:t>
            </w:r>
          </w:p>
        </w:tc>
        <w:tc>
          <w:tcPr>
            <w:tcW w:w="100" w:type="dxa"/>
            <w:vAlign w:val="bottom"/>
          </w:tcPr>
          <w:p>
            <w:pPr>
              <w:spacing w:after="0"/>
              <w:rPr>
                <w:sz w:val="20"/>
                <w:szCs w:val="20"/>
                <w:color w:val="auto"/>
              </w:rPr>
            </w:pPr>
          </w:p>
        </w:tc>
        <w:tc>
          <w:tcPr>
            <w:tcW w:w="1280" w:type="dxa"/>
            <w:vAlign w:val="bottom"/>
          </w:tcPr>
          <w:p>
            <w:pPr>
              <w:jc w:val="right"/>
              <w:ind w:right="2"/>
              <w:spacing w:after="0"/>
              <w:rPr>
                <w:sz w:val="20"/>
                <w:szCs w:val="20"/>
                <w:color w:val="auto"/>
              </w:rPr>
            </w:pPr>
            <w:r>
              <w:rPr>
                <w:rFonts w:ascii="Arial" w:cs="Arial" w:eastAsia="Arial" w:hAnsi="Arial"/>
                <w:sz w:val="16"/>
                <w:szCs w:val="16"/>
                <w:color w:val="auto"/>
              </w:rPr>
              <w:t>(49,774)</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14,395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(173)</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48,550</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3,450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(3,150)</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48,850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(438)</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42"/>
              <w:spacing w:after="0"/>
              <w:rPr>
                <w:sz w:val="20"/>
                <w:szCs w:val="20"/>
                <w:color w:val="auto"/>
              </w:rPr>
            </w:pPr>
            <w:r>
              <w:rPr>
                <w:rFonts w:ascii="Arial" w:cs="Arial" w:eastAsia="Arial" w:hAnsi="Arial"/>
                <w:sz w:val="16"/>
                <w:szCs w:val="16"/>
                <w:color w:val="auto"/>
              </w:rPr>
              <w:t>8,800</w:t>
            </w:r>
          </w:p>
        </w:tc>
        <w:tc>
          <w:tcPr>
            <w:tcW w:w="120" w:type="dxa"/>
            <w:vAlign w:val="bottom"/>
          </w:tcPr>
          <w:p>
            <w:pPr>
              <w:spacing w:after="0"/>
              <w:rPr>
                <w:sz w:val="20"/>
                <w:szCs w:val="20"/>
                <w:color w:val="auto"/>
              </w:rPr>
            </w:pPr>
          </w:p>
        </w:tc>
        <w:tc>
          <w:tcPr>
            <w:tcW w:w="1040" w:type="dxa"/>
            <w:vAlign w:val="bottom"/>
          </w:tcPr>
          <w:p>
            <w:pPr>
              <w:jc w:val="right"/>
              <w:ind w:right="41"/>
              <w:spacing w:after="0"/>
              <w:rPr>
                <w:sz w:val="20"/>
                <w:szCs w:val="20"/>
                <w:color w:val="auto"/>
              </w:rPr>
            </w:pPr>
            <w:r>
              <w:rPr>
                <w:rFonts w:ascii="Arial" w:cs="Arial" w:eastAsia="Arial" w:hAnsi="Arial"/>
                <w:sz w:val="16"/>
                <w:szCs w:val="16"/>
                <w:color w:val="auto"/>
              </w:rPr>
              <w:t>2,000</w:t>
            </w:r>
          </w:p>
        </w:tc>
        <w:tc>
          <w:tcPr>
            <w:tcW w:w="100" w:type="dxa"/>
            <w:vAlign w:val="bottom"/>
          </w:tcPr>
          <w:p>
            <w:pPr>
              <w:spacing w:after="0"/>
              <w:rPr>
                <w:sz w:val="20"/>
                <w:szCs w:val="20"/>
                <w:color w:val="auto"/>
              </w:rPr>
            </w:pPr>
          </w:p>
        </w:tc>
        <w:tc>
          <w:tcPr>
            <w:tcW w:w="1280" w:type="dxa"/>
            <w:vAlign w:val="bottom"/>
          </w:tcPr>
          <w:p>
            <w:pPr>
              <w:jc w:val="right"/>
              <w:ind w:right="2"/>
              <w:spacing w:after="0"/>
              <w:rPr>
                <w:sz w:val="20"/>
                <w:szCs w:val="20"/>
                <w:color w:val="auto"/>
              </w:rPr>
            </w:pPr>
            <w:r>
              <w:rPr>
                <w:rFonts w:ascii="Arial" w:cs="Arial" w:eastAsia="Arial" w:hAnsi="Arial"/>
                <w:sz w:val="16"/>
                <w:szCs w:val="16"/>
                <w:color w:val="auto"/>
              </w:rPr>
              <w:t>(2,250)</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8,550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(25)</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Short sales of U.S. Treasury securities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1,250</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11,550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(5,505)</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7,295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U.S. Treasury futures - short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42"/>
              <w:spacing w:after="0"/>
              <w:rPr>
                <w:sz w:val="20"/>
                <w:szCs w:val="20"/>
                <w:color w:val="auto"/>
              </w:rPr>
            </w:pPr>
            <w:r>
              <w:rPr>
                <w:rFonts w:ascii="Arial" w:cs="Arial" w:eastAsia="Arial" w:hAnsi="Arial"/>
                <w:sz w:val="16"/>
                <w:szCs w:val="16"/>
                <w:color w:val="auto"/>
              </w:rPr>
              <w:t>1,919</w:t>
            </w:r>
          </w:p>
        </w:tc>
        <w:tc>
          <w:tcPr>
            <w:tcW w:w="120" w:type="dxa"/>
            <w:vAlign w:val="bottom"/>
          </w:tcPr>
          <w:p>
            <w:pPr>
              <w:spacing w:after="0"/>
              <w:rPr>
                <w:sz w:val="20"/>
                <w:szCs w:val="20"/>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tcPr>
          <w:p>
            <w:pPr>
              <w:jc w:val="right"/>
              <w:ind w:right="2"/>
              <w:spacing w:after="0"/>
              <w:rPr>
                <w:sz w:val="20"/>
                <w:szCs w:val="20"/>
                <w:color w:val="auto"/>
              </w:rPr>
            </w:pPr>
            <w:r>
              <w:rPr>
                <w:rFonts w:ascii="Arial" w:cs="Arial" w:eastAsia="Arial" w:hAnsi="Arial"/>
                <w:sz w:val="16"/>
                <w:szCs w:val="16"/>
                <w:color w:val="auto"/>
              </w:rPr>
              <w:t>(1,919)</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Markit IOS total return swaps - long</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37</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(37)</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Markit IOS total return swaps - short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42"/>
              <w:spacing w:after="0"/>
              <w:rPr>
                <w:sz w:val="20"/>
                <w:szCs w:val="20"/>
                <w:color w:val="auto"/>
              </w:rPr>
            </w:pPr>
            <w:r>
              <w:rPr>
                <w:rFonts w:ascii="Arial" w:cs="Arial" w:eastAsia="Arial" w:hAnsi="Arial"/>
                <w:sz w:val="16"/>
                <w:szCs w:val="16"/>
                <w:color w:val="auto"/>
              </w:rPr>
              <w:t>181</w:t>
            </w:r>
          </w:p>
        </w:tc>
        <w:tc>
          <w:tcPr>
            <w:tcW w:w="120" w:type="dxa"/>
            <w:vAlign w:val="bottom"/>
          </w:tcPr>
          <w:p>
            <w:pPr>
              <w:spacing w:after="0"/>
              <w:rPr>
                <w:sz w:val="20"/>
                <w:szCs w:val="20"/>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tcPr>
          <w:p>
            <w:pPr>
              <w:jc w:val="right"/>
              <w:ind w:right="2"/>
              <w:spacing w:after="0"/>
              <w:rPr>
                <w:sz w:val="20"/>
                <w:szCs w:val="20"/>
                <w:color w:val="auto"/>
              </w:rPr>
            </w:pPr>
            <w:r>
              <w:rPr>
                <w:rFonts w:ascii="Arial" w:cs="Arial" w:eastAsia="Arial" w:hAnsi="Arial"/>
                <w:sz w:val="16"/>
                <w:szCs w:val="16"/>
                <w:color w:val="auto"/>
              </w:rPr>
              <w:t>(181)</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6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2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6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(456)</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color w:val="auto"/>
              </w:rPr>
              <w:t>________________________________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66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Excludes a gain of $20 million from interest-only and principal-only securities and a loss of $24 million from debt of consolidated VIEs re-measured</w:t>
      </w:r>
    </w:p>
    <w:p>
      <w:pPr>
        <w:sectPr>
          <w:pgSz w:w="11900" w:h="16838" w:orient="portrait"/>
          <w:cols w:equalWidth="0" w:num="1">
            <w:col w:w="11420"/>
          </w:cols>
          <w:pgMar w:left="240" w:top="888" w:right="239" w:bottom="1440" w:gutter="0" w:footer="0" w:header="0"/>
          <w:type w:val="continuous"/>
        </w:sect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20"/>
          </w:cols>
          <w:pgMar w:left="240" w:top="888" w:right="239" w:bottom="1440" w:gutter="0" w:footer="0" w:header="0"/>
          <w:type w:val="continuous"/>
        </w:sectPr>
      </w:pPr>
    </w:p>
    <w:bookmarkStart w:id="19" w:name="page20"/>
    <w:bookmarkEnd w:id="19"/>
    <w:p>
      <w:pPr>
        <w:ind w:left="660"/>
        <w:spacing w:after="0" w:line="414" w:lineRule="auto"/>
        <w:rPr>
          <w:sz w:val="20"/>
          <w:szCs w:val="20"/>
          <w:color w:val="auto"/>
        </w:rPr>
      </w:pPr>
      <w:r>
        <w:rPr>
          <w:rFonts w:ascii="Arial" w:cs="Arial" w:eastAsia="Arial" w:hAnsi="Arial"/>
          <w:sz w:val="14"/>
          <w:szCs w:val="14"/>
          <w:color w:val="auto"/>
        </w:rPr>
        <w:t>at fair value through earnings recognized in gain (loss) on derivative instruments and other securities, net in our consolidated statement of comprehensive income for the three months ended September 30, 2012.</w:t>
      </w:r>
    </w:p>
    <w:p>
      <w:pPr>
        <w:spacing w:after="0" w:line="200" w:lineRule="exact"/>
        <w:rPr>
          <w:sz w:val="20"/>
          <w:szCs w:val="20"/>
          <w:color w:val="auto"/>
        </w:rPr>
      </w:pP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w w:val="98"/>
              </w:rPr>
              <w:t>Three Months Ended September 30, 2011</w:t>
            </w: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2"/>
              </w:rPr>
              <w:t>Notional</w:t>
            </w: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26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2"/>
              </w:rPr>
              <w:t>Settlement,</w:t>
            </w:r>
          </w:p>
        </w:tc>
        <w:tc>
          <w:tcPr>
            <w:tcW w:w="120" w:type="dxa"/>
            <w:vAlign w:val="bottom"/>
          </w:tcPr>
          <w:p>
            <w:pPr>
              <w:spacing w:after="0"/>
              <w:rPr>
                <w:sz w:val="13"/>
                <w:szCs w:val="13"/>
                <w:color w:val="auto"/>
              </w:rPr>
            </w:pPr>
          </w:p>
        </w:tc>
        <w:tc>
          <w:tcPr>
            <w:tcW w:w="112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6"/>
              </w:rPr>
              <w:t>Notional</w:t>
            </w:r>
          </w:p>
        </w:tc>
        <w:tc>
          <w:tcPr>
            <w:tcW w:w="140" w:type="dxa"/>
            <w:vAlign w:val="bottom"/>
          </w:tcPr>
          <w:p>
            <w:pPr>
              <w:spacing w:after="0"/>
              <w:rPr>
                <w:sz w:val="13"/>
                <w:szCs w:val="13"/>
                <w:color w:val="auto"/>
              </w:rPr>
            </w:pPr>
          </w:p>
        </w:tc>
        <w:tc>
          <w:tcPr>
            <w:tcW w:w="1100" w:type="dxa"/>
            <w:vAlign w:val="bottom"/>
          </w:tcPr>
          <w:p>
            <w:pPr>
              <w:jc w:val="center"/>
              <w:ind w:right="8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20" w:type="dxa"/>
            <w:vAlign w:val="bottom"/>
            <w:vMerge w:val="restart"/>
          </w:tcPr>
          <w:p>
            <w:pPr>
              <w:jc w:val="center"/>
              <w:ind w:right="2"/>
              <w:spacing w:after="0"/>
              <w:rPr>
                <w:sz w:val="20"/>
                <w:szCs w:val="20"/>
                <w:color w:val="auto"/>
              </w:rPr>
            </w:pPr>
            <w:r>
              <w:rPr>
                <w:rFonts w:ascii="Arial" w:cs="Arial" w:eastAsia="Arial" w:hAnsi="Arial"/>
                <w:sz w:val="14"/>
                <w:szCs w:val="14"/>
                <w:b w:val="1"/>
                <w:bCs w:val="1"/>
                <w:color w:val="auto"/>
                <w:w w:val="92"/>
              </w:rPr>
              <w:t>Additions Due to</w:t>
            </w:r>
          </w:p>
        </w:tc>
        <w:tc>
          <w:tcPr>
            <w:tcW w:w="12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Amount</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1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Derivatives Not Designated as</w:t>
            </w:r>
          </w:p>
        </w:tc>
        <w:tc>
          <w:tcPr>
            <w:tcW w:w="120" w:type="dxa"/>
            <w:vAlign w:val="bottom"/>
          </w:tcPr>
          <w:p>
            <w:pPr>
              <w:spacing w:after="0"/>
              <w:rPr>
                <w:sz w:val="12"/>
                <w:szCs w:val="12"/>
                <w:color w:val="auto"/>
              </w:rPr>
            </w:pPr>
          </w:p>
        </w:tc>
        <w:tc>
          <w:tcPr>
            <w:tcW w:w="10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Amount</w:t>
            </w: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20" w:type="dxa"/>
            <w:vAlign w:val="bottom"/>
            <w:vMerge w:val="continue"/>
          </w:tcPr>
          <w:p>
            <w:pPr>
              <w:spacing w:after="0"/>
              <w:rPr>
                <w:sz w:val="12"/>
                <w:szCs w:val="12"/>
                <w:color w:val="auto"/>
              </w:rPr>
            </w:pPr>
          </w:p>
        </w:tc>
        <w:tc>
          <w:tcPr>
            <w:tcW w:w="126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1"/>
              </w:rPr>
              <w:t>as of</w:t>
            </w:r>
          </w:p>
        </w:tc>
        <w:tc>
          <w:tcPr>
            <w:tcW w:w="140" w:type="dxa"/>
            <w:vAlign w:val="bottom"/>
          </w:tcPr>
          <w:p>
            <w:pPr>
              <w:spacing w:after="0"/>
              <w:rPr>
                <w:sz w:val="12"/>
                <w:szCs w:val="12"/>
                <w:color w:val="auto"/>
              </w:rPr>
            </w:pPr>
          </w:p>
        </w:tc>
        <w:tc>
          <w:tcPr>
            <w:tcW w:w="110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1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as of</w:t>
            </w:r>
          </w:p>
        </w:tc>
        <w:tc>
          <w:tcPr>
            <w:tcW w:w="940" w:type="dxa"/>
            <w:vAlign w:val="bottom"/>
            <w:vMerge w:val="restart"/>
          </w:tcPr>
          <w:p>
            <w:pPr>
              <w:jc w:val="right"/>
              <w:ind w:right="100"/>
              <w:spacing w:after="0"/>
              <w:rPr>
                <w:sz w:val="20"/>
                <w:szCs w:val="20"/>
                <w:color w:val="auto"/>
              </w:rPr>
            </w:pPr>
            <w:r>
              <w:rPr>
                <w:rFonts w:ascii="Arial" w:cs="Arial" w:eastAsia="Arial" w:hAnsi="Arial"/>
                <w:sz w:val="14"/>
                <w:szCs w:val="14"/>
                <w:b w:val="1"/>
                <w:bCs w:val="1"/>
                <w:color w:val="auto"/>
              </w:rPr>
              <w:t>Additions</w:t>
            </w:r>
          </w:p>
        </w:tc>
        <w:tc>
          <w:tcPr>
            <w:tcW w:w="120" w:type="dxa"/>
            <w:vAlign w:val="bottom"/>
            <w:vMerge w:val="restart"/>
          </w:tcPr>
          <w:p>
            <w:pPr>
              <w:spacing w:after="0"/>
              <w:rPr>
                <w:sz w:val="12"/>
                <w:szCs w:val="12"/>
                <w:color w:val="auto"/>
              </w:rPr>
            </w:pPr>
          </w:p>
        </w:tc>
        <w:tc>
          <w:tcPr>
            <w:tcW w:w="1320" w:type="dxa"/>
            <w:vAlign w:val="bottom"/>
          </w:tcPr>
          <w:p>
            <w:pPr>
              <w:jc w:val="center"/>
              <w:ind w:right="2"/>
              <w:spacing w:after="0" w:line="149" w:lineRule="exact"/>
              <w:rPr>
                <w:sz w:val="20"/>
                <w:szCs w:val="20"/>
                <w:color w:val="auto"/>
              </w:rPr>
            </w:pPr>
            <w:r>
              <w:rPr>
                <w:rFonts w:ascii="Arial" w:cs="Arial" w:eastAsia="Arial" w:hAnsi="Arial"/>
                <w:sz w:val="14"/>
                <w:szCs w:val="14"/>
                <w:b w:val="1"/>
                <w:bCs w:val="1"/>
                <w:color w:val="auto"/>
                <w:w w:val="92"/>
              </w:rPr>
              <w:t>Hedge De-</w:t>
            </w:r>
          </w:p>
        </w:tc>
        <w:tc>
          <w:tcPr>
            <w:tcW w:w="126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0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Hedging Instruments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90"/>
              </w:rPr>
              <w:t>June 30, 2011</w:t>
            </w:r>
          </w:p>
        </w:tc>
        <w:tc>
          <w:tcPr>
            <w:tcW w:w="12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32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88"/>
              </w:rPr>
              <w:t>Designations</w:t>
            </w: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2011</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4"/>
              </w:rPr>
              <w:t>Derivatives</w:t>
            </w:r>
            <w:r>
              <w:rPr>
                <w:rFonts w:ascii="Arial" w:cs="Arial" w:eastAsia="Arial" w:hAnsi="Arial"/>
                <w:sz w:val="8"/>
                <w:szCs w:val="8"/>
                <w:b w:val="1"/>
                <w:bCs w:val="1"/>
                <w:color w:val="auto"/>
                <w:w w:val="94"/>
              </w:rPr>
              <w:t>(1)</w:t>
            </w:r>
          </w:p>
        </w:tc>
        <w:tc>
          <w:tcPr>
            <w:tcW w:w="0" w:type="dxa"/>
            <w:vAlign w:val="bottom"/>
          </w:tcPr>
          <w:p>
            <w:pPr>
              <w:spacing w:after="0"/>
              <w:rPr>
                <w:sz w:val="1"/>
                <w:szCs w:val="1"/>
                <w:color w:val="auto"/>
              </w:rPr>
            </w:pPr>
          </w:p>
        </w:tc>
      </w:tr>
      <w:tr>
        <w:trPr>
          <w:trHeight w:val="250"/>
        </w:trPr>
        <w:tc>
          <w:tcPr>
            <w:tcW w:w="4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Purchase of TBA and forward settling agency securities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3,432</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19,881</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(17,877)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5,436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73</w:t>
            </w:r>
          </w:p>
        </w:tc>
        <w:tc>
          <w:tcPr>
            <w:tcW w:w="0" w:type="dxa"/>
            <w:vAlign w:val="bottom"/>
          </w:tcPr>
          <w:p>
            <w:pPr>
              <w:spacing w:after="0"/>
              <w:rPr>
                <w:sz w:val="1"/>
                <w:szCs w:val="1"/>
                <w:color w:val="auto"/>
              </w:rPr>
            </w:pPr>
          </w:p>
        </w:tc>
      </w:tr>
      <w:tr>
        <w:trPr>
          <w:trHeight w:val="237"/>
        </w:trPr>
        <w:tc>
          <w:tcPr>
            <w:tcW w:w="4120" w:type="dxa"/>
            <w:vAlign w:val="bottom"/>
            <w:gridSpan w:val="2"/>
          </w:tcPr>
          <w:p>
            <w:pPr>
              <w:ind w:left="40"/>
              <w:spacing w:after="0"/>
              <w:rPr>
                <w:sz w:val="20"/>
                <w:szCs w:val="20"/>
                <w:color w:val="auto"/>
              </w:rPr>
            </w:pPr>
            <w:r>
              <w:rPr>
                <w:rFonts w:ascii="Arial" w:cs="Arial" w:eastAsia="Arial" w:hAnsi="Arial"/>
                <w:sz w:val="16"/>
                <w:szCs w:val="16"/>
                <w:color w:val="auto"/>
              </w:rPr>
              <w:t>Sale of TBA and forward settling agency securities</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42"/>
              <w:spacing w:after="0"/>
              <w:rPr>
                <w:sz w:val="20"/>
                <w:szCs w:val="20"/>
                <w:color w:val="auto"/>
              </w:rPr>
            </w:pPr>
            <w:r>
              <w:rPr>
                <w:rFonts w:ascii="Arial" w:cs="Arial" w:eastAsia="Arial" w:hAnsi="Arial"/>
                <w:sz w:val="16"/>
                <w:szCs w:val="16"/>
                <w:color w:val="auto"/>
              </w:rPr>
              <w:t>4,282</w:t>
            </w:r>
          </w:p>
        </w:tc>
        <w:tc>
          <w:tcPr>
            <w:tcW w:w="120" w:type="dxa"/>
            <w:vAlign w:val="bottom"/>
          </w:tcPr>
          <w:p>
            <w:pPr>
              <w:spacing w:after="0"/>
              <w:rPr>
                <w:sz w:val="20"/>
                <w:szCs w:val="20"/>
                <w:color w:val="auto"/>
              </w:rPr>
            </w:pPr>
          </w:p>
        </w:tc>
        <w:tc>
          <w:tcPr>
            <w:tcW w:w="940" w:type="dxa"/>
            <w:vAlign w:val="bottom"/>
          </w:tcPr>
          <w:p>
            <w:pPr>
              <w:jc w:val="right"/>
              <w:ind w:right="40"/>
              <w:spacing w:after="0"/>
              <w:rPr>
                <w:sz w:val="20"/>
                <w:szCs w:val="20"/>
                <w:color w:val="auto"/>
              </w:rPr>
            </w:pPr>
            <w:r>
              <w:rPr>
                <w:rFonts w:ascii="Arial" w:cs="Arial" w:eastAsia="Arial" w:hAnsi="Arial"/>
                <w:sz w:val="16"/>
                <w:szCs w:val="16"/>
                <w:color w:val="auto"/>
              </w:rPr>
              <w:t>37,867</w:t>
            </w:r>
          </w:p>
        </w:tc>
        <w:tc>
          <w:tcPr>
            <w:tcW w:w="120" w:type="dxa"/>
            <w:vAlign w:val="bottom"/>
          </w:tcPr>
          <w:p>
            <w:pPr>
              <w:spacing w:after="0"/>
              <w:rPr>
                <w:sz w:val="20"/>
                <w:szCs w:val="20"/>
                <w:color w:val="auto"/>
              </w:rPr>
            </w:pPr>
          </w:p>
        </w:tc>
        <w:tc>
          <w:tcPr>
            <w:tcW w:w="13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(35,895)</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6,254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(146)</w:t>
            </w: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rate swaps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150</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2,900</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23,900</w:t>
            </w: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26,950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237"/>
        </w:trPr>
        <w:tc>
          <w:tcPr>
            <w:tcW w:w="4120" w:type="dxa"/>
            <w:vAlign w:val="bottom"/>
            <w:gridSpan w:val="2"/>
          </w:tcPr>
          <w:p>
            <w:pPr>
              <w:ind w:left="40"/>
              <w:spacing w:after="0"/>
              <w:rPr>
                <w:sz w:val="20"/>
                <w:szCs w:val="20"/>
                <w:color w:val="auto"/>
              </w:rPr>
            </w:pPr>
            <w:r>
              <w:rPr>
                <w:rFonts w:ascii="Arial" w:cs="Arial" w:eastAsia="Arial" w:hAnsi="Arial"/>
                <w:sz w:val="16"/>
                <w:szCs w:val="16"/>
                <w:color w:val="auto"/>
              </w:rPr>
              <w:t>Payer swaptions</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42"/>
              <w:spacing w:after="0"/>
              <w:rPr>
                <w:sz w:val="20"/>
                <w:szCs w:val="20"/>
                <w:color w:val="auto"/>
              </w:rPr>
            </w:pPr>
            <w:r>
              <w:rPr>
                <w:rFonts w:ascii="Arial" w:cs="Arial" w:eastAsia="Arial" w:hAnsi="Arial"/>
                <w:sz w:val="16"/>
                <w:szCs w:val="16"/>
                <w:color w:val="auto"/>
              </w:rPr>
              <w:t>4,050</w:t>
            </w:r>
          </w:p>
        </w:tc>
        <w:tc>
          <w:tcPr>
            <w:tcW w:w="120" w:type="dxa"/>
            <w:vAlign w:val="bottom"/>
          </w:tcPr>
          <w:p>
            <w:pPr>
              <w:spacing w:after="0"/>
              <w:rPr>
                <w:sz w:val="20"/>
                <w:szCs w:val="20"/>
                <w:color w:val="auto"/>
              </w:rPr>
            </w:pPr>
          </w:p>
        </w:tc>
        <w:tc>
          <w:tcPr>
            <w:tcW w:w="940" w:type="dxa"/>
            <w:vAlign w:val="bottom"/>
          </w:tcPr>
          <w:p>
            <w:pPr>
              <w:jc w:val="right"/>
              <w:ind w:right="40"/>
              <w:spacing w:after="0"/>
              <w:rPr>
                <w:sz w:val="20"/>
                <w:szCs w:val="20"/>
                <w:color w:val="auto"/>
              </w:rPr>
            </w:pPr>
            <w:r>
              <w:rPr>
                <w:rFonts w:ascii="Arial" w:cs="Arial" w:eastAsia="Arial" w:hAnsi="Arial"/>
                <w:sz w:val="16"/>
                <w:szCs w:val="16"/>
                <w:color w:val="auto"/>
              </w:rPr>
              <w:t>250</w:t>
            </w:r>
          </w:p>
        </w:tc>
        <w:tc>
          <w:tcPr>
            <w:tcW w:w="120" w:type="dxa"/>
            <w:vAlign w:val="bottom"/>
          </w:tcPr>
          <w:p>
            <w:pPr>
              <w:spacing w:after="0"/>
              <w:rPr>
                <w:sz w:val="20"/>
                <w:szCs w:val="20"/>
                <w:color w:val="auto"/>
              </w:rPr>
            </w:pPr>
          </w:p>
        </w:tc>
        <w:tc>
          <w:tcPr>
            <w:tcW w:w="13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(1,050)</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3,250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(33)</w:t>
            </w: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Short sales of U.S. Treasury securities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1,464</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3,450</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(4,449)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465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w:t>
            </w:r>
          </w:p>
        </w:tc>
        <w:tc>
          <w:tcPr>
            <w:tcW w:w="0" w:type="dxa"/>
            <w:vAlign w:val="bottom"/>
          </w:tcPr>
          <w:p>
            <w:pPr>
              <w:spacing w:after="0"/>
              <w:rPr>
                <w:sz w:val="1"/>
                <w:szCs w:val="1"/>
                <w:color w:val="auto"/>
              </w:rPr>
            </w:pPr>
          </w:p>
        </w:tc>
      </w:tr>
      <w:tr>
        <w:trPr>
          <w:trHeight w:val="237"/>
        </w:trPr>
        <w:tc>
          <w:tcPr>
            <w:tcW w:w="4120" w:type="dxa"/>
            <w:vAlign w:val="bottom"/>
            <w:gridSpan w:val="2"/>
          </w:tcPr>
          <w:p>
            <w:pPr>
              <w:ind w:left="40"/>
              <w:spacing w:after="0"/>
              <w:rPr>
                <w:sz w:val="20"/>
                <w:szCs w:val="20"/>
                <w:color w:val="auto"/>
              </w:rPr>
            </w:pPr>
            <w:r>
              <w:rPr>
                <w:rFonts w:ascii="Arial" w:cs="Arial" w:eastAsia="Arial" w:hAnsi="Arial"/>
                <w:sz w:val="16"/>
                <w:szCs w:val="16"/>
                <w:color w:val="auto"/>
              </w:rPr>
              <w:t>US Treasury futures - long</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40"/>
              <w:spacing w:after="0"/>
              <w:rPr>
                <w:sz w:val="20"/>
                <w:szCs w:val="20"/>
                <w:color w:val="auto"/>
              </w:rPr>
            </w:pPr>
            <w:r>
              <w:rPr>
                <w:rFonts w:ascii="Arial" w:cs="Arial" w:eastAsia="Arial" w:hAnsi="Arial"/>
                <w:sz w:val="16"/>
                <w:szCs w:val="16"/>
                <w:color w:val="auto"/>
              </w:rPr>
              <w:t>350</w:t>
            </w:r>
          </w:p>
        </w:tc>
        <w:tc>
          <w:tcPr>
            <w:tcW w:w="120" w:type="dxa"/>
            <w:vAlign w:val="bottom"/>
          </w:tcPr>
          <w:p>
            <w:pPr>
              <w:spacing w:after="0"/>
              <w:rPr>
                <w:sz w:val="20"/>
                <w:szCs w:val="20"/>
                <w:color w:val="auto"/>
              </w:rPr>
            </w:pPr>
          </w:p>
        </w:tc>
        <w:tc>
          <w:tcPr>
            <w:tcW w:w="13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2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350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Markit IOS total return swaps - long</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683</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65</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65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37"/>
        </w:trPr>
        <w:tc>
          <w:tcPr>
            <w:tcW w:w="4120" w:type="dxa"/>
            <w:vAlign w:val="bottom"/>
            <w:gridSpan w:val="2"/>
          </w:tcPr>
          <w:p>
            <w:pPr>
              <w:ind w:left="40"/>
              <w:spacing w:after="0"/>
              <w:rPr>
                <w:sz w:val="20"/>
                <w:szCs w:val="20"/>
                <w:color w:val="auto"/>
              </w:rPr>
            </w:pPr>
            <w:r>
              <w:rPr>
                <w:rFonts w:ascii="Arial" w:cs="Arial" w:eastAsia="Arial" w:hAnsi="Arial"/>
                <w:sz w:val="16"/>
                <w:szCs w:val="16"/>
                <w:color w:val="auto"/>
              </w:rPr>
              <w:t>Markit IOS total return swaps - short</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42"/>
              <w:spacing w:after="0"/>
              <w:rPr>
                <w:sz w:val="20"/>
                <w:szCs w:val="20"/>
                <w:color w:val="auto"/>
              </w:rPr>
            </w:pPr>
            <w:r>
              <w:rPr>
                <w:rFonts w:ascii="Arial" w:cs="Arial" w:eastAsia="Arial" w:hAnsi="Arial"/>
                <w:sz w:val="16"/>
                <w:szCs w:val="16"/>
                <w:color w:val="auto"/>
              </w:rPr>
              <w:t>309</w:t>
            </w:r>
          </w:p>
        </w:tc>
        <w:tc>
          <w:tcPr>
            <w:tcW w:w="120" w:type="dxa"/>
            <w:vAlign w:val="bottom"/>
          </w:tcPr>
          <w:p>
            <w:pPr>
              <w:spacing w:after="0"/>
              <w:rPr>
                <w:sz w:val="20"/>
                <w:szCs w:val="20"/>
                <w:color w:val="auto"/>
              </w:rPr>
            </w:pPr>
          </w:p>
        </w:tc>
        <w:tc>
          <w:tcPr>
            <w:tcW w:w="940" w:type="dxa"/>
            <w:vAlign w:val="bottom"/>
          </w:tcPr>
          <w:p>
            <w:pPr>
              <w:jc w:val="right"/>
              <w:ind w:right="40"/>
              <w:spacing w:after="0"/>
              <w:rPr>
                <w:sz w:val="20"/>
                <w:szCs w:val="20"/>
                <w:color w:val="auto"/>
              </w:rPr>
            </w:pPr>
            <w:r>
              <w:rPr>
                <w:rFonts w:ascii="Arial" w:cs="Arial" w:eastAsia="Arial" w:hAnsi="Arial"/>
                <w:sz w:val="16"/>
                <w:szCs w:val="16"/>
                <w:color w:val="auto"/>
              </w:rPr>
              <w:t>323</w:t>
            </w:r>
          </w:p>
        </w:tc>
        <w:tc>
          <w:tcPr>
            <w:tcW w:w="120" w:type="dxa"/>
            <w:vAlign w:val="bottom"/>
          </w:tcPr>
          <w:p>
            <w:pPr>
              <w:spacing w:after="0"/>
              <w:rPr>
                <w:sz w:val="20"/>
                <w:szCs w:val="20"/>
                <w:color w:val="auto"/>
              </w:rPr>
            </w:pPr>
          </w:p>
        </w:tc>
        <w:tc>
          <w:tcPr>
            <w:tcW w:w="13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(309)</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323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20</w:t>
            </w:r>
          </w:p>
        </w:tc>
        <w:tc>
          <w:tcPr>
            <w:tcW w:w="0" w:type="dxa"/>
            <w:vAlign w:val="bottom"/>
          </w:tcPr>
          <w:p>
            <w:pPr>
              <w:spacing w:after="0"/>
              <w:rPr>
                <w:sz w:val="1"/>
                <w:szCs w:val="1"/>
                <w:color w:val="auto"/>
              </w:rPr>
            </w:pP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(198)</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color w:val="auto"/>
              </w:rPr>
              <w:t>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0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jc w:val="both"/>
        <w:ind w:left="660" w:hanging="328"/>
        <w:spacing w:after="0" w:line="248" w:lineRule="auto"/>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Excludes a loss of $28 million from interest-only and principal-only securities re-measured at fair value through earnings, a loss of $1 million for hedge ineffectiveness on our outstanding interest rate swaps and a gain of $5 million from U.S. Treasury securities in gain (loss) on derivative instruments and other securities, net in our consolidated statement of comprehensive income for the three months ended September 30, 2011.</w:t>
      </w:r>
    </w:p>
    <w:p>
      <w:pPr>
        <w:spacing w:after="0" w:line="200" w:lineRule="exact"/>
        <w:rPr>
          <w:sz w:val="20"/>
          <w:szCs w:val="20"/>
          <w:color w:val="auto"/>
        </w:rPr>
      </w:pPr>
    </w:p>
    <w:p>
      <w:pPr>
        <w:spacing w:after="0" w:line="379"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4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80" w:type="dxa"/>
            <w:vAlign w:val="bottom"/>
            <w:tcBorders>
              <w:bottom w:val="single" w:sz="8" w:color="auto"/>
            </w:tcBorders>
            <w:gridSpan w:val="6"/>
          </w:tcPr>
          <w:p>
            <w:pPr>
              <w:ind w:left="740"/>
              <w:spacing w:after="0"/>
              <w:rPr>
                <w:sz w:val="20"/>
                <w:szCs w:val="20"/>
                <w:color w:val="auto"/>
              </w:rPr>
            </w:pPr>
            <w:r>
              <w:rPr>
                <w:rFonts w:ascii="Arial" w:cs="Arial" w:eastAsia="Arial" w:hAnsi="Arial"/>
                <w:sz w:val="14"/>
                <w:szCs w:val="14"/>
                <w:b w:val="1"/>
                <w:bCs w:val="1"/>
                <w:color w:val="auto"/>
              </w:rPr>
              <w:t>Nine Months Ended September 30, 2012</w:t>
            </w: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6"/>
              </w:rPr>
              <w:t>Notional</w:t>
            </w: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6"/>
              </w:rPr>
              <w:t>Notional</w:t>
            </w:r>
          </w:p>
        </w:tc>
        <w:tc>
          <w:tcPr>
            <w:tcW w:w="140" w:type="dxa"/>
            <w:vAlign w:val="bottom"/>
          </w:tcPr>
          <w:p>
            <w:pPr>
              <w:spacing w:after="0"/>
              <w:rPr>
                <w:sz w:val="13"/>
                <w:szCs w:val="13"/>
                <w:color w:val="auto"/>
              </w:rPr>
            </w:pPr>
          </w:p>
        </w:tc>
        <w:tc>
          <w:tcPr>
            <w:tcW w:w="1080" w:type="dxa"/>
            <w:vAlign w:val="bottom"/>
          </w:tcPr>
          <w:p>
            <w:pPr>
              <w:jc w:val="center"/>
              <w:ind w:right="6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Settlement,</w:t>
            </w:r>
          </w:p>
        </w:tc>
        <w:tc>
          <w:tcPr>
            <w:tcW w:w="34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6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Derivatives Not Designated as</w:t>
            </w:r>
          </w:p>
        </w:tc>
        <w:tc>
          <w:tcPr>
            <w:tcW w:w="240" w:type="dxa"/>
            <w:vAlign w:val="bottom"/>
          </w:tcPr>
          <w:p>
            <w:pPr>
              <w:spacing w:after="0"/>
              <w:rPr>
                <w:sz w:val="12"/>
                <w:szCs w:val="12"/>
                <w:color w:val="auto"/>
              </w:rPr>
            </w:pPr>
          </w:p>
        </w:tc>
        <w:tc>
          <w:tcPr>
            <w:tcW w:w="11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4"/>
              </w:rPr>
              <w:t>Amount</w:t>
            </w: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vMerge w:val="continue"/>
          </w:tcPr>
          <w:p>
            <w:pPr>
              <w:spacing w:after="0"/>
              <w:rPr>
                <w:sz w:val="12"/>
                <w:szCs w:val="12"/>
                <w:color w:val="auto"/>
              </w:rPr>
            </w:pPr>
          </w:p>
        </w:tc>
        <w:tc>
          <w:tcPr>
            <w:tcW w:w="34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4"/>
              </w:rPr>
              <w:t>Amount</w:t>
            </w:r>
          </w:p>
        </w:tc>
        <w:tc>
          <w:tcPr>
            <w:tcW w:w="140" w:type="dxa"/>
            <w:vAlign w:val="bottom"/>
          </w:tcPr>
          <w:p>
            <w:pPr>
              <w:spacing w:after="0"/>
              <w:rPr>
                <w:sz w:val="12"/>
                <w:szCs w:val="12"/>
                <w:color w:val="auto"/>
              </w:rPr>
            </w:pPr>
          </w:p>
        </w:tc>
        <w:tc>
          <w:tcPr>
            <w:tcW w:w="10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680" w:type="dxa"/>
            <w:vAlign w:val="bottom"/>
            <w:gridSpan w:val="2"/>
            <w:vMerge w:val="continue"/>
          </w:tcPr>
          <w:p>
            <w:pPr>
              <w:spacing w:after="0"/>
              <w:rPr>
                <w:sz w:val="12"/>
                <w:szCs w:val="12"/>
                <w:color w:val="auto"/>
              </w:rPr>
            </w:pPr>
          </w:p>
        </w:tc>
        <w:tc>
          <w:tcPr>
            <w:tcW w:w="138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as of December 31,</w:t>
            </w:r>
          </w:p>
        </w:tc>
        <w:tc>
          <w:tcPr>
            <w:tcW w:w="116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2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340" w:type="dxa"/>
            <w:vAlign w:val="bottom"/>
          </w:tcPr>
          <w:p>
            <w:pPr>
              <w:spacing w:after="0"/>
              <w:rPr>
                <w:sz w:val="12"/>
                <w:szCs w:val="12"/>
                <w:color w:val="auto"/>
              </w:rPr>
            </w:pPr>
          </w:p>
        </w:tc>
        <w:tc>
          <w:tcPr>
            <w:tcW w:w="120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5"/>
              </w:rPr>
              <w:t>as of</w:t>
            </w:r>
          </w:p>
        </w:tc>
        <w:tc>
          <w:tcPr>
            <w:tcW w:w="140" w:type="dxa"/>
            <w:vAlign w:val="bottom"/>
          </w:tcPr>
          <w:p>
            <w:pPr>
              <w:spacing w:after="0"/>
              <w:rPr>
                <w:sz w:val="12"/>
                <w:szCs w:val="12"/>
                <w:color w:val="auto"/>
              </w:rPr>
            </w:pPr>
          </w:p>
        </w:tc>
        <w:tc>
          <w:tcPr>
            <w:tcW w:w="108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5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Hedging Instruments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81"/>
              <w:spacing w:after="0"/>
              <w:rPr>
                <w:sz w:val="20"/>
                <w:szCs w:val="20"/>
                <w:color w:val="auto"/>
              </w:rPr>
            </w:pPr>
            <w:r>
              <w:rPr>
                <w:rFonts w:ascii="Arial" w:cs="Arial" w:eastAsia="Arial" w:hAnsi="Arial"/>
                <w:sz w:val="14"/>
                <w:szCs w:val="14"/>
                <w:b w:val="1"/>
                <w:bCs w:val="1"/>
                <w:color w:val="auto"/>
                <w:w w:val="89"/>
              </w:rPr>
              <w:t>2011</w:t>
            </w: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4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1"/>
              </w:rPr>
              <w:t>September 30, 2012</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82"/>
              <w:spacing w:after="0"/>
              <w:rPr>
                <w:sz w:val="20"/>
                <w:szCs w:val="20"/>
                <w:color w:val="auto"/>
              </w:rPr>
            </w:pPr>
            <w:r>
              <w:rPr>
                <w:rFonts w:ascii="Arial" w:cs="Arial" w:eastAsia="Arial" w:hAnsi="Arial"/>
                <w:sz w:val="14"/>
                <w:szCs w:val="14"/>
                <w:b w:val="1"/>
                <w:bCs w:val="1"/>
                <w:color w:val="auto"/>
                <w:w w:val="94"/>
              </w:rPr>
              <w:t>Derivatives</w:t>
            </w:r>
            <w:r>
              <w:rPr>
                <w:rFonts w:ascii="Arial" w:cs="Arial" w:eastAsia="Arial" w:hAnsi="Arial"/>
                <w:sz w:val="8"/>
                <w:szCs w:val="8"/>
                <w:b w:val="1"/>
                <w:bCs w:val="1"/>
                <w:color w:val="auto"/>
                <w:w w:val="94"/>
              </w:rPr>
              <w:t>(1)</w:t>
            </w:r>
          </w:p>
        </w:tc>
        <w:tc>
          <w:tcPr>
            <w:tcW w:w="0" w:type="dxa"/>
            <w:vAlign w:val="bottom"/>
          </w:tcPr>
          <w:p>
            <w:pPr>
              <w:spacing w:after="0"/>
              <w:rPr>
                <w:sz w:val="1"/>
                <w:szCs w:val="1"/>
                <w:color w:val="auto"/>
              </w:rPr>
            </w:pPr>
          </w:p>
        </w:tc>
      </w:tr>
      <w:tr>
        <w:trPr>
          <w:trHeight w:val="250"/>
        </w:trPr>
        <w:tc>
          <w:tcPr>
            <w:tcW w:w="4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Purchase of TBA and forward settling agency securities</w:t>
            </w: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3,699</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90,498</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(76,028)</w:t>
            </w:r>
          </w:p>
        </w:tc>
        <w:tc>
          <w:tcPr>
            <w:tcW w:w="34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18,169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343</w:t>
            </w:r>
          </w:p>
        </w:tc>
        <w:tc>
          <w:tcPr>
            <w:tcW w:w="0" w:type="dxa"/>
            <w:vAlign w:val="bottom"/>
          </w:tcPr>
          <w:p>
            <w:pPr>
              <w:spacing w:after="0"/>
              <w:rPr>
                <w:sz w:val="1"/>
                <w:szCs w:val="1"/>
                <w:color w:val="auto"/>
              </w:rPr>
            </w:pPr>
          </w:p>
        </w:tc>
      </w:tr>
      <w:tr>
        <w:trPr>
          <w:trHeight w:val="237"/>
        </w:trPr>
        <w:tc>
          <w:tcPr>
            <w:tcW w:w="4680" w:type="dxa"/>
            <w:vAlign w:val="bottom"/>
            <w:gridSpan w:val="2"/>
          </w:tcPr>
          <w:p>
            <w:pPr>
              <w:ind w:left="20"/>
              <w:spacing w:after="0"/>
              <w:rPr>
                <w:sz w:val="20"/>
                <w:szCs w:val="20"/>
                <w:color w:val="auto"/>
              </w:rPr>
            </w:pPr>
            <w:r>
              <w:rPr>
                <w:rFonts w:ascii="Arial" w:cs="Arial" w:eastAsia="Arial" w:hAnsi="Arial"/>
                <w:sz w:val="16"/>
                <w:szCs w:val="16"/>
                <w:color w:val="auto"/>
              </w:rPr>
              <w:t>Sale of TBA and forward settling agency securities</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1"/>
              <w:spacing w:after="0"/>
              <w:rPr>
                <w:sz w:val="20"/>
                <w:szCs w:val="20"/>
                <w:color w:val="auto"/>
              </w:rPr>
            </w:pPr>
            <w:r>
              <w:rPr>
                <w:rFonts w:ascii="Arial" w:cs="Arial" w:eastAsia="Arial" w:hAnsi="Arial"/>
                <w:sz w:val="16"/>
                <w:szCs w:val="16"/>
                <w:color w:val="auto"/>
              </w:rPr>
              <w:t>3,803</w:t>
            </w:r>
          </w:p>
        </w:tc>
        <w:tc>
          <w:tcPr>
            <w:tcW w:w="120" w:type="dxa"/>
            <w:vAlign w:val="bottom"/>
          </w:tcPr>
          <w:p>
            <w:pPr>
              <w:spacing w:after="0"/>
              <w:rPr>
                <w:sz w:val="20"/>
                <w:szCs w:val="20"/>
                <w:color w:val="auto"/>
              </w:rPr>
            </w:pPr>
          </w:p>
        </w:tc>
        <w:tc>
          <w:tcPr>
            <w:tcW w:w="1160" w:type="dxa"/>
            <w:vAlign w:val="bottom"/>
          </w:tcPr>
          <w:p>
            <w:pPr>
              <w:jc w:val="right"/>
              <w:ind w:right="41"/>
              <w:spacing w:after="0"/>
              <w:rPr>
                <w:sz w:val="20"/>
                <w:szCs w:val="20"/>
                <w:color w:val="auto"/>
              </w:rPr>
            </w:pPr>
            <w:r>
              <w:rPr>
                <w:rFonts w:ascii="Arial" w:cs="Arial" w:eastAsia="Arial" w:hAnsi="Arial"/>
                <w:sz w:val="16"/>
                <w:szCs w:val="16"/>
                <w:color w:val="auto"/>
              </w:rPr>
              <w:t>131,030</w:t>
            </w:r>
          </w:p>
        </w:tc>
        <w:tc>
          <w:tcPr>
            <w:tcW w:w="100" w:type="dxa"/>
            <w:vAlign w:val="bottom"/>
          </w:tcPr>
          <w:p>
            <w:pPr>
              <w:spacing w:after="0"/>
              <w:rPr>
                <w:sz w:val="20"/>
                <w:szCs w:val="20"/>
                <w:color w:val="auto"/>
              </w:rPr>
            </w:pPr>
          </w:p>
        </w:tc>
        <w:tc>
          <w:tcPr>
            <w:tcW w:w="1280" w:type="dxa"/>
            <w:vAlign w:val="bottom"/>
          </w:tcPr>
          <w:p>
            <w:pPr>
              <w:jc w:val="right"/>
              <w:ind w:right="1"/>
              <w:spacing w:after="0"/>
              <w:rPr>
                <w:sz w:val="20"/>
                <w:szCs w:val="20"/>
                <w:color w:val="auto"/>
              </w:rPr>
            </w:pPr>
            <w:r>
              <w:rPr>
                <w:rFonts w:ascii="Arial" w:cs="Arial" w:eastAsia="Arial" w:hAnsi="Arial"/>
                <w:sz w:val="16"/>
                <w:szCs w:val="16"/>
                <w:color w:val="auto"/>
              </w:rPr>
              <w:t>(120,438)</w:t>
            </w:r>
          </w:p>
        </w:tc>
        <w:tc>
          <w:tcPr>
            <w:tcW w:w="340" w:type="dxa"/>
            <w:vAlign w:val="bottom"/>
          </w:tcPr>
          <w:p>
            <w:pPr>
              <w:jc w:val="right"/>
              <w:ind w:right="80"/>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14,395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(402)</w:t>
            </w:r>
          </w:p>
        </w:tc>
        <w:tc>
          <w:tcPr>
            <w:tcW w:w="0" w:type="dxa"/>
            <w:vAlign w:val="bottom"/>
          </w:tcPr>
          <w:p>
            <w:pPr>
              <w:spacing w:after="0"/>
              <w:rPr>
                <w:sz w:val="1"/>
                <w:szCs w:val="1"/>
                <w:color w:val="auto"/>
              </w:rPr>
            </w:pPr>
          </w:p>
        </w:tc>
      </w:tr>
      <w:tr>
        <w:trPr>
          <w:trHeight w:val="33"/>
        </w:trPr>
        <w:tc>
          <w:tcPr>
            <w:tcW w:w="4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30,250</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23,300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(4,700)</w:t>
            </w:r>
          </w:p>
        </w:tc>
        <w:tc>
          <w:tcPr>
            <w:tcW w:w="34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48,850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(1,067)</w:t>
            </w:r>
          </w:p>
        </w:tc>
        <w:tc>
          <w:tcPr>
            <w:tcW w:w="0" w:type="dxa"/>
            <w:vAlign w:val="bottom"/>
          </w:tcPr>
          <w:p>
            <w:pPr>
              <w:spacing w:after="0"/>
              <w:rPr>
                <w:sz w:val="1"/>
                <w:szCs w:val="1"/>
                <w:color w:val="auto"/>
              </w:rPr>
            </w:pPr>
          </w:p>
        </w:tc>
      </w:tr>
      <w:tr>
        <w:trPr>
          <w:trHeight w:val="237"/>
        </w:trPr>
        <w:tc>
          <w:tcPr>
            <w:tcW w:w="468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1"/>
              <w:spacing w:after="0"/>
              <w:rPr>
                <w:sz w:val="20"/>
                <w:szCs w:val="20"/>
                <w:color w:val="auto"/>
              </w:rPr>
            </w:pPr>
            <w:r>
              <w:rPr>
                <w:rFonts w:ascii="Arial" w:cs="Arial" w:eastAsia="Arial" w:hAnsi="Arial"/>
                <w:sz w:val="16"/>
                <w:szCs w:val="16"/>
                <w:color w:val="auto"/>
              </w:rPr>
              <w:t>3,200</w:t>
            </w:r>
          </w:p>
        </w:tc>
        <w:tc>
          <w:tcPr>
            <w:tcW w:w="120" w:type="dxa"/>
            <w:vAlign w:val="bottom"/>
          </w:tcPr>
          <w:p>
            <w:pPr>
              <w:spacing w:after="0"/>
              <w:rPr>
                <w:sz w:val="20"/>
                <w:szCs w:val="20"/>
                <w:color w:val="auto"/>
              </w:rPr>
            </w:pPr>
          </w:p>
        </w:tc>
        <w:tc>
          <w:tcPr>
            <w:tcW w:w="1160" w:type="dxa"/>
            <w:vAlign w:val="bottom"/>
          </w:tcPr>
          <w:p>
            <w:pPr>
              <w:jc w:val="right"/>
              <w:ind w:right="41"/>
              <w:spacing w:after="0"/>
              <w:rPr>
                <w:sz w:val="20"/>
                <w:szCs w:val="20"/>
                <w:color w:val="auto"/>
              </w:rPr>
            </w:pPr>
            <w:r>
              <w:rPr>
                <w:rFonts w:ascii="Arial" w:cs="Arial" w:eastAsia="Arial" w:hAnsi="Arial"/>
                <w:sz w:val="16"/>
                <w:szCs w:val="16"/>
                <w:color w:val="auto"/>
              </w:rPr>
              <w:t>12,150</w:t>
            </w:r>
          </w:p>
        </w:tc>
        <w:tc>
          <w:tcPr>
            <w:tcW w:w="100" w:type="dxa"/>
            <w:vAlign w:val="bottom"/>
          </w:tcPr>
          <w:p>
            <w:pPr>
              <w:spacing w:after="0"/>
              <w:rPr>
                <w:sz w:val="20"/>
                <w:szCs w:val="20"/>
                <w:color w:val="auto"/>
              </w:rPr>
            </w:pPr>
          </w:p>
        </w:tc>
        <w:tc>
          <w:tcPr>
            <w:tcW w:w="1280" w:type="dxa"/>
            <w:vAlign w:val="bottom"/>
          </w:tcPr>
          <w:p>
            <w:pPr>
              <w:jc w:val="right"/>
              <w:ind w:right="1"/>
              <w:spacing w:after="0"/>
              <w:rPr>
                <w:sz w:val="20"/>
                <w:szCs w:val="20"/>
                <w:color w:val="auto"/>
              </w:rPr>
            </w:pPr>
            <w:r>
              <w:rPr>
                <w:rFonts w:ascii="Arial" w:cs="Arial" w:eastAsia="Arial" w:hAnsi="Arial"/>
                <w:sz w:val="16"/>
                <w:szCs w:val="16"/>
                <w:color w:val="auto"/>
              </w:rPr>
              <w:t>(6,800)</w:t>
            </w:r>
          </w:p>
        </w:tc>
        <w:tc>
          <w:tcPr>
            <w:tcW w:w="340" w:type="dxa"/>
            <w:vAlign w:val="bottom"/>
          </w:tcPr>
          <w:p>
            <w:pPr>
              <w:jc w:val="right"/>
              <w:ind w:right="80"/>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8,550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(96)</w:t>
            </w:r>
          </w:p>
        </w:tc>
        <w:tc>
          <w:tcPr>
            <w:tcW w:w="0" w:type="dxa"/>
            <w:vAlign w:val="bottom"/>
          </w:tcPr>
          <w:p>
            <w:pPr>
              <w:spacing w:after="0"/>
              <w:rPr>
                <w:sz w:val="1"/>
                <w:szCs w:val="1"/>
                <w:color w:val="auto"/>
              </w:rPr>
            </w:pPr>
          </w:p>
        </w:tc>
      </w:tr>
      <w:tr>
        <w:trPr>
          <w:trHeight w:val="33"/>
        </w:trPr>
        <w:tc>
          <w:tcPr>
            <w:tcW w:w="4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Short sales of U.S. Treasury securities</w:t>
            </w: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880</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30,480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(24,065)</w:t>
            </w:r>
          </w:p>
        </w:tc>
        <w:tc>
          <w:tcPr>
            <w:tcW w:w="34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7,295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(115)</w:t>
            </w:r>
          </w:p>
        </w:tc>
        <w:tc>
          <w:tcPr>
            <w:tcW w:w="0" w:type="dxa"/>
            <w:vAlign w:val="bottom"/>
          </w:tcPr>
          <w:p>
            <w:pPr>
              <w:spacing w:after="0"/>
              <w:rPr>
                <w:sz w:val="1"/>
                <w:szCs w:val="1"/>
                <w:color w:val="auto"/>
              </w:rPr>
            </w:pPr>
          </w:p>
        </w:tc>
      </w:tr>
      <w:tr>
        <w:trPr>
          <w:trHeight w:val="237"/>
        </w:trPr>
        <w:tc>
          <w:tcPr>
            <w:tcW w:w="4680" w:type="dxa"/>
            <w:vAlign w:val="bottom"/>
            <w:gridSpan w:val="2"/>
          </w:tcPr>
          <w:p>
            <w:pPr>
              <w:ind w:left="20"/>
              <w:spacing w:after="0"/>
              <w:rPr>
                <w:sz w:val="20"/>
                <w:szCs w:val="20"/>
                <w:color w:val="auto"/>
              </w:rPr>
            </w:pPr>
            <w:r>
              <w:rPr>
                <w:rFonts w:ascii="Arial" w:cs="Arial" w:eastAsia="Arial" w:hAnsi="Arial"/>
                <w:sz w:val="16"/>
                <w:szCs w:val="16"/>
                <w:color w:val="auto"/>
              </w:rPr>
              <w:t>U.S. Treasury futures - short</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1"/>
              <w:spacing w:after="0"/>
              <w:rPr>
                <w:sz w:val="20"/>
                <w:szCs w:val="20"/>
                <w:color w:val="auto"/>
              </w:rPr>
            </w:pPr>
            <w:r>
              <w:rPr>
                <w:rFonts w:ascii="Arial" w:cs="Arial" w:eastAsia="Arial" w:hAnsi="Arial"/>
                <w:sz w:val="16"/>
                <w:szCs w:val="16"/>
                <w:color w:val="auto"/>
              </w:rPr>
              <w:t>783</w:t>
            </w:r>
          </w:p>
        </w:tc>
        <w:tc>
          <w:tcPr>
            <w:tcW w:w="120" w:type="dxa"/>
            <w:vAlign w:val="bottom"/>
          </w:tcPr>
          <w:p>
            <w:pPr>
              <w:spacing w:after="0"/>
              <w:rPr>
                <w:sz w:val="20"/>
                <w:szCs w:val="20"/>
                <w:color w:val="auto"/>
              </w:rPr>
            </w:pPr>
          </w:p>
        </w:tc>
        <w:tc>
          <w:tcPr>
            <w:tcW w:w="1160" w:type="dxa"/>
            <w:vAlign w:val="bottom"/>
          </w:tcPr>
          <w:p>
            <w:pPr>
              <w:jc w:val="right"/>
              <w:ind w:right="41"/>
              <w:spacing w:after="0"/>
              <w:rPr>
                <w:sz w:val="20"/>
                <w:szCs w:val="20"/>
                <w:color w:val="auto"/>
              </w:rPr>
            </w:pPr>
            <w:r>
              <w:rPr>
                <w:rFonts w:ascii="Arial" w:cs="Arial" w:eastAsia="Arial" w:hAnsi="Arial"/>
                <w:sz w:val="16"/>
                <w:szCs w:val="16"/>
                <w:color w:val="auto"/>
              </w:rPr>
              <w:t>3,838</w:t>
            </w:r>
          </w:p>
        </w:tc>
        <w:tc>
          <w:tcPr>
            <w:tcW w:w="100" w:type="dxa"/>
            <w:vAlign w:val="bottom"/>
          </w:tcPr>
          <w:p>
            <w:pPr>
              <w:spacing w:after="0"/>
              <w:rPr>
                <w:sz w:val="20"/>
                <w:szCs w:val="20"/>
                <w:color w:val="auto"/>
              </w:rPr>
            </w:pPr>
          </w:p>
        </w:tc>
        <w:tc>
          <w:tcPr>
            <w:tcW w:w="1280" w:type="dxa"/>
            <w:vAlign w:val="bottom"/>
          </w:tcPr>
          <w:p>
            <w:pPr>
              <w:jc w:val="right"/>
              <w:ind w:right="1"/>
              <w:spacing w:after="0"/>
              <w:rPr>
                <w:sz w:val="20"/>
                <w:szCs w:val="20"/>
                <w:color w:val="auto"/>
              </w:rPr>
            </w:pPr>
            <w:r>
              <w:rPr>
                <w:rFonts w:ascii="Arial" w:cs="Arial" w:eastAsia="Arial" w:hAnsi="Arial"/>
                <w:sz w:val="16"/>
                <w:szCs w:val="16"/>
                <w:color w:val="auto"/>
              </w:rPr>
              <w:t>(4,621)</w:t>
            </w:r>
          </w:p>
        </w:tc>
        <w:tc>
          <w:tcPr>
            <w:tcW w:w="340" w:type="dxa"/>
            <w:vAlign w:val="bottom"/>
          </w:tcPr>
          <w:p>
            <w:pPr>
              <w:jc w:val="right"/>
              <w:ind w:right="80"/>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(91)</w:t>
            </w:r>
          </w:p>
        </w:tc>
        <w:tc>
          <w:tcPr>
            <w:tcW w:w="0" w:type="dxa"/>
            <w:vAlign w:val="bottom"/>
          </w:tcPr>
          <w:p>
            <w:pPr>
              <w:spacing w:after="0"/>
              <w:rPr>
                <w:sz w:val="1"/>
                <w:szCs w:val="1"/>
                <w:color w:val="auto"/>
              </w:rPr>
            </w:pPr>
          </w:p>
        </w:tc>
      </w:tr>
      <w:tr>
        <w:trPr>
          <w:trHeight w:val="33"/>
        </w:trPr>
        <w:tc>
          <w:tcPr>
            <w:tcW w:w="4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Markit IOS total return swaps - long</w:t>
            </w: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41</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(41)</w:t>
            </w:r>
          </w:p>
        </w:tc>
        <w:tc>
          <w:tcPr>
            <w:tcW w:w="34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4680" w:type="dxa"/>
            <w:vAlign w:val="bottom"/>
            <w:gridSpan w:val="2"/>
          </w:tcPr>
          <w:p>
            <w:pPr>
              <w:ind w:left="20"/>
              <w:spacing w:after="0"/>
              <w:rPr>
                <w:sz w:val="20"/>
                <w:szCs w:val="20"/>
                <w:color w:val="auto"/>
              </w:rPr>
            </w:pPr>
            <w:r>
              <w:rPr>
                <w:rFonts w:ascii="Arial" w:cs="Arial" w:eastAsia="Arial" w:hAnsi="Arial"/>
                <w:sz w:val="16"/>
                <w:szCs w:val="16"/>
                <w:color w:val="auto"/>
              </w:rPr>
              <w:t>Markit IOS total return swaps - short</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1"/>
              <w:spacing w:after="0"/>
              <w:rPr>
                <w:sz w:val="20"/>
                <w:szCs w:val="20"/>
                <w:color w:val="auto"/>
              </w:rPr>
            </w:pPr>
            <w:r>
              <w:rPr>
                <w:rFonts w:ascii="Arial" w:cs="Arial" w:eastAsia="Arial" w:hAnsi="Arial"/>
                <w:sz w:val="16"/>
                <w:szCs w:val="16"/>
                <w:color w:val="auto"/>
              </w:rPr>
              <w:t>206</w:t>
            </w:r>
          </w:p>
        </w:tc>
        <w:tc>
          <w:tcPr>
            <w:tcW w:w="120" w:type="dxa"/>
            <w:vAlign w:val="bottom"/>
          </w:tcPr>
          <w:p>
            <w:pPr>
              <w:spacing w:after="0"/>
              <w:rPr>
                <w:sz w:val="20"/>
                <w:szCs w:val="20"/>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tcPr>
          <w:p>
            <w:pPr>
              <w:jc w:val="right"/>
              <w:ind w:right="1"/>
              <w:spacing w:after="0"/>
              <w:rPr>
                <w:sz w:val="20"/>
                <w:szCs w:val="20"/>
                <w:color w:val="auto"/>
              </w:rPr>
            </w:pPr>
            <w:r>
              <w:rPr>
                <w:rFonts w:ascii="Arial" w:cs="Arial" w:eastAsia="Arial" w:hAnsi="Arial"/>
                <w:sz w:val="16"/>
                <w:szCs w:val="16"/>
                <w:color w:val="auto"/>
              </w:rPr>
              <w:t>(206)</w:t>
            </w:r>
          </w:p>
        </w:tc>
        <w:tc>
          <w:tcPr>
            <w:tcW w:w="340" w:type="dxa"/>
            <w:vAlign w:val="bottom"/>
          </w:tcPr>
          <w:p>
            <w:pPr>
              <w:jc w:val="right"/>
              <w:ind w:right="80"/>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5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CCEEFF"/>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5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(1,428)</w:t>
            </w:r>
          </w:p>
        </w:tc>
        <w:tc>
          <w:tcPr>
            <w:tcW w:w="0" w:type="dxa"/>
            <w:vAlign w:val="bottom"/>
          </w:tcPr>
          <w:p>
            <w:pPr>
              <w:spacing w:after="0"/>
              <w:rPr>
                <w:sz w:val="1"/>
                <w:szCs w:val="1"/>
                <w:color w:val="auto"/>
              </w:rPr>
            </w:pPr>
          </w:p>
        </w:tc>
      </w:tr>
      <w:tr>
        <w:trPr>
          <w:trHeight w:val="20"/>
        </w:trPr>
        <w:tc>
          <w:tcPr>
            <w:tcW w:w="456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color w:val="auto"/>
              </w:rPr>
              <w:t>________________________________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56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900" w:hanging="568"/>
        <w:spacing w:after="0" w:line="248" w:lineRule="auto"/>
        <w:tabs>
          <w:tab w:leader="none" w:pos="657" w:val="left"/>
        </w:tabs>
        <w:numPr>
          <w:ilvl w:val="0"/>
          <w:numId w:val="8"/>
        </w:numPr>
        <w:rPr>
          <w:rFonts w:ascii="Arial" w:cs="Arial" w:eastAsia="Arial" w:hAnsi="Arial"/>
          <w:sz w:val="14"/>
          <w:szCs w:val="14"/>
          <w:color w:val="auto"/>
        </w:rPr>
      </w:pPr>
      <w:r>
        <w:rPr>
          <w:rFonts w:ascii="Arial" w:cs="Arial" w:eastAsia="Arial" w:hAnsi="Arial"/>
          <w:sz w:val="14"/>
          <w:szCs w:val="14"/>
          <w:color w:val="auto"/>
        </w:rPr>
        <w:t>Excludes a loss of $1 million from U.S. Treasury securities, a gain of $19 million from interest-only and principal-only securities and a loss of $32 million from debt of consolidated VIEs re-measured at fair value through earnings recognized in gain (loss) on derivative instruments and other securities, net in our consolidated statement of comprehensive income for the nine months ended September 30, 2012</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634" w:right="23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600" w:type="dxa"/>
            <w:vAlign w:val="bottom"/>
            <w:tcBorders>
              <w:bottom w:val="single" w:sz="8" w:color="auto"/>
            </w:tcBorders>
            <w:gridSpan w:val="6"/>
          </w:tcPr>
          <w:p>
            <w:pPr>
              <w:ind w:left="100"/>
              <w:spacing w:after="0"/>
              <w:rPr>
                <w:sz w:val="20"/>
                <w:szCs w:val="20"/>
                <w:color w:val="auto"/>
              </w:rPr>
            </w:pPr>
            <w:r>
              <w:rPr>
                <w:rFonts w:ascii="Arial" w:cs="Arial" w:eastAsia="Arial" w:hAnsi="Arial"/>
                <w:sz w:val="14"/>
                <w:szCs w:val="14"/>
                <w:b w:val="1"/>
                <w:bCs w:val="1"/>
                <w:color w:val="auto"/>
              </w:rPr>
              <w:t>Nine Months Ended September 30, 2011</w:t>
            </w: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2"/>
              </w:rPr>
              <w:t>Notional</w:t>
            </w: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6"/>
              </w:rPr>
              <w:t>Notional</w:t>
            </w:r>
          </w:p>
        </w:tc>
        <w:tc>
          <w:tcPr>
            <w:tcW w:w="140" w:type="dxa"/>
            <w:vAlign w:val="bottom"/>
          </w:tcPr>
          <w:p>
            <w:pPr>
              <w:spacing w:after="0"/>
              <w:rPr>
                <w:sz w:val="13"/>
                <w:szCs w:val="13"/>
                <w:color w:val="auto"/>
              </w:rPr>
            </w:pPr>
          </w:p>
        </w:tc>
        <w:tc>
          <w:tcPr>
            <w:tcW w:w="1100" w:type="dxa"/>
            <w:vAlign w:val="bottom"/>
          </w:tcPr>
          <w:p>
            <w:pPr>
              <w:jc w:val="center"/>
              <w:ind w:right="8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Amount</w:t>
            </w: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Additions Due to</w:t>
            </w:r>
          </w:p>
        </w:tc>
        <w:tc>
          <w:tcPr>
            <w:tcW w:w="114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2"/>
              </w:rPr>
              <w:t>Settlement,</w:t>
            </w: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Amount</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3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Derivatives Not Designated as</w:t>
            </w:r>
          </w:p>
        </w:tc>
        <w:tc>
          <w:tcPr>
            <w:tcW w:w="100" w:type="dxa"/>
            <w:vAlign w:val="bottom"/>
          </w:tcPr>
          <w:p>
            <w:pPr>
              <w:spacing w:after="0"/>
              <w:rPr>
                <w:sz w:val="12"/>
                <w:szCs w:val="12"/>
                <w:color w:val="auto"/>
              </w:rPr>
            </w:pPr>
          </w:p>
        </w:tc>
        <w:tc>
          <w:tcPr>
            <w:tcW w:w="10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as of</w:t>
            </w: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1"/>
              </w:rPr>
              <w:t>as of</w:t>
            </w:r>
          </w:p>
        </w:tc>
        <w:tc>
          <w:tcPr>
            <w:tcW w:w="140" w:type="dxa"/>
            <w:vAlign w:val="bottom"/>
          </w:tcPr>
          <w:p>
            <w:pPr>
              <w:spacing w:after="0"/>
              <w:rPr>
                <w:sz w:val="12"/>
                <w:szCs w:val="12"/>
                <w:color w:val="auto"/>
              </w:rPr>
            </w:pPr>
          </w:p>
        </w:tc>
        <w:tc>
          <w:tcPr>
            <w:tcW w:w="110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3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920" w:type="dxa"/>
            <w:vAlign w:val="bottom"/>
            <w:vMerge w:val="restart"/>
          </w:tcPr>
          <w:p>
            <w:pPr>
              <w:jc w:val="right"/>
              <w:ind w:right="80"/>
              <w:spacing w:after="0"/>
              <w:rPr>
                <w:sz w:val="20"/>
                <w:szCs w:val="20"/>
                <w:color w:val="auto"/>
              </w:rPr>
            </w:pPr>
            <w:r>
              <w:rPr>
                <w:rFonts w:ascii="Arial" w:cs="Arial" w:eastAsia="Arial" w:hAnsi="Arial"/>
                <w:sz w:val="14"/>
                <w:szCs w:val="14"/>
                <w:b w:val="1"/>
                <w:bCs w:val="1"/>
                <w:color w:val="auto"/>
              </w:rPr>
              <w:t>Additions</w:t>
            </w:r>
          </w:p>
        </w:tc>
        <w:tc>
          <w:tcPr>
            <w:tcW w:w="120" w:type="dxa"/>
            <w:vAlign w:val="bottom"/>
            <w:vMerge w:val="restart"/>
          </w:tcPr>
          <w:p>
            <w:pPr>
              <w:spacing w:after="0"/>
              <w:rPr>
                <w:sz w:val="12"/>
                <w:szCs w:val="12"/>
                <w:color w:val="auto"/>
              </w:rPr>
            </w:pP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Hedge De-</w:t>
            </w:r>
          </w:p>
        </w:tc>
        <w:tc>
          <w:tcPr>
            <w:tcW w:w="114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Hedging Instruments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2010</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20" w:type="dxa"/>
            <w:vAlign w:val="bottom"/>
            <w:tcBorders>
              <w:bottom w:val="single" w:sz="8" w:color="auto"/>
            </w:tcBorders>
          </w:tcPr>
          <w:p>
            <w:pPr>
              <w:jc w:val="center"/>
              <w:ind w:right="2"/>
              <w:spacing w:after="0"/>
              <w:rPr>
                <w:sz w:val="20"/>
                <w:szCs w:val="20"/>
                <w:color w:val="auto"/>
              </w:rPr>
            </w:pPr>
            <w:r>
              <w:rPr>
                <w:rFonts w:ascii="Arial" w:cs="Arial" w:eastAsia="Arial" w:hAnsi="Arial"/>
                <w:sz w:val="14"/>
                <w:szCs w:val="14"/>
                <w:b w:val="1"/>
                <w:bCs w:val="1"/>
                <w:color w:val="auto"/>
                <w:w w:val="88"/>
              </w:rPr>
              <w:t>Designations</w:t>
            </w: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2011</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4"/>
              </w:rPr>
              <w:t>Derivatives</w:t>
            </w:r>
            <w:r>
              <w:rPr>
                <w:rFonts w:ascii="Arial" w:cs="Arial" w:eastAsia="Arial" w:hAnsi="Arial"/>
                <w:sz w:val="8"/>
                <w:szCs w:val="8"/>
                <w:b w:val="1"/>
                <w:bCs w:val="1"/>
                <w:color w:val="auto"/>
                <w:w w:val="94"/>
              </w:rPr>
              <w:t>(1)</w:t>
            </w:r>
          </w:p>
        </w:tc>
        <w:tc>
          <w:tcPr>
            <w:tcW w:w="0" w:type="dxa"/>
            <w:vAlign w:val="bottom"/>
          </w:tcPr>
          <w:p>
            <w:pPr>
              <w:spacing w:after="0"/>
              <w:rPr>
                <w:sz w:val="1"/>
                <w:szCs w:val="1"/>
                <w:color w:val="auto"/>
              </w:rPr>
            </w:pPr>
          </w:p>
        </w:tc>
      </w:tr>
      <w:tr>
        <w:trPr>
          <w:trHeight w:val="250"/>
        </w:trPr>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Purchase of TBA and forward settling agency securities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16"/>
                <w:szCs w:val="16"/>
                <w:color w:val="auto"/>
              </w:rPr>
              <w:t>512</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42,222</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(37,298)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5,436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119</w:t>
            </w:r>
          </w:p>
        </w:tc>
        <w:tc>
          <w:tcPr>
            <w:tcW w:w="0" w:type="dxa"/>
            <w:vAlign w:val="bottom"/>
          </w:tcPr>
          <w:p>
            <w:pPr>
              <w:spacing w:after="0"/>
              <w:rPr>
                <w:sz w:val="1"/>
                <w:szCs w:val="1"/>
                <w:color w:val="auto"/>
              </w:rPr>
            </w:pPr>
          </w:p>
        </w:tc>
      </w:tr>
      <w:tr>
        <w:trPr>
          <w:trHeight w:val="237"/>
        </w:trPr>
        <w:tc>
          <w:tcPr>
            <w:tcW w:w="4360" w:type="dxa"/>
            <w:vAlign w:val="bottom"/>
            <w:gridSpan w:val="2"/>
          </w:tcPr>
          <w:p>
            <w:pPr>
              <w:ind w:left="40"/>
              <w:spacing w:after="0"/>
              <w:rPr>
                <w:sz w:val="20"/>
                <w:szCs w:val="20"/>
                <w:color w:val="auto"/>
              </w:rPr>
            </w:pPr>
            <w:r>
              <w:rPr>
                <w:rFonts w:ascii="Arial" w:cs="Arial" w:eastAsia="Arial" w:hAnsi="Arial"/>
                <w:sz w:val="16"/>
                <w:szCs w:val="16"/>
                <w:color w:val="auto"/>
              </w:rPr>
              <w:t>Sale of TBA and forward settling agency securities</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62"/>
              <w:spacing w:after="0"/>
              <w:rPr>
                <w:sz w:val="20"/>
                <w:szCs w:val="20"/>
                <w:color w:val="auto"/>
              </w:rPr>
            </w:pPr>
            <w:r>
              <w:rPr>
                <w:rFonts w:ascii="Arial" w:cs="Arial" w:eastAsia="Arial" w:hAnsi="Arial"/>
                <w:sz w:val="16"/>
                <w:szCs w:val="16"/>
                <w:color w:val="auto"/>
              </w:rPr>
              <w:t>1,361</w:t>
            </w:r>
          </w:p>
        </w:tc>
        <w:tc>
          <w:tcPr>
            <w:tcW w:w="120" w:type="dxa"/>
            <w:vAlign w:val="bottom"/>
          </w:tcPr>
          <w:p>
            <w:pPr>
              <w:spacing w:after="0"/>
              <w:rPr>
                <w:sz w:val="20"/>
                <w:szCs w:val="20"/>
                <w:color w:val="auto"/>
              </w:rPr>
            </w:pP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88,795</w:t>
            </w:r>
          </w:p>
        </w:tc>
        <w:tc>
          <w:tcPr>
            <w:tcW w:w="120" w:type="dxa"/>
            <w:vAlign w:val="bottom"/>
          </w:tcPr>
          <w:p>
            <w:pPr>
              <w:spacing w:after="0"/>
              <w:rPr>
                <w:sz w:val="20"/>
                <w:szCs w:val="20"/>
                <w:color w:val="auto"/>
              </w:rPr>
            </w:pPr>
          </w:p>
        </w:tc>
        <w:tc>
          <w:tcPr>
            <w:tcW w:w="12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(83,902)</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6,254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(291)</w:t>
            </w:r>
          </w:p>
        </w:tc>
        <w:tc>
          <w:tcPr>
            <w:tcW w:w="0" w:type="dxa"/>
            <w:vAlign w:val="bottom"/>
          </w:tcPr>
          <w:p>
            <w:pPr>
              <w:spacing w:after="0"/>
              <w:rPr>
                <w:sz w:val="1"/>
                <w:szCs w:val="1"/>
                <w:color w:val="auto"/>
              </w:rPr>
            </w:pPr>
          </w:p>
        </w:tc>
      </w:tr>
      <w:tr>
        <w:trPr>
          <w:trHeight w:val="33"/>
        </w:trPr>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rate swaps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16"/>
                <w:szCs w:val="16"/>
                <w:color w:val="auto"/>
              </w:rPr>
              <w:t>50</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2,900</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23,900</w:t>
            </w: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100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26,950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237"/>
        </w:trPr>
        <w:tc>
          <w:tcPr>
            <w:tcW w:w="4360" w:type="dxa"/>
            <w:vAlign w:val="bottom"/>
            <w:gridSpan w:val="2"/>
          </w:tcPr>
          <w:p>
            <w:pPr>
              <w:ind w:left="40"/>
              <w:spacing w:after="0"/>
              <w:rPr>
                <w:sz w:val="20"/>
                <w:szCs w:val="20"/>
                <w:color w:val="auto"/>
              </w:rPr>
            </w:pPr>
            <w:r>
              <w:rPr>
                <w:rFonts w:ascii="Arial" w:cs="Arial" w:eastAsia="Arial" w:hAnsi="Arial"/>
                <w:sz w:val="16"/>
                <w:szCs w:val="16"/>
                <w:color w:val="auto"/>
              </w:rPr>
              <w:t>Payer swaptions</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62"/>
              <w:spacing w:after="0"/>
              <w:rPr>
                <w:sz w:val="20"/>
                <w:szCs w:val="20"/>
                <w:color w:val="auto"/>
              </w:rPr>
            </w:pPr>
            <w:r>
              <w:rPr>
                <w:rFonts w:ascii="Arial" w:cs="Arial" w:eastAsia="Arial" w:hAnsi="Arial"/>
                <w:sz w:val="16"/>
                <w:szCs w:val="16"/>
                <w:color w:val="auto"/>
              </w:rPr>
              <w:t>850</w:t>
            </w:r>
          </w:p>
        </w:tc>
        <w:tc>
          <w:tcPr>
            <w:tcW w:w="120" w:type="dxa"/>
            <w:vAlign w:val="bottom"/>
          </w:tcPr>
          <w:p>
            <w:pPr>
              <w:spacing w:after="0"/>
              <w:rPr>
                <w:sz w:val="20"/>
                <w:szCs w:val="20"/>
                <w:color w:val="auto"/>
              </w:rPr>
            </w:pP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4,450</w:t>
            </w:r>
          </w:p>
        </w:tc>
        <w:tc>
          <w:tcPr>
            <w:tcW w:w="120" w:type="dxa"/>
            <w:vAlign w:val="bottom"/>
          </w:tcPr>
          <w:p>
            <w:pPr>
              <w:spacing w:after="0"/>
              <w:rPr>
                <w:sz w:val="20"/>
                <w:szCs w:val="20"/>
                <w:color w:val="auto"/>
              </w:rPr>
            </w:pPr>
          </w:p>
        </w:tc>
        <w:tc>
          <w:tcPr>
            <w:tcW w:w="12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(2,050)</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3,250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(58)</w:t>
            </w:r>
          </w:p>
        </w:tc>
        <w:tc>
          <w:tcPr>
            <w:tcW w:w="0" w:type="dxa"/>
            <w:vAlign w:val="bottom"/>
          </w:tcPr>
          <w:p>
            <w:pPr>
              <w:spacing w:after="0"/>
              <w:rPr>
                <w:sz w:val="1"/>
                <w:szCs w:val="1"/>
                <w:color w:val="auto"/>
              </w:rPr>
            </w:pPr>
          </w:p>
        </w:tc>
      </w:tr>
      <w:tr>
        <w:trPr>
          <w:trHeight w:val="33"/>
        </w:trPr>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Receiver Swaptions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250</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37"/>
        </w:trPr>
        <w:tc>
          <w:tcPr>
            <w:tcW w:w="4360" w:type="dxa"/>
            <w:vAlign w:val="bottom"/>
            <w:gridSpan w:val="2"/>
          </w:tcPr>
          <w:p>
            <w:pPr>
              <w:ind w:left="40"/>
              <w:spacing w:after="0"/>
              <w:rPr>
                <w:sz w:val="20"/>
                <w:szCs w:val="20"/>
                <w:color w:val="auto"/>
              </w:rPr>
            </w:pPr>
            <w:r>
              <w:rPr>
                <w:rFonts w:ascii="Arial" w:cs="Arial" w:eastAsia="Arial" w:hAnsi="Arial"/>
                <w:sz w:val="16"/>
                <w:szCs w:val="16"/>
                <w:color w:val="auto"/>
              </w:rPr>
              <w:t>Short sales of U.S. Treasury securities</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62"/>
              <w:spacing w:after="0"/>
              <w:rPr>
                <w:sz w:val="20"/>
                <w:szCs w:val="20"/>
                <w:color w:val="auto"/>
              </w:rPr>
            </w:pPr>
            <w:r>
              <w:rPr>
                <w:rFonts w:ascii="Arial" w:cs="Arial" w:eastAsia="Arial" w:hAnsi="Arial"/>
                <w:sz w:val="16"/>
                <w:szCs w:val="16"/>
                <w:color w:val="auto"/>
              </w:rPr>
              <w:t>250</w:t>
            </w:r>
          </w:p>
        </w:tc>
        <w:tc>
          <w:tcPr>
            <w:tcW w:w="120" w:type="dxa"/>
            <w:vAlign w:val="bottom"/>
          </w:tcPr>
          <w:p>
            <w:pPr>
              <w:spacing w:after="0"/>
              <w:rPr>
                <w:sz w:val="20"/>
                <w:szCs w:val="20"/>
                <w:color w:val="auto"/>
              </w:rPr>
            </w:pP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11,974</w:t>
            </w:r>
          </w:p>
        </w:tc>
        <w:tc>
          <w:tcPr>
            <w:tcW w:w="120" w:type="dxa"/>
            <w:vAlign w:val="bottom"/>
          </w:tcPr>
          <w:p>
            <w:pPr>
              <w:spacing w:after="0"/>
              <w:rPr>
                <w:sz w:val="20"/>
                <w:szCs w:val="20"/>
                <w:color w:val="auto"/>
              </w:rPr>
            </w:pPr>
          </w:p>
        </w:tc>
        <w:tc>
          <w:tcPr>
            <w:tcW w:w="12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(11,759)</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465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(92)</w:t>
            </w:r>
          </w:p>
        </w:tc>
        <w:tc>
          <w:tcPr>
            <w:tcW w:w="0" w:type="dxa"/>
            <w:vAlign w:val="bottom"/>
          </w:tcPr>
          <w:p>
            <w:pPr>
              <w:spacing w:after="0"/>
              <w:rPr>
                <w:sz w:val="1"/>
                <w:szCs w:val="1"/>
                <w:color w:val="auto"/>
              </w:rPr>
            </w:pPr>
          </w:p>
        </w:tc>
      </w:tr>
      <w:tr>
        <w:trPr>
          <w:trHeight w:val="33"/>
        </w:trPr>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Put Options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(200)</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200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37"/>
        </w:trPr>
        <w:tc>
          <w:tcPr>
            <w:tcW w:w="4360" w:type="dxa"/>
            <w:vAlign w:val="bottom"/>
            <w:gridSpan w:val="2"/>
          </w:tcPr>
          <w:p>
            <w:pPr>
              <w:ind w:left="40"/>
              <w:spacing w:after="0"/>
              <w:rPr>
                <w:sz w:val="20"/>
                <w:szCs w:val="20"/>
                <w:color w:val="auto"/>
              </w:rPr>
            </w:pPr>
            <w:r>
              <w:rPr>
                <w:rFonts w:ascii="Arial" w:cs="Arial" w:eastAsia="Arial" w:hAnsi="Arial"/>
                <w:sz w:val="16"/>
                <w:szCs w:val="16"/>
                <w:color w:val="auto"/>
              </w:rPr>
              <w:t>U.S. Treasury futures - long</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400</w:t>
            </w:r>
          </w:p>
        </w:tc>
        <w:tc>
          <w:tcPr>
            <w:tcW w:w="120" w:type="dxa"/>
            <w:vAlign w:val="bottom"/>
          </w:tcPr>
          <w:p>
            <w:pPr>
              <w:spacing w:after="0"/>
              <w:rPr>
                <w:sz w:val="20"/>
                <w:szCs w:val="20"/>
                <w:color w:val="auto"/>
              </w:rPr>
            </w:pPr>
          </w:p>
        </w:tc>
        <w:tc>
          <w:tcPr>
            <w:tcW w:w="12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(50)</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350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33"/>
        </w:trPr>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Markit IOS total return swaps - long</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1,154</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(1,089)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65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37"/>
        </w:trPr>
        <w:tc>
          <w:tcPr>
            <w:tcW w:w="4360" w:type="dxa"/>
            <w:vAlign w:val="bottom"/>
            <w:gridSpan w:val="2"/>
          </w:tcPr>
          <w:p>
            <w:pPr>
              <w:ind w:left="40"/>
              <w:spacing w:after="0"/>
              <w:rPr>
                <w:sz w:val="20"/>
                <w:szCs w:val="20"/>
                <w:color w:val="auto"/>
              </w:rPr>
            </w:pPr>
            <w:r>
              <w:rPr>
                <w:rFonts w:ascii="Arial" w:cs="Arial" w:eastAsia="Arial" w:hAnsi="Arial"/>
                <w:sz w:val="16"/>
                <w:szCs w:val="16"/>
                <w:color w:val="auto"/>
              </w:rPr>
              <w:t>Markit IOS total return swaps - short</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636</w:t>
            </w:r>
          </w:p>
        </w:tc>
        <w:tc>
          <w:tcPr>
            <w:tcW w:w="120" w:type="dxa"/>
            <w:vAlign w:val="bottom"/>
          </w:tcPr>
          <w:p>
            <w:pPr>
              <w:spacing w:after="0"/>
              <w:rPr>
                <w:sz w:val="20"/>
                <w:szCs w:val="20"/>
                <w:color w:val="auto"/>
              </w:rPr>
            </w:pPr>
          </w:p>
        </w:tc>
        <w:tc>
          <w:tcPr>
            <w:tcW w:w="122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(313)</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323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33"/>
        </w:trPr>
        <w:tc>
          <w:tcPr>
            <w:tcW w:w="4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(317)</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color w:val="auto"/>
              </w:rPr>
              <w:t>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24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jc w:val="both"/>
        <w:ind w:left="660" w:hanging="328"/>
        <w:spacing w:after="0" w:line="248" w:lineRule="auto"/>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Excludes a loss of $24 million from interest-only securities re-measured at fair value through earnings, a loss of $2 million for hedge ineffectiveness on our outstanding interest rate swaps and a gain of $33 million from U.S. Treasury securities recognized in gain (loss) on derivative instruments and other securities, net in our consolidated statement of comprehensive income for the nine months ended September 30, 2011.</w:t>
      </w:r>
    </w:p>
    <w:p>
      <w:pPr>
        <w:spacing w:after="0" w:line="19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summarize our interest rate swap agreements outstanding as of September 30, 2012 and December 31, 2011 (dollars in millions).</w:t>
      </w:r>
    </w:p>
    <w:p>
      <w:pPr>
        <w:spacing w:after="0" w:line="348" w:lineRule="exact"/>
        <w:rPr>
          <w:sz w:val="20"/>
          <w:szCs w:val="20"/>
          <w:color w:val="auto"/>
        </w:rPr>
      </w:pPr>
    </w:p>
    <w:tbl>
      <w:tblPr>
        <w:tblLayout w:type="fixed"/>
        <w:tblInd w:w="80" w:type="dxa"/>
        <w:tblCellMar>
          <w:top w:w="0" w:type="dxa"/>
          <w:left w:w="0" w:type="dxa"/>
          <w:bottom w:w="0" w:type="dxa"/>
          <w:right w:w="0" w:type="dxa"/>
        </w:tblCellMar>
      </w:tblPr>
      <w:tr>
        <w:trPr>
          <w:trHeight w:val="192"/>
        </w:trPr>
        <w:tc>
          <w:tcPr>
            <w:tcW w:w="448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ind w:left="80"/>
              <w:spacing w:after="0"/>
              <w:rPr>
                <w:sz w:val="20"/>
                <w:szCs w:val="20"/>
                <w:color w:val="auto"/>
              </w:rPr>
            </w:pPr>
            <w:r>
              <w:rPr>
                <w:rFonts w:ascii="Arial" w:cs="Arial" w:eastAsia="Arial" w:hAnsi="Arial"/>
                <w:sz w:val="14"/>
                <w:szCs w:val="14"/>
                <w:b w:val="1"/>
                <w:bCs w:val="1"/>
                <w:color w:val="auto"/>
              </w:rPr>
              <w:t>September 30, 2012</w:t>
            </w: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4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8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Notional</w:t>
            </w:r>
          </w:p>
        </w:tc>
        <w:tc>
          <w:tcPr>
            <w:tcW w:w="126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3"/>
                <w:szCs w:val="13"/>
                <w:color w:val="auto"/>
              </w:rPr>
            </w:pPr>
          </w:p>
        </w:tc>
        <w:tc>
          <w:tcPr>
            <w:tcW w:w="1380" w:type="dxa"/>
            <w:vAlign w:val="bottom"/>
            <w:gridSpan w:val="2"/>
            <w:vMerge w:val="restart"/>
          </w:tcPr>
          <w:p>
            <w:pPr>
              <w:ind w:left="400"/>
              <w:spacing w:after="0"/>
              <w:rPr>
                <w:sz w:val="20"/>
                <w:szCs w:val="20"/>
                <w:color w:val="auto"/>
              </w:rPr>
            </w:pPr>
            <w:r>
              <w:rPr>
                <w:rFonts w:ascii="Arial" w:cs="Arial" w:eastAsia="Arial" w:hAnsi="Arial"/>
                <w:sz w:val="14"/>
                <w:szCs w:val="14"/>
                <w:b w:val="1"/>
                <w:bCs w:val="1"/>
                <w:color w:val="auto"/>
              </w:rPr>
              <w:t>Average</w:t>
            </w:r>
          </w:p>
        </w:tc>
        <w:tc>
          <w:tcPr>
            <w:tcW w:w="220" w:type="dxa"/>
            <w:vAlign w:val="bottom"/>
          </w:tcPr>
          <w:p>
            <w:pPr>
              <w:spacing w:after="0"/>
              <w:rPr>
                <w:sz w:val="13"/>
                <w:szCs w:val="13"/>
                <w:color w:val="auto"/>
              </w:rPr>
            </w:pPr>
          </w:p>
        </w:tc>
        <w:tc>
          <w:tcPr>
            <w:tcW w:w="12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Net</w:t>
            </w:r>
          </w:p>
        </w:tc>
        <w:tc>
          <w:tcPr>
            <w:tcW w:w="110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448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7"/>
              </w:rPr>
              <w:t>Payer Interest Rate Swaps Not Designated as Hedging Instruments</w:t>
            </w:r>
            <w:r>
              <w:rPr>
                <w:rFonts w:ascii="Arial" w:cs="Arial" w:eastAsia="Arial" w:hAnsi="Arial"/>
                <w:sz w:val="8"/>
                <w:szCs w:val="8"/>
                <w:b w:val="1"/>
                <w:bCs w:val="1"/>
                <w:color w:val="auto"/>
                <w:w w:val="97"/>
              </w:rPr>
              <w:t>(1)</w:t>
            </w:r>
          </w:p>
        </w:tc>
        <w:tc>
          <w:tcPr>
            <w:tcW w:w="26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Fixed</w:t>
            </w:r>
          </w:p>
        </w:tc>
        <w:tc>
          <w:tcPr>
            <w:tcW w:w="10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Estimated</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4480" w:type="dxa"/>
            <w:vAlign w:val="bottom"/>
            <w:tcBorders>
              <w:bottom w:val="single" w:sz="8" w:color="auto"/>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16"/>
                <w:szCs w:val="16"/>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Pay Rate</w:t>
            </w:r>
          </w:p>
        </w:tc>
        <w:tc>
          <w:tcPr>
            <w:tcW w:w="10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Receive Rate</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122"/>
              <w:spacing w:after="0"/>
              <w:rPr>
                <w:sz w:val="20"/>
                <w:szCs w:val="20"/>
                <w:color w:val="auto"/>
              </w:rPr>
            </w:pPr>
            <w:r>
              <w:rPr>
                <w:rFonts w:ascii="Arial" w:cs="Arial" w:eastAsia="Arial" w:hAnsi="Arial"/>
                <w:sz w:val="14"/>
                <w:szCs w:val="14"/>
                <w:b w:val="1"/>
                <w:bCs w:val="1"/>
                <w:color w:val="auto"/>
                <w:w w:val="98"/>
              </w:rPr>
              <w:t>Fair Value</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Three years or less</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17,150</w:t>
            </w:r>
          </w:p>
        </w:tc>
        <w:tc>
          <w:tcPr>
            <w:tcW w:w="1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1.15%</w:t>
            </w:r>
          </w:p>
        </w:tc>
        <w:tc>
          <w:tcPr>
            <w:tcW w:w="13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0.30%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(308)</w:t>
            </w:r>
          </w:p>
        </w:tc>
        <w:tc>
          <w:tcPr>
            <w:tcW w:w="12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0" w:type="dxa"/>
            <w:vAlign w:val="bottom"/>
          </w:tcPr>
          <w:p>
            <w:pPr>
              <w:spacing w:after="0"/>
              <w:rPr>
                <w:sz w:val="1"/>
                <w:szCs w:val="1"/>
                <w:color w:val="auto"/>
              </w:rPr>
            </w:pPr>
          </w:p>
        </w:tc>
      </w:tr>
      <w:tr>
        <w:trPr>
          <w:trHeight w:val="237"/>
        </w:trPr>
        <w:tc>
          <w:tcPr>
            <w:tcW w:w="4480" w:type="dxa"/>
            <w:vAlign w:val="bottom"/>
          </w:tcPr>
          <w:p>
            <w:pPr>
              <w:ind w:left="40"/>
              <w:spacing w:after="0"/>
              <w:rPr>
                <w:sz w:val="20"/>
                <w:szCs w:val="20"/>
                <w:color w:val="auto"/>
              </w:rPr>
            </w:pPr>
            <w:r>
              <w:rPr>
                <w:rFonts w:ascii="Arial" w:cs="Arial" w:eastAsia="Arial" w:hAnsi="Arial"/>
                <w:sz w:val="16"/>
                <w:szCs w:val="16"/>
                <w:color w:val="auto"/>
              </w:rPr>
              <w:t>Greater than 3 years and less than/equal to 5 years</w:t>
            </w:r>
          </w:p>
        </w:tc>
        <w:tc>
          <w:tcPr>
            <w:tcW w:w="260" w:type="dxa"/>
            <w:vAlign w:val="bottom"/>
          </w:tcPr>
          <w:p>
            <w:pPr>
              <w:spacing w:after="0"/>
              <w:rPr>
                <w:sz w:val="20"/>
                <w:szCs w:val="20"/>
                <w:color w:val="auto"/>
              </w:rPr>
            </w:pPr>
          </w:p>
        </w:tc>
        <w:tc>
          <w:tcPr>
            <w:tcW w:w="1060" w:type="dxa"/>
            <w:vAlign w:val="bottom"/>
          </w:tcPr>
          <w:p>
            <w:pPr>
              <w:jc w:val="right"/>
              <w:ind w:right="22"/>
              <w:spacing w:after="0"/>
              <w:rPr>
                <w:sz w:val="20"/>
                <w:szCs w:val="20"/>
                <w:color w:val="auto"/>
              </w:rPr>
            </w:pPr>
            <w:r>
              <w:rPr>
                <w:rFonts w:ascii="Arial" w:cs="Arial" w:eastAsia="Arial" w:hAnsi="Arial"/>
                <w:sz w:val="16"/>
                <w:szCs w:val="16"/>
                <w:color w:val="auto"/>
              </w:rPr>
              <w:t>19,400</w:t>
            </w:r>
          </w:p>
        </w:tc>
        <w:tc>
          <w:tcPr>
            <w:tcW w:w="1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1.55%</w:t>
            </w:r>
          </w:p>
        </w:tc>
        <w:tc>
          <w:tcPr>
            <w:tcW w:w="1380" w:type="dxa"/>
            <w:vAlign w:val="bottom"/>
            <w:gridSpan w:val="2"/>
          </w:tcPr>
          <w:p>
            <w:pPr>
              <w:jc w:val="right"/>
              <w:spacing w:after="0"/>
              <w:rPr>
                <w:sz w:val="20"/>
                <w:szCs w:val="20"/>
                <w:color w:val="auto"/>
              </w:rPr>
            </w:pPr>
            <w:r>
              <w:rPr>
                <w:rFonts w:ascii="Arial" w:cs="Arial" w:eastAsia="Arial" w:hAnsi="Arial"/>
                <w:sz w:val="16"/>
                <w:szCs w:val="16"/>
                <w:color w:val="auto"/>
              </w:rPr>
              <w:t>0.35%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(767)</w:t>
            </w:r>
          </w:p>
        </w:tc>
        <w:tc>
          <w:tcPr>
            <w:tcW w:w="1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33"/>
        </w:trPr>
        <w:tc>
          <w:tcPr>
            <w:tcW w:w="44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Greater than 5 years and less than/equal to 7 years</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7,100</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1.41%</w:t>
            </w:r>
          </w:p>
        </w:tc>
        <w:tc>
          <w:tcPr>
            <w:tcW w:w="13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0.43%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(203)</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237"/>
        </w:trPr>
        <w:tc>
          <w:tcPr>
            <w:tcW w:w="4480" w:type="dxa"/>
            <w:vAlign w:val="bottom"/>
          </w:tcPr>
          <w:p>
            <w:pPr>
              <w:ind w:left="40"/>
              <w:spacing w:after="0"/>
              <w:rPr>
                <w:sz w:val="20"/>
                <w:szCs w:val="20"/>
                <w:color w:val="auto"/>
              </w:rPr>
            </w:pPr>
            <w:r>
              <w:rPr>
                <w:rFonts w:ascii="Arial" w:cs="Arial" w:eastAsia="Arial" w:hAnsi="Arial"/>
                <w:sz w:val="16"/>
                <w:szCs w:val="16"/>
                <w:color w:val="auto"/>
              </w:rPr>
              <w:t>Greater than 7 years and less than/equal to 10 years</w:t>
            </w:r>
          </w:p>
        </w:tc>
        <w:tc>
          <w:tcPr>
            <w:tcW w:w="260" w:type="dxa"/>
            <w:vAlign w:val="bottom"/>
          </w:tcPr>
          <w:p>
            <w:pPr>
              <w:spacing w:after="0"/>
              <w:rPr>
                <w:sz w:val="20"/>
                <w:szCs w:val="20"/>
                <w:color w:val="auto"/>
              </w:rPr>
            </w:pPr>
          </w:p>
        </w:tc>
        <w:tc>
          <w:tcPr>
            <w:tcW w:w="1060" w:type="dxa"/>
            <w:vAlign w:val="bottom"/>
          </w:tcPr>
          <w:p>
            <w:pPr>
              <w:jc w:val="right"/>
              <w:ind w:right="22"/>
              <w:spacing w:after="0"/>
              <w:rPr>
                <w:sz w:val="20"/>
                <w:szCs w:val="20"/>
                <w:color w:val="auto"/>
              </w:rPr>
            </w:pPr>
            <w:r>
              <w:rPr>
                <w:rFonts w:ascii="Arial" w:cs="Arial" w:eastAsia="Arial" w:hAnsi="Arial"/>
                <w:sz w:val="16"/>
                <w:szCs w:val="16"/>
                <w:color w:val="auto"/>
              </w:rPr>
              <w:t>5,200</w:t>
            </w:r>
          </w:p>
        </w:tc>
        <w:tc>
          <w:tcPr>
            <w:tcW w:w="1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1.89%</w:t>
            </w:r>
          </w:p>
        </w:tc>
        <w:tc>
          <w:tcPr>
            <w:tcW w:w="1380" w:type="dxa"/>
            <w:vAlign w:val="bottom"/>
            <w:gridSpan w:val="2"/>
          </w:tcPr>
          <w:p>
            <w:pPr>
              <w:jc w:val="right"/>
              <w:spacing w:after="0"/>
              <w:rPr>
                <w:sz w:val="20"/>
                <w:szCs w:val="20"/>
                <w:color w:val="auto"/>
              </w:rPr>
            </w:pPr>
            <w:r>
              <w:rPr>
                <w:rFonts w:ascii="Arial" w:cs="Arial" w:eastAsia="Arial" w:hAnsi="Arial"/>
                <w:sz w:val="16"/>
                <w:szCs w:val="16"/>
                <w:color w:val="auto"/>
              </w:rPr>
              <w:t>0.45%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(158)</w:t>
            </w:r>
          </w:p>
        </w:tc>
        <w:tc>
          <w:tcPr>
            <w:tcW w:w="1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9.4</w:t>
            </w:r>
          </w:p>
        </w:tc>
        <w:tc>
          <w:tcPr>
            <w:tcW w:w="0" w:type="dxa"/>
            <w:vAlign w:val="bottom"/>
          </w:tcPr>
          <w:p>
            <w:pPr>
              <w:spacing w:after="0"/>
              <w:rPr>
                <w:sz w:val="1"/>
                <w:szCs w:val="1"/>
                <w:color w:val="auto"/>
              </w:rPr>
            </w:pPr>
          </w:p>
        </w:tc>
      </w:tr>
      <w:tr>
        <w:trPr>
          <w:trHeight w:val="33"/>
        </w:trPr>
        <w:tc>
          <w:tcPr>
            <w:tcW w:w="44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480" w:type="dxa"/>
            <w:vAlign w:val="bottom"/>
            <w:shd w:val="clear" w:color="auto" w:fill="CCEEFF"/>
          </w:tcPr>
          <w:p>
            <w:pPr>
              <w:ind w:left="40"/>
              <w:spacing w:after="0"/>
              <w:rPr>
                <w:sz w:val="20"/>
                <w:szCs w:val="20"/>
                <w:color w:val="auto"/>
              </w:rPr>
            </w:pPr>
            <w:r>
              <w:rPr>
                <w:rFonts w:ascii="Arial" w:cs="Arial" w:eastAsia="Arial" w:hAnsi="Arial"/>
                <w:sz w:val="16"/>
                <w:szCs w:val="16"/>
                <w:color w:val="auto"/>
              </w:rPr>
              <w:t>Total Payer Interest Rate Swaps</w:t>
            </w: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48,850</w:t>
            </w:r>
          </w:p>
        </w:tc>
        <w:tc>
          <w:tcPr>
            <w:tcW w:w="120" w:type="dxa"/>
            <w:vAlign w:val="bottom"/>
            <w:shd w:val="clear" w:color="auto" w:fill="CCEEFF"/>
          </w:tcPr>
          <w:p>
            <w:pPr>
              <w:spacing w:after="0"/>
              <w:rPr>
                <w:sz w:val="21"/>
                <w:szCs w:val="21"/>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1.43%</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0.35%</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(1,436)</w:t>
            </w:r>
          </w:p>
        </w:tc>
        <w:tc>
          <w:tcPr>
            <w:tcW w:w="12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w:t>
            </w:r>
          </w:p>
        </w:tc>
        <w:tc>
          <w:tcPr>
            <w:tcW w:w="0" w:type="dxa"/>
            <w:vAlign w:val="bottom"/>
          </w:tcPr>
          <w:p>
            <w:pPr>
              <w:spacing w:after="0"/>
              <w:rPr>
                <w:sz w:val="1"/>
                <w:szCs w:val="1"/>
                <w:color w:val="auto"/>
              </w:rPr>
            </w:pPr>
          </w:p>
        </w:tc>
      </w:tr>
      <w:tr>
        <w:trPr>
          <w:trHeight w:val="20"/>
        </w:trPr>
        <w:tc>
          <w:tcPr>
            <w:tcW w:w="44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________________________</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48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Amounts include forward starting swaps of $3.1 billion ranging up to six months from September 30, 2012.</w:t>
      </w:r>
    </w:p>
    <w:p>
      <w:pPr>
        <w:spacing w:after="0" w:line="309" w:lineRule="exact"/>
        <w:rPr>
          <w:sz w:val="20"/>
          <w:szCs w:val="20"/>
          <w:color w:val="auto"/>
        </w:rPr>
      </w:pPr>
    </w:p>
    <w:tbl>
      <w:tblPr>
        <w:tblLayout w:type="fixed"/>
        <w:tblInd w:w="80" w:type="dxa"/>
        <w:tblCellMar>
          <w:top w:w="0" w:type="dxa"/>
          <w:left w:w="0" w:type="dxa"/>
          <w:bottom w:w="0" w:type="dxa"/>
          <w:right w:w="0" w:type="dxa"/>
        </w:tblCellMar>
      </w:tblPr>
      <w:tr>
        <w:trPr>
          <w:trHeight w:val="192"/>
        </w:trPr>
        <w:tc>
          <w:tcPr>
            <w:tcW w:w="45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ind w:left="100"/>
              <w:spacing w:after="0"/>
              <w:rPr>
                <w:sz w:val="20"/>
                <w:szCs w:val="20"/>
                <w:color w:val="auto"/>
              </w:rPr>
            </w:pPr>
            <w:r>
              <w:rPr>
                <w:rFonts w:ascii="Arial" w:cs="Arial" w:eastAsia="Arial" w:hAnsi="Arial"/>
                <w:sz w:val="14"/>
                <w:szCs w:val="14"/>
                <w:b w:val="1"/>
                <w:bCs w:val="1"/>
                <w:color w:val="auto"/>
              </w:rPr>
              <w:t>December 31, 2011</w:t>
            </w: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Notional</w:t>
            </w:r>
          </w:p>
        </w:tc>
        <w:tc>
          <w:tcPr>
            <w:tcW w:w="128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3"/>
                <w:szCs w:val="13"/>
                <w:color w:val="auto"/>
              </w:rPr>
            </w:pPr>
          </w:p>
        </w:tc>
        <w:tc>
          <w:tcPr>
            <w:tcW w:w="1400" w:type="dxa"/>
            <w:vAlign w:val="bottom"/>
            <w:gridSpan w:val="2"/>
            <w:vMerge w:val="restart"/>
          </w:tcPr>
          <w:p>
            <w:pPr>
              <w:ind w:left="400"/>
              <w:spacing w:after="0"/>
              <w:rPr>
                <w:sz w:val="20"/>
                <w:szCs w:val="20"/>
                <w:color w:val="auto"/>
              </w:rPr>
            </w:pPr>
            <w:r>
              <w:rPr>
                <w:rFonts w:ascii="Arial" w:cs="Arial" w:eastAsia="Arial" w:hAnsi="Arial"/>
                <w:sz w:val="14"/>
                <w:szCs w:val="14"/>
                <w:b w:val="1"/>
                <w:bCs w:val="1"/>
                <w:color w:val="auto"/>
              </w:rPr>
              <w:t>Average</w:t>
            </w:r>
          </w:p>
        </w:tc>
        <w:tc>
          <w:tcPr>
            <w:tcW w:w="220" w:type="dxa"/>
            <w:vAlign w:val="bottom"/>
          </w:tcPr>
          <w:p>
            <w:pPr>
              <w:spacing w:after="0"/>
              <w:rPr>
                <w:sz w:val="13"/>
                <w:szCs w:val="13"/>
                <w:color w:val="auto"/>
              </w:rPr>
            </w:pPr>
          </w:p>
        </w:tc>
        <w:tc>
          <w:tcPr>
            <w:tcW w:w="12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Net</w:t>
            </w:r>
          </w:p>
        </w:tc>
        <w:tc>
          <w:tcPr>
            <w:tcW w:w="11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4"/>
              </w:rPr>
              <w:t>Average</w:t>
            </w:r>
          </w:p>
        </w:tc>
        <w:tc>
          <w:tcPr>
            <w:tcW w:w="0" w:type="dxa"/>
            <w:vAlign w:val="bottom"/>
          </w:tcPr>
          <w:p>
            <w:pPr>
              <w:spacing w:after="0"/>
              <w:rPr>
                <w:sz w:val="1"/>
                <w:szCs w:val="1"/>
                <w:color w:val="auto"/>
              </w:rPr>
            </w:pPr>
          </w:p>
        </w:tc>
      </w:tr>
      <w:tr>
        <w:trPr>
          <w:trHeight w:val="149"/>
        </w:trPr>
        <w:tc>
          <w:tcPr>
            <w:tcW w:w="454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8"/>
              </w:rPr>
              <w:t>Payer Interest Rate Swaps Not Designated as Hedging Instruments</w:t>
            </w:r>
            <w:r>
              <w:rPr>
                <w:rFonts w:ascii="Arial" w:cs="Arial" w:eastAsia="Arial" w:hAnsi="Arial"/>
                <w:sz w:val="8"/>
                <w:szCs w:val="8"/>
                <w:b w:val="1"/>
                <w:bCs w:val="1"/>
                <w:color w:val="auto"/>
                <w:w w:val="98"/>
              </w:rPr>
              <w:t>(1)</w:t>
            </w:r>
          </w:p>
        </w:tc>
        <w:tc>
          <w:tcPr>
            <w:tcW w:w="2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2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Fixed</w:t>
            </w:r>
          </w:p>
        </w:tc>
        <w:tc>
          <w:tcPr>
            <w:tcW w:w="10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Estimated</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4540" w:type="dxa"/>
            <w:vAlign w:val="bottom"/>
            <w:tcBorders>
              <w:bottom w:val="single" w:sz="8" w:color="auto"/>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42"/>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Pay Rate</w:t>
            </w:r>
          </w:p>
        </w:tc>
        <w:tc>
          <w:tcPr>
            <w:tcW w:w="10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Receive Rate</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62"/>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Three years or less</w:t>
            </w: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11,350</w:t>
            </w:r>
          </w:p>
        </w:tc>
        <w:tc>
          <w:tcPr>
            <w:tcW w:w="1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1.22%</w:t>
            </w:r>
          </w:p>
        </w:tc>
        <w:tc>
          <w:tcPr>
            <w:tcW w:w="13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0.30%</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(148)</w:t>
            </w: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37"/>
        </w:trPr>
        <w:tc>
          <w:tcPr>
            <w:tcW w:w="4540" w:type="dxa"/>
            <w:vAlign w:val="bottom"/>
          </w:tcPr>
          <w:p>
            <w:pPr>
              <w:ind w:left="40"/>
              <w:spacing w:after="0"/>
              <w:rPr>
                <w:sz w:val="20"/>
                <w:szCs w:val="20"/>
                <w:color w:val="auto"/>
              </w:rPr>
            </w:pPr>
            <w:r>
              <w:rPr>
                <w:rFonts w:ascii="Arial" w:cs="Arial" w:eastAsia="Arial" w:hAnsi="Arial"/>
                <w:sz w:val="16"/>
                <w:szCs w:val="16"/>
                <w:color w:val="auto"/>
              </w:rPr>
              <w:t>Greater than 3 years and less than/equal to 5 years</w:t>
            </w:r>
          </w:p>
        </w:tc>
        <w:tc>
          <w:tcPr>
            <w:tcW w:w="260" w:type="dxa"/>
            <w:vAlign w:val="bottom"/>
          </w:tcPr>
          <w:p>
            <w:pPr>
              <w:spacing w:after="0"/>
              <w:rPr>
                <w:sz w:val="20"/>
                <w:szCs w:val="20"/>
                <w:color w:val="auto"/>
              </w:rPr>
            </w:pP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16,700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1.77%</w:t>
            </w:r>
          </w:p>
        </w:tc>
        <w:tc>
          <w:tcPr>
            <w:tcW w:w="1380" w:type="dxa"/>
            <w:vAlign w:val="bottom"/>
            <w:gridSpan w:val="2"/>
          </w:tcPr>
          <w:p>
            <w:pPr>
              <w:jc w:val="right"/>
              <w:spacing w:after="0"/>
              <w:rPr>
                <w:sz w:val="20"/>
                <w:szCs w:val="20"/>
                <w:color w:val="auto"/>
              </w:rPr>
            </w:pPr>
            <w:r>
              <w:rPr>
                <w:rFonts w:ascii="Arial" w:cs="Arial" w:eastAsia="Arial" w:hAnsi="Arial"/>
                <w:sz w:val="16"/>
                <w:szCs w:val="16"/>
                <w:color w:val="auto"/>
              </w:rPr>
              <w:t>0.35%</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(607)</w:t>
            </w:r>
          </w:p>
        </w:tc>
        <w:tc>
          <w:tcPr>
            <w:tcW w:w="10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3.9</w:t>
            </w:r>
          </w:p>
        </w:tc>
        <w:tc>
          <w:tcPr>
            <w:tcW w:w="0" w:type="dxa"/>
            <w:vAlign w:val="bottom"/>
          </w:tcPr>
          <w:p>
            <w:pPr>
              <w:spacing w:after="0"/>
              <w:rPr>
                <w:sz w:val="1"/>
                <w:szCs w:val="1"/>
                <w:color w:val="auto"/>
              </w:rPr>
            </w:pPr>
          </w:p>
        </w:tc>
      </w:tr>
      <w:tr>
        <w:trPr>
          <w:trHeight w:val="33"/>
        </w:trPr>
        <w:tc>
          <w:tcPr>
            <w:tcW w:w="4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Greater than 5 years and less than/equal to 7 years</w:t>
            </w: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950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1.56%</w:t>
            </w:r>
          </w:p>
        </w:tc>
        <w:tc>
          <w:tcPr>
            <w:tcW w:w="13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0.57%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5.7</w:t>
            </w:r>
          </w:p>
        </w:tc>
        <w:tc>
          <w:tcPr>
            <w:tcW w:w="0" w:type="dxa"/>
            <w:vAlign w:val="bottom"/>
          </w:tcPr>
          <w:p>
            <w:pPr>
              <w:spacing w:after="0"/>
              <w:rPr>
                <w:sz w:val="1"/>
                <w:szCs w:val="1"/>
                <w:color w:val="auto"/>
              </w:rPr>
            </w:pPr>
          </w:p>
        </w:tc>
      </w:tr>
      <w:tr>
        <w:trPr>
          <w:trHeight w:val="237"/>
        </w:trPr>
        <w:tc>
          <w:tcPr>
            <w:tcW w:w="4540" w:type="dxa"/>
            <w:vAlign w:val="bottom"/>
          </w:tcPr>
          <w:p>
            <w:pPr>
              <w:ind w:left="40"/>
              <w:spacing w:after="0"/>
              <w:rPr>
                <w:sz w:val="20"/>
                <w:szCs w:val="20"/>
                <w:color w:val="auto"/>
              </w:rPr>
            </w:pPr>
            <w:r>
              <w:rPr>
                <w:rFonts w:ascii="Arial" w:cs="Arial" w:eastAsia="Arial" w:hAnsi="Arial"/>
                <w:sz w:val="16"/>
                <w:szCs w:val="16"/>
                <w:color w:val="auto"/>
              </w:rPr>
              <w:t>Greater than 7 years and less than/equal to 10 years</w:t>
            </w:r>
          </w:p>
        </w:tc>
        <w:tc>
          <w:tcPr>
            <w:tcW w:w="260" w:type="dxa"/>
            <w:vAlign w:val="bottom"/>
          </w:tcPr>
          <w:p>
            <w:pPr>
              <w:spacing w:after="0"/>
              <w:rPr>
                <w:sz w:val="20"/>
                <w:szCs w:val="20"/>
                <w:color w:val="auto"/>
              </w:rPr>
            </w:pP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1,250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1.99%</w:t>
            </w:r>
          </w:p>
        </w:tc>
        <w:tc>
          <w:tcPr>
            <w:tcW w:w="1380" w:type="dxa"/>
            <w:vAlign w:val="bottom"/>
            <w:gridSpan w:val="2"/>
          </w:tcPr>
          <w:p>
            <w:pPr>
              <w:jc w:val="right"/>
              <w:spacing w:after="0"/>
              <w:rPr>
                <w:sz w:val="20"/>
                <w:szCs w:val="20"/>
                <w:color w:val="auto"/>
              </w:rPr>
            </w:pPr>
            <w:r>
              <w:rPr>
                <w:rFonts w:ascii="Arial" w:cs="Arial" w:eastAsia="Arial" w:hAnsi="Arial"/>
                <w:sz w:val="16"/>
                <w:szCs w:val="16"/>
                <w:color w:val="auto"/>
              </w:rPr>
              <w:t>0.55%</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(18)</w:t>
            </w:r>
          </w:p>
        </w:tc>
        <w:tc>
          <w:tcPr>
            <w:tcW w:w="10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8.2</w:t>
            </w:r>
          </w:p>
        </w:tc>
        <w:tc>
          <w:tcPr>
            <w:tcW w:w="0" w:type="dxa"/>
            <w:vAlign w:val="bottom"/>
          </w:tcPr>
          <w:p>
            <w:pPr>
              <w:spacing w:after="0"/>
              <w:rPr>
                <w:sz w:val="1"/>
                <w:szCs w:val="1"/>
                <w:color w:val="auto"/>
              </w:rPr>
            </w:pPr>
          </w:p>
        </w:tc>
      </w:tr>
      <w:tr>
        <w:trPr>
          <w:trHeight w:val="33"/>
        </w:trPr>
        <w:tc>
          <w:tcPr>
            <w:tcW w:w="45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40" w:type="dxa"/>
            <w:vAlign w:val="bottom"/>
            <w:shd w:val="clear" w:color="auto" w:fill="CCEEFF"/>
          </w:tcPr>
          <w:p>
            <w:pPr>
              <w:ind w:left="40"/>
              <w:spacing w:after="0"/>
              <w:rPr>
                <w:sz w:val="20"/>
                <w:szCs w:val="20"/>
                <w:color w:val="auto"/>
              </w:rPr>
            </w:pPr>
            <w:r>
              <w:rPr>
                <w:rFonts w:ascii="Arial" w:cs="Arial" w:eastAsia="Arial" w:hAnsi="Arial"/>
                <w:sz w:val="16"/>
                <w:szCs w:val="16"/>
                <w:color w:val="auto"/>
              </w:rPr>
              <w:t>Total Payer Interest Rate Swaps</w:t>
            </w:r>
          </w:p>
        </w:tc>
        <w:tc>
          <w:tcPr>
            <w:tcW w:w="26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0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30,250</w:t>
            </w:r>
          </w:p>
        </w:tc>
        <w:tc>
          <w:tcPr>
            <w:tcW w:w="120" w:type="dxa"/>
            <w:vAlign w:val="bottom"/>
            <w:shd w:val="clear" w:color="auto" w:fill="CCEEFF"/>
          </w:tcPr>
          <w:p>
            <w:pPr>
              <w:spacing w:after="0"/>
              <w:rPr>
                <w:sz w:val="21"/>
                <w:szCs w:val="21"/>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0.35%</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(782)</w:t>
            </w:r>
          </w:p>
        </w:tc>
        <w:tc>
          <w:tcPr>
            <w:tcW w:w="100" w:type="dxa"/>
            <w:vAlign w:val="bottom"/>
            <w:shd w:val="clear" w:color="auto" w:fill="CCEEFF"/>
          </w:tcPr>
          <w:p>
            <w:pPr>
              <w:spacing w:after="0"/>
              <w:rPr>
                <w:sz w:val="21"/>
                <w:szCs w:val="21"/>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w:t>
            </w:r>
          </w:p>
        </w:tc>
        <w:tc>
          <w:tcPr>
            <w:tcW w:w="0" w:type="dxa"/>
            <w:vAlign w:val="bottom"/>
          </w:tcPr>
          <w:p>
            <w:pPr>
              <w:spacing w:after="0"/>
              <w:rPr>
                <w:sz w:val="1"/>
                <w:szCs w:val="1"/>
                <w:color w:val="auto"/>
              </w:rPr>
            </w:pPr>
          </w:p>
        </w:tc>
      </w:tr>
      <w:tr>
        <w:trPr>
          <w:trHeight w:val="20"/>
        </w:trPr>
        <w:tc>
          <w:tcPr>
            <w:tcW w:w="4540" w:type="dxa"/>
            <w:vAlign w:val="bottom"/>
            <w:tcBorders>
              <w:top w:val="single" w:sz="8" w:color="CCEEFF"/>
              <w:bottom w:val="single" w:sz="8" w:color="CCEEFF"/>
            </w:tcBorders>
            <w:vMerge w:val="restart"/>
          </w:tcPr>
          <w:p>
            <w:pPr>
              <w:ind w:left="60"/>
              <w:spacing w:after="0"/>
              <w:rPr>
                <w:sz w:val="20"/>
                <w:szCs w:val="20"/>
                <w:color w:val="auto"/>
              </w:rPr>
            </w:pPr>
            <w:r>
              <w:rPr>
                <w:rFonts w:ascii="Arial" w:cs="Arial" w:eastAsia="Arial" w:hAnsi="Arial"/>
                <w:sz w:val="18"/>
                <w:szCs w:val="18"/>
                <w:color w:val="auto"/>
              </w:rPr>
              <w:t>________________________</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54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Amounts include forward starting swaps of $2.6 billion ranging up to five months from December 31, 2011.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806" w:right="239" w:bottom="1440" w:gutter="0" w:footer="0" w:header="0"/>
        </w:sectPr>
      </w:pPr>
    </w:p>
    <w:bookmarkStart w:id="21" w:name="page22"/>
    <w:bookmarkEnd w:id="21"/>
    <w:p>
      <w:pPr>
        <w:ind w:right="20" w:firstLine="432"/>
        <w:spacing w:after="0" w:line="277" w:lineRule="auto"/>
        <w:rPr>
          <w:sz w:val="20"/>
          <w:szCs w:val="20"/>
          <w:color w:val="auto"/>
        </w:rPr>
      </w:pPr>
      <w:r>
        <w:rPr>
          <w:rFonts w:ascii="Arial" w:cs="Arial" w:eastAsia="Arial" w:hAnsi="Arial"/>
          <w:sz w:val="18"/>
          <w:szCs w:val="18"/>
          <w:color w:val="auto"/>
        </w:rPr>
        <w:t>The following table summarizes our interest rate swaption agreements outstanding as of September 30, 2012 and December 31, 2011 (dollars in millions).</w:t>
      </w:r>
    </w:p>
    <w:p>
      <w:pPr>
        <w:spacing w:after="0" w:line="338" w:lineRule="exact"/>
        <w:rPr>
          <w:sz w:val="20"/>
          <w:szCs w:val="20"/>
          <w:color w:val="auto"/>
        </w:rPr>
      </w:pPr>
    </w:p>
    <w:tbl>
      <w:tblPr>
        <w:tblLayout w:type="fixed"/>
        <w:tblInd w:w="80" w:type="dxa"/>
        <w:tblCellMar>
          <w:top w:w="0" w:type="dxa"/>
          <w:left w:w="0" w:type="dxa"/>
          <w:bottom w:w="0" w:type="dxa"/>
          <w:right w:w="0" w:type="dxa"/>
        </w:tblCellMar>
      </w:tblPr>
      <w:tr>
        <w:trPr>
          <w:trHeight w:val="192"/>
        </w:trPr>
        <w:tc>
          <w:tcPr>
            <w:tcW w:w="2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4"/>
          </w:tcPr>
          <w:p>
            <w:pPr>
              <w:ind w:left="320"/>
              <w:spacing w:after="0"/>
              <w:rPr>
                <w:sz w:val="20"/>
                <w:szCs w:val="20"/>
                <w:color w:val="auto"/>
              </w:rPr>
            </w:pPr>
            <w:r>
              <w:rPr>
                <w:rFonts w:ascii="Arial" w:cs="Arial" w:eastAsia="Arial" w:hAnsi="Arial"/>
                <w:sz w:val="14"/>
                <w:szCs w:val="14"/>
                <w:b w:val="1"/>
                <w:bCs w:val="1"/>
                <w:color w:val="auto"/>
              </w:rPr>
              <w:t>Option</w:t>
            </w:r>
          </w:p>
        </w:tc>
        <w:tc>
          <w:tcPr>
            <w:tcW w:w="2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960" w:type="dxa"/>
            <w:vAlign w:val="bottom"/>
            <w:tcBorders>
              <w:bottom w:val="single" w:sz="8" w:color="auto"/>
            </w:tcBorders>
            <w:gridSpan w:val="4"/>
          </w:tcPr>
          <w:p>
            <w:pPr>
              <w:ind w:left="860"/>
              <w:spacing w:after="0"/>
              <w:rPr>
                <w:sz w:val="20"/>
                <w:szCs w:val="20"/>
                <w:color w:val="auto"/>
              </w:rPr>
            </w:pPr>
            <w:r>
              <w:rPr>
                <w:rFonts w:ascii="Arial" w:cs="Arial" w:eastAsia="Arial" w:hAnsi="Arial"/>
                <w:sz w:val="14"/>
                <w:szCs w:val="14"/>
                <w:b w:val="1"/>
                <w:bCs w:val="1"/>
                <w:color w:val="auto"/>
              </w:rPr>
              <w:t>Underlying Swap</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vMerge w:val="restart"/>
          </w:tcPr>
          <w:p>
            <w:pPr>
              <w:ind w:left="360"/>
              <w:spacing w:after="0"/>
              <w:rPr>
                <w:sz w:val="20"/>
                <w:szCs w:val="20"/>
                <w:color w:val="auto"/>
              </w:rPr>
            </w:pPr>
            <w:r>
              <w:rPr>
                <w:rFonts w:ascii="Arial" w:cs="Arial" w:eastAsia="Arial" w:hAnsi="Arial"/>
                <w:sz w:val="14"/>
                <w:szCs w:val="14"/>
                <w:b w:val="1"/>
                <w:bCs w:val="1"/>
                <w:color w:val="auto"/>
              </w:rPr>
              <w:t>Fair</w:t>
            </w: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jc w:val="center"/>
              <w:ind w:left="108"/>
              <w:spacing w:after="0" w:line="153"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Notional</w:t>
            </w:r>
          </w:p>
        </w:tc>
        <w:tc>
          <w:tcPr>
            <w:tcW w:w="118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1"/>
              </w:rPr>
              <w:t>Average Fixed</w:t>
            </w:r>
          </w:p>
        </w:tc>
        <w:tc>
          <w:tcPr>
            <w:tcW w:w="17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25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Payer Swaptions</w:t>
            </w:r>
          </w:p>
        </w:tc>
        <w:tc>
          <w:tcPr>
            <w:tcW w:w="120" w:type="dxa"/>
            <w:vAlign w:val="bottom"/>
            <w:vMerge w:val="restart"/>
          </w:tcPr>
          <w:p>
            <w:pPr>
              <w:spacing w:after="0"/>
              <w:rPr>
                <w:sz w:val="12"/>
                <w:szCs w:val="12"/>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Cost</w:t>
            </w: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jc w:val="center"/>
              <w:ind w:left="128"/>
              <w:spacing w:after="0" w:line="149" w:lineRule="exact"/>
              <w:rPr>
                <w:sz w:val="20"/>
                <w:szCs w:val="20"/>
                <w:color w:val="auto"/>
              </w:rPr>
            </w:pPr>
            <w:r>
              <w:rPr>
                <w:rFonts w:ascii="Arial" w:cs="Arial" w:eastAsia="Arial" w:hAnsi="Arial"/>
                <w:sz w:val="14"/>
                <w:szCs w:val="14"/>
                <w:b w:val="1"/>
                <w:bCs w:val="1"/>
                <w:color w:val="auto"/>
                <w:w w:val="95"/>
              </w:rPr>
              <w:t>Months to</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1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Pay</w:t>
            </w:r>
          </w:p>
        </w:tc>
        <w:tc>
          <w:tcPr>
            <w:tcW w:w="17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Receive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9"/>
              </w:rPr>
              <w:t>Term</w:t>
            </w:r>
          </w:p>
        </w:tc>
        <w:tc>
          <w:tcPr>
            <w:tcW w:w="0" w:type="dxa"/>
            <w:vAlign w:val="bottom"/>
          </w:tcPr>
          <w:p>
            <w:pPr>
              <w:spacing w:after="0"/>
              <w:rPr>
                <w:sz w:val="1"/>
                <w:szCs w:val="1"/>
                <w:color w:val="auto"/>
              </w:rPr>
            </w:pPr>
          </w:p>
        </w:tc>
      </w:tr>
      <w:tr>
        <w:trPr>
          <w:trHeight w:val="192"/>
        </w:trPr>
        <w:tc>
          <w:tcPr>
            <w:tcW w:w="25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700" w:type="dxa"/>
            <w:vAlign w:val="bottom"/>
            <w:tcBorders>
              <w:bottom w:val="single" w:sz="8" w:color="auto"/>
            </w:tcBorders>
          </w:tcPr>
          <w:p>
            <w:pPr>
              <w:ind w:left="320"/>
              <w:spacing w:after="0"/>
              <w:rPr>
                <w:sz w:val="20"/>
                <w:szCs w:val="20"/>
                <w:color w:val="auto"/>
              </w:rPr>
            </w:pPr>
            <w:r>
              <w:rPr>
                <w:rFonts w:ascii="Arial" w:cs="Arial" w:eastAsia="Arial" w:hAnsi="Arial"/>
                <w:sz w:val="14"/>
                <w:szCs w:val="14"/>
                <w:b w:val="1"/>
                <w:bCs w:val="1"/>
                <w:color w:val="auto"/>
                <w:w w:val="96"/>
              </w:rPr>
              <w:t>Value</w:t>
            </w:r>
          </w:p>
        </w:tc>
        <w:tc>
          <w:tcPr>
            <w:tcW w:w="2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ind w:left="128"/>
              <w:spacing w:after="0"/>
              <w:rPr>
                <w:sz w:val="20"/>
                <w:szCs w:val="20"/>
                <w:color w:val="auto"/>
              </w:rPr>
            </w:pPr>
            <w:r>
              <w:rPr>
                <w:rFonts w:ascii="Arial" w:cs="Arial" w:eastAsia="Arial" w:hAnsi="Arial"/>
                <w:sz w:val="14"/>
                <w:szCs w:val="14"/>
                <w:b w:val="1"/>
                <w:bCs w:val="1"/>
                <w:color w:val="auto"/>
                <w:w w:val="99"/>
              </w:rPr>
              <w:t>Expiration</w:t>
            </w: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23"/>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20" w:type="dxa"/>
            <w:vAlign w:val="bottom"/>
            <w:tcBorders>
              <w:bottom w:val="single" w:sz="8" w:color="CCEEFF"/>
            </w:tcBorders>
          </w:tcPr>
          <w:p>
            <w:pPr>
              <w:spacing w:after="0"/>
              <w:rPr>
                <w:sz w:val="16"/>
                <w:szCs w:val="16"/>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2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As of September 30, 2012</w:t>
            </w:r>
          </w:p>
        </w:tc>
        <w:tc>
          <w:tcPr>
            <w:tcW w:w="680" w:type="dxa"/>
            <w:vAlign w:val="bottom"/>
            <w:tcBorders>
              <w:bottom w:val="single" w:sz="8" w:color="CCEEFF"/>
            </w:tcBorders>
            <w:shd w:val="clear" w:color="auto" w:fill="CCEEFF"/>
          </w:tcPr>
          <w:p>
            <w:pPr>
              <w:jc w:val="right"/>
              <w:ind w:right="482"/>
              <w:spacing w:after="0"/>
              <w:rPr>
                <w:sz w:val="20"/>
                <w:szCs w:val="20"/>
                <w:color w:val="auto"/>
              </w:rPr>
            </w:pPr>
            <w:r>
              <w:rPr>
                <w:rFonts w:ascii="Arial" w:cs="Arial" w:eastAsia="Arial" w:hAnsi="Arial"/>
                <w:sz w:val="16"/>
                <w:szCs w:val="16"/>
                <w:color w:val="auto"/>
              </w:rPr>
              <w:t>$</w:t>
            </w:r>
          </w:p>
        </w:tc>
        <w:tc>
          <w:tcPr>
            <w:tcW w:w="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2"/>
              </w:rPr>
              <w:t>152</w:t>
            </w:r>
          </w:p>
        </w:tc>
        <w:tc>
          <w:tcPr>
            <w:tcW w:w="14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ind w:right="524"/>
              <w:spacing w:after="0"/>
              <w:rPr>
                <w:sz w:val="20"/>
                <w:szCs w:val="20"/>
                <w:color w:val="auto"/>
              </w:rPr>
            </w:pPr>
            <w:r>
              <w:rPr>
                <w:rFonts w:ascii="Arial" w:cs="Arial" w:eastAsia="Arial" w:hAnsi="Arial"/>
                <w:sz w:val="16"/>
                <w:szCs w:val="16"/>
                <w:color w:val="auto"/>
                <w:w w:val="89"/>
              </w:rPr>
              <w:t>$</w:t>
            </w:r>
          </w:p>
        </w:tc>
        <w:tc>
          <w:tcPr>
            <w:tcW w:w="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57</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19</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8,550</w:t>
            </w:r>
          </w:p>
        </w:tc>
        <w:tc>
          <w:tcPr>
            <w:tcW w:w="1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3.30%</w:t>
            </w:r>
          </w:p>
        </w:tc>
        <w:tc>
          <w:tcPr>
            <w:tcW w:w="12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1M / 3M LIBOR</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7.7</w:t>
            </w:r>
          </w:p>
        </w:tc>
        <w:tc>
          <w:tcPr>
            <w:tcW w:w="0" w:type="dxa"/>
            <w:vAlign w:val="bottom"/>
          </w:tcPr>
          <w:p>
            <w:pPr>
              <w:spacing w:after="0"/>
              <w:rPr>
                <w:sz w:val="1"/>
                <w:szCs w:val="1"/>
                <w:color w:val="auto"/>
              </w:rPr>
            </w:pPr>
          </w:p>
        </w:tc>
      </w:tr>
      <w:tr>
        <w:trPr>
          <w:trHeight w:val="237"/>
        </w:trPr>
        <w:tc>
          <w:tcPr>
            <w:tcW w:w="2620" w:type="dxa"/>
            <w:vAlign w:val="bottom"/>
            <w:gridSpan w:val="2"/>
          </w:tcPr>
          <w:p>
            <w:pPr>
              <w:ind w:left="40"/>
              <w:spacing w:after="0"/>
              <w:rPr>
                <w:sz w:val="20"/>
                <w:szCs w:val="20"/>
                <w:color w:val="auto"/>
              </w:rPr>
            </w:pPr>
            <w:r>
              <w:rPr>
                <w:rFonts w:ascii="Arial" w:cs="Arial" w:eastAsia="Arial" w:hAnsi="Arial"/>
                <w:sz w:val="16"/>
                <w:szCs w:val="16"/>
                <w:color w:val="auto"/>
              </w:rPr>
              <w:t>As of December 31, 2011</w:t>
            </w:r>
          </w:p>
        </w:tc>
        <w:tc>
          <w:tcPr>
            <w:tcW w:w="680" w:type="dxa"/>
            <w:vAlign w:val="bottom"/>
          </w:tcPr>
          <w:p>
            <w:pPr>
              <w:jc w:val="right"/>
              <w:ind w:right="482"/>
              <w:spacing w:after="0"/>
              <w:rPr>
                <w:sz w:val="20"/>
                <w:szCs w:val="20"/>
                <w:color w:val="auto"/>
              </w:rPr>
            </w:pPr>
            <w:r>
              <w:rPr>
                <w:rFonts w:ascii="Arial" w:cs="Arial" w:eastAsia="Arial" w:hAnsi="Arial"/>
                <w:sz w:val="16"/>
                <w:szCs w:val="16"/>
                <w:color w:val="auto"/>
              </w:rPr>
              <w:t>$</w:t>
            </w:r>
          </w:p>
        </w:tc>
        <w:tc>
          <w:tcPr>
            <w:tcW w:w="360" w:type="dxa"/>
            <w:vAlign w:val="bottom"/>
          </w:tcPr>
          <w:p>
            <w:pPr>
              <w:jc w:val="right"/>
              <w:ind w:right="39"/>
              <w:spacing w:after="0"/>
              <w:rPr>
                <w:sz w:val="20"/>
                <w:szCs w:val="20"/>
                <w:color w:val="auto"/>
              </w:rPr>
            </w:pPr>
            <w:r>
              <w:rPr>
                <w:rFonts w:ascii="Arial" w:cs="Arial" w:eastAsia="Arial" w:hAnsi="Arial"/>
                <w:sz w:val="16"/>
                <w:szCs w:val="16"/>
                <w:color w:val="auto"/>
              </w:rPr>
              <w:t>49</w:t>
            </w:r>
          </w:p>
        </w:tc>
        <w:tc>
          <w:tcPr>
            <w:tcW w:w="140" w:type="dxa"/>
            <w:vAlign w:val="bottom"/>
          </w:tcPr>
          <w:p>
            <w:pPr>
              <w:spacing w:after="0"/>
              <w:rPr>
                <w:sz w:val="20"/>
                <w:szCs w:val="20"/>
                <w:color w:val="auto"/>
              </w:rPr>
            </w:pPr>
          </w:p>
        </w:tc>
        <w:tc>
          <w:tcPr>
            <w:tcW w:w="700" w:type="dxa"/>
            <w:vAlign w:val="bottom"/>
          </w:tcPr>
          <w:p>
            <w:pPr>
              <w:jc w:val="right"/>
              <w:ind w:right="524"/>
              <w:spacing w:after="0"/>
              <w:rPr>
                <w:sz w:val="20"/>
                <w:szCs w:val="20"/>
                <w:color w:val="auto"/>
              </w:rPr>
            </w:pPr>
            <w:r>
              <w:rPr>
                <w:rFonts w:ascii="Arial" w:cs="Arial" w:eastAsia="Arial" w:hAnsi="Arial"/>
                <w:sz w:val="16"/>
                <w:szCs w:val="16"/>
                <w:color w:val="auto"/>
                <w:w w:val="89"/>
              </w:rPr>
              <w:t>$</w:t>
            </w:r>
          </w:p>
        </w:tc>
        <w:tc>
          <w:tcPr>
            <w:tcW w:w="280" w:type="dxa"/>
            <w:vAlign w:val="bottom"/>
          </w:tcPr>
          <w:p>
            <w:pPr>
              <w:jc w:val="right"/>
              <w:ind w:right="19"/>
              <w:spacing w:after="0"/>
              <w:rPr>
                <w:sz w:val="20"/>
                <w:szCs w:val="20"/>
                <w:color w:val="auto"/>
              </w:rPr>
            </w:pPr>
            <w:r>
              <w:rPr>
                <w:rFonts w:ascii="Arial" w:cs="Arial" w:eastAsia="Arial" w:hAnsi="Arial"/>
                <w:sz w:val="16"/>
                <w:szCs w:val="16"/>
                <w:color w:val="auto"/>
                <w:w w:val="89"/>
              </w:rPr>
              <w:t>11</w:t>
            </w: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7</w:t>
            </w:r>
          </w:p>
        </w:tc>
        <w:tc>
          <w:tcPr>
            <w:tcW w:w="10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23"/>
              <w:spacing w:after="0"/>
              <w:rPr>
                <w:sz w:val="20"/>
                <w:szCs w:val="20"/>
                <w:color w:val="auto"/>
              </w:rPr>
            </w:pPr>
            <w:r>
              <w:rPr>
                <w:rFonts w:ascii="Arial" w:cs="Arial" w:eastAsia="Arial" w:hAnsi="Arial"/>
                <w:sz w:val="16"/>
                <w:szCs w:val="16"/>
                <w:color w:val="auto"/>
              </w:rPr>
              <w:t>3,200</w:t>
            </w:r>
          </w:p>
        </w:tc>
        <w:tc>
          <w:tcPr>
            <w:tcW w:w="1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3.41%</w:t>
            </w:r>
          </w:p>
        </w:tc>
        <w:tc>
          <w:tcPr>
            <w:tcW w:w="120" w:type="dxa"/>
            <w:vAlign w:val="bottom"/>
          </w:tcPr>
          <w:p>
            <w:pPr>
              <w:spacing w:after="0"/>
              <w:rPr>
                <w:sz w:val="20"/>
                <w:szCs w:val="20"/>
                <w:color w:val="auto"/>
              </w:rPr>
            </w:pPr>
          </w:p>
        </w:tc>
        <w:tc>
          <w:tcPr>
            <w:tcW w:w="1780" w:type="dxa"/>
            <w:vAlign w:val="bottom"/>
            <w:gridSpan w:val="2"/>
          </w:tcPr>
          <w:p>
            <w:pPr>
              <w:ind w:left="20"/>
              <w:spacing w:after="0"/>
              <w:rPr>
                <w:sz w:val="20"/>
                <w:szCs w:val="20"/>
                <w:color w:val="auto"/>
              </w:rPr>
            </w:pPr>
            <w:r>
              <w:rPr>
                <w:rFonts w:ascii="Arial" w:cs="Arial" w:eastAsia="Arial" w:hAnsi="Arial"/>
                <w:sz w:val="16"/>
                <w:szCs w:val="16"/>
                <w:color w:val="auto"/>
              </w:rPr>
              <w:t>1M / 3M LIBOR</w:t>
            </w:r>
          </w:p>
        </w:tc>
        <w:tc>
          <w:tcPr>
            <w:tcW w:w="1020" w:type="dxa"/>
            <w:vAlign w:val="bottom"/>
          </w:tcPr>
          <w:p>
            <w:pPr>
              <w:jc w:val="right"/>
              <w:spacing w:after="0"/>
              <w:rPr>
                <w:sz w:val="20"/>
                <w:szCs w:val="20"/>
                <w:color w:val="auto"/>
              </w:rPr>
            </w:pPr>
            <w:r>
              <w:rPr>
                <w:rFonts w:ascii="Arial" w:cs="Arial" w:eastAsia="Arial" w:hAnsi="Arial"/>
                <w:sz w:val="16"/>
                <w:szCs w:val="16"/>
                <w:color w:val="auto"/>
              </w:rPr>
              <w:t>7.7</w:t>
            </w:r>
          </w:p>
        </w:tc>
        <w:tc>
          <w:tcPr>
            <w:tcW w:w="0" w:type="dxa"/>
            <w:vAlign w:val="bottom"/>
          </w:tcPr>
          <w:p>
            <w:pPr>
              <w:spacing w:after="0"/>
              <w:rPr>
                <w:sz w:val="1"/>
                <w:szCs w:val="1"/>
                <w:color w:val="auto"/>
              </w:rPr>
            </w:pPr>
          </w:p>
        </w:tc>
      </w:tr>
    </w:tbl>
    <w:p>
      <w:pPr>
        <w:spacing w:after="0" w:line="18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contracts to purchase and sell TBA and specified agency securities on a forward basis as of September 30, 2012 and December 31, 2011 (in millions):</w:t>
      </w:r>
    </w:p>
    <w:p>
      <w:pPr>
        <w:spacing w:after="0" w:line="338" w:lineRule="exact"/>
        <w:rPr>
          <w:sz w:val="20"/>
          <w:szCs w:val="20"/>
          <w:color w:val="auto"/>
        </w:rPr>
      </w:pPr>
    </w:p>
    <w:tbl>
      <w:tblPr>
        <w:tblLayout w:type="fixed"/>
        <w:tblInd w:w="240" w:type="dxa"/>
        <w:tblCellMar>
          <w:top w:w="0" w:type="dxa"/>
          <w:left w:w="0" w:type="dxa"/>
          <w:bottom w:w="0" w:type="dxa"/>
          <w:right w:w="0" w:type="dxa"/>
        </w:tblCellMar>
      </w:tblPr>
      <w:tr>
        <w:trPr>
          <w:trHeight w:val="192"/>
        </w:trPr>
        <w:tc>
          <w:tcPr>
            <w:tcW w:w="4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3"/>
          </w:tcPr>
          <w:p>
            <w:pPr>
              <w:jc w:val="right"/>
              <w:ind w:right="343"/>
              <w:spacing w:after="0"/>
              <w:rPr>
                <w:sz w:val="20"/>
                <w:szCs w:val="20"/>
                <w:color w:val="auto"/>
              </w:rPr>
            </w:pPr>
            <w:r>
              <w:rPr>
                <w:rFonts w:ascii="Arial" w:cs="Arial" w:eastAsia="Arial" w:hAnsi="Arial"/>
                <w:sz w:val="14"/>
                <w:szCs w:val="14"/>
                <w:b w:val="1"/>
                <w:bCs w:val="1"/>
                <w:color w:val="auto"/>
              </w:rPr>
              <w:t>September 30, 2012</w:t>
            </w:r>
          </w:p>
        </w:tc>
        <w:tc>
          <w:tcPr>
            <w:tcW w:w="4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4"/>
          </w:tcPr>
          <w:p>
            <w:pPr>
              <w:jc w:val="right"/>
              <w:ind w:right="820"/>
              <w:spacing w:after="0"/>
              <w:rPr>
                <w:sz w:val="20"/>
                <w:szCs w:val="20"/>
                <w:color w:val="auto"/>
              </w:rPr>
            </w:pPr>
            <w:r>
              <w:rPr>
                <w:rFonts w:ascii="Arial" w:cs="Arial" w:eastAsia="Arial" w:hAnsi="Arial"/>
                <w:sz w:val="14"/>
                <w:szCs w:val="14"/>
                <w:b w:val="1"/>
                <w:bCs w:val="1"/>
                <w:color w:val="auto"/>
              </w:rPr>
              <w:t>December 31, 2011</w:t>
            </w:r>
          </w:p>
        </w:tc>
        <w:tc>
          <w:tcPr>
            <w:tcW w:w="0" w:type="dxa"/>
            <w:vAlign w:val="bottom"/>
          </w:tcPr>
          <w:p>
            <w:pPr>
              <w:spacing w:after="0"/>
              <w:rPr>
                <w:sz w:val="1"/>
                <w:szCs w:val="1"/>
                <w:color w:val="auto"/>
              </w:rPr>
            </w:pPr>
          </w:p>
        </w:tc>
      </w:tr>
      <w:tr>
        <w:trPr>
          <w:trHeight w:val="153"/>
        </w:trPr>
        <w:tc>
          <w:tcPr>
            <w:tcW w:w="494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Purchase and Sale Contracts for TBAs and Forward Settling</w:t>
            </w:r>
          </w:p>
        </w:tc>
        <w:tc>
          <w:tcPr>
            <w:tcW w:w="140" w:type="dxa"/>
            <w:vAlign w:val="bottom"/>
          </w:tcPr>
          <w:p>
            <w:pPr>
              <w:spacing w:after="0"/>
              <w:rPr>
                <w:sz w:val="13"/>
                <w:szCs w:val="13"/>
                <w:color w:val="auto"/>
              </w:rPr>
            </w:pPr>
          </w:p>
        </w:tc>
        <w:tc>
          <w:tcPr>
            <w:tcW w:w="1300" w:type="dxa"/>
            <w:vAlign w:val="bottom"/>
            <w:vMerge w:val="restart"/>
          </w:tcPr>
          <w:p>
            <w:pPr>
              <w:jc w:val="right"/>
              <w:ind w:right="121"/>
              <w:spacing w:after="0"/>
              <w:rPr>
                <w:sz w:val="20"/>
                <w:szCs w:val="20"/>
                <w:color w:val="auto"/>
              </w:rPr>
            </w:pPr>
            <w:r>
              <w:rPr>
                <w:rFonts w:ascii="Arial" w:cs="Arial" w:eastAsia="Arial" w:hAnsi="Arial"/>
                <w:sz w:val="14"/>
                <w:szCs w:val="14"/>
                <w:b w:val="1"/>
                <w:bCs w:val="1"/>
                <w:color w:val="auto"/>
                <w:w w:val="95"/>
              </w:rPr>
              <w:t>Notional Amount</w:t>
            </w:r>
          </w:p>
        </w:tc>
        <w:tc>
          <w:tcPr>
            <w:tcW w:w="100" w:type="dxa"/>
            <w:vAlign w:val="bottom"/>
            <w:vMerge w:val="restart"/>
          </w:tcPr>
          <w:p>
            <w:pPr>
              <w:spacing w:after="0"/>
              <w:rPr>
                <w:sz w:val="13"/>
                <w:szCs w:val="13"/>
                <w:color w:val="auto"/>
              </w:rPr>
            </w:pPr>
          </w:p>
        </w:tc>
        <w:tc>
          <w:tcPr>
            <w:tcW w:w="980" w:type="dxa"/>
            <w:vAlign w:val="bottom"/>
          </w:tcPr>
          <w:p>
            <w:pPr>
              <w:jc w:val="right"/>
              <w:ind w:right="63"/>
              <w:spacing w:after="0" w:line="153" w:lineRule="exact"/>
              <w:rPr>
                <w:sz w:val="20"/>
                <w:szCs w:val="20"/>
                <w:color w:val="auto"/>
              </w:rPr>
            </w:pPr>
            <w:r>
              <w:rPr>
                <w:rFonts w:ascii="Arial" w:cs="Arial" w:eastAsia="Arial" w:hAnsi="Arial"/>
                <w:sz w:val="14"/>
                <w:szCs w:val="14"/>
                <w:b w:val="1"/>
                <w:bCs w:val="1"/>
                <w:color w:val="auto"/>
              </w:rPr>
              <w:t>Fair</w:t>
            </w: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80" w:type="dxa"/>
            <w:vAlign w:val="bottom"/>
            <w:vMerge w:val="restart"/>
          </w:tcPr>
          <w:p>
            <w:pPr>
              <w:jc w:val="right"/>
              <w:ind w:right="101"/>
              <w:spacing w:after="0"/>
              <w:rPr>
                <w:sz w:val="20"/>
                <w:szCs w:val="20"/>
                <w:color w:val="auto"/>
              </w:rPr>
            </w:pPr>
            <w:r>
              <w:rPr>
                <w:rFonts w:ascii="Arial" w:cs="Arial" w:eastAsia="Arial" w:hAnsi="Arial"/>
                <w:sz w:val="14"/>
                <w:szCs w:val="14"/>
                <w:b w:val="1"/>
                <w:bCs w:val="1"/>
                <w:color w:val="auto"/>
                <w:w w:val="95"/>
              </w:rPr>
              <w:t>Notional Amount</w:t>
            </w:r>
          </w:p>
        </w:tc>
        <w:tc>
          <w:tcPr>
            <w:tcW w:w="120" w:type="dxa"/>
            <w:vAlign w:val="bottom"/>
            <w:vMerge w:val="restart"/>
          </w:tcPr>
          <w:p>
            <w:pPr>
              <w:spacing w:after="0"/>
              <w:rPr>
                <w:sz w:val="13"/>
                <w:szCs w:val="13"/>
                <w:color w:val="auto"/>
              </w:rPr>
            </w:pPr>
          </w:p>
        </w:tc>
        <w:tc>
          <w:tcPr>
            <w:tcW w:w="240" w:type="dxa"/>
            <w:vAlign w:val="bottom"/>
          </w:tcPr>
          <w:p>
            <w:pPr>
              <w:spacing w:after="0"/>
              <w:rPr>
                <w:sz w:val="13"/>
                <w:szCs w:val="13"/>
                <w:color w:val="auto"/>
              </w:rPr>
            </w:pPr>
          </w:p>
        </w:tc>
        <w:tc>
          <w:tcPr>
            <w:tcW w:w="1180" w:type="dxa"/>
            <w:vAlign w:val="bottom"/>
            <w:vMerge w:val="restart"/>
          </w:tcPr>
          <w:p>
            <w:pPr>
              <w:jc w:val="right"/>
              <w:ind w:right="320"/>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48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Securities Not Designated as Hedging Instruments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80" w:type="dxa"/>
            <w:vAlign w:val="bottom"/>
            <w:tcBorders>
              <w:bottom w:val="single" w:sz="8" w:color="auto"/>
            </w:tcBorders>
          </w:tcPr>
          <w:p>
            <w:pPr>
              <w:jc w:val="right"/>
              <w:ind w:right="23"/>
              <w:spacing w:after="0"/>
              <w:rPr>
                <w:sz w:val="20"/>
                <w:szCs w:val="20"/>
                <w:color w:val="auto"/>
              </w:rPr>
            </w:pPr>
            <w:r>
              <w:rPr>
                <w:rFonts w:ascii="Arial" w:cs="Arial" w:eastAsia="Arial" w:hAnsi="Arial"/>
                <w:sz w:val="14"/>
                <w:szCs w:val="14"/>
                <w:b w:val="1"/>
                <w:bCs w:val="1"/>
                <w:color w:val="auto"/>
              </w:rPr>
              <w:t>Value</w:t>
            </w:r>
          </w:p>
        </w:tc>
        <w:tc>
          <w:tcPr>
            <w:tcW w:w="4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TBA securities:</w:t>
            </w:r>
          </w:p>
        </w:tc>
        <w:tc>
          <w:tcPr>
            <w:tcW w:w="1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940" w:type="dxa"/>
            <w:vAlign w:val="bottom"/>
            <w:gridSpan w:val="2"/>
          </w:tcPr>
          <w:p>
            <w:pPr>
              <w:ind w:left="380"/>
              <w:spacing w:after="0"/>
              <w:rPr>
                <w:sz w:val="20"/>
                <w:szCs w:val="20"/>
                <w:color w:val="auto"/>
              </w:rPr>
            </w:pPr>
            <w:r>
              <w:rPr>
                <w:rFonts w:ascii="Arial" w:cs="Arial" w:eastAsia="Arial" w:hAnsi="Arial"/>
                <w:sz w:val="16"/>
                <w:szCs w:val="16"/>
                <w:color w:val="auto"/>
              </w:rPr>
              <w:t>Purchase contracts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00" w:type="dxa"/>
            <w:vAlign w:val="bottom"/>
          </w:tcPr>
          <w:p>
            <w:pPr>
              <w:jc w:val="right"/>
              <w:ind w:right="41"/>
              <w:spacing w:after="0"/>
              <w:rPr>
                <w:sz w:val="20"/>
                <w:szCs w:val="20"/>
                <w:color w:val="auto"/>
              </w:rPr>
            </w:pPr>
            <w:r>
              <w:rPr>
                <w:rFonts w:ascii="Arial" w:cs="Arial" w:eastAsia="Arial" w:hAnsi="Arial"/>
                <w:sz w:val="16"/>
                <w:szCs w:val="16"/>
                <w:color w:val="auto"/>
              </w:rPr>
              <w:t>17,844</w:t>
            </w:r>
          </w:p>
        </w:tc>
        <w:tc>
          <w:tcPr>
            <w:tcW w:w="100" w:type="dxa"/>
            <w:vAlign w:val="bottom"/>
          </w:tcPr>
          <w:p>
            <w:pPr>
              <w:spacing w:after="0"/>
              <w:rPr>
                <w:sz w:val="20"/>
                <w:szCs w:val="20"/>
                <w:color w:val="auto"/>
              </w:rPr>
            </w:pPr>
          </w:p>
        </w:tc>
        <w:tc>
          <w:tcPr>
            <w:tcW w:w="980" w:type="dxa"/>
            <w:vAlign w:val="bottom"/>
          </w:tcPr>
          <w:p>
            <w:pPr>
              <w:jc w:val="right"/>
              <w:ind w:right="803"/>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ind w:right="19"/>
              <w:spacing w:after="0"/>
              <w:rPr>
                <w:sz w:val="20"/>
                <w:szCs w:val="20"/>
                <w:color w:val="auto"/>
              </w:rPr>
            </w:pPr>
            <w:r>
              <w:rPr>
                <w:rFonts w:ascii="Arial" w:cs="Arial" w:eastAsia="Arial" w:hAnsi="Arial"/>
                <w:sz w:val="16"/>
                <w:szCs w:val="16"/>
                <w:color w:val="auto"/>
              </w:rPr>
              <w:t>161</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80" w:type="dxa"/>
            <w:vAlign w:val="bottom"/>
          </w:tcPr>
          <w:p>
            <w:pPr>
              <w:jc w:val="right"/>
              <w:ind w:right="21"/>
              <w:spacing w:after="0"/>
              <w:rPr>
                <w:sz w:val="20"/>
                <w:szCs w:val="20"/>
                <w:color w:val="auto"/>
              </w:rPr>
            </w:pPr>
            <w:r>
              <w:rPr>
                <w:rFonts w:ascii="Arial" w:cs="Arial" w:eastAsia="Arial" w:hAnsi="Arial"/>
                <w:sz w:val="16"/>
                <w:szCs w:val="16"/>
                <w:color w:val="auto"/>
              </w:rPr>
              <w:t>3,188</w:t>
            </w:r>
          </w:p>
        </w:tc>
        <w:tc>
          <w:tcPr>
            <w:tcW w:w="12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49</w:t>
            </w:r>
          </w:p>
        </w:tc>
        <w:tc>
          <w:tcPr>
            <w:tcW w:w="0" w:type="dxa"/>
            <w:vAlign w:val="bottom"/>
          </w:tcPr>
          <w:p>
            <w:pPr>
              <w:spacing w:after="0"/>
              <w:rPr>
                <w:sz w:val="1"/>
                <w:szCs w:val="1"/>
                <w:color w:val="auto"/>
              </w:rPr>
            </w:pPr>
          </w:p>
        </w:tc>
      </w:tr>
      <w:tr>
        <w:trPr>
          <w:trHeight w:val="33"/>
        </w:trPr>
        <w:tc>
          <w:tcPr>
            <w:tcW w:w="4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9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6"/>
                <w:szCs w:val="16"/>
                <w:color w:val="auto"/>
              </w:rPr>
              <w:t>Sale contracts</w:t>
            </w:r>
          </w:p>
        </w:tc>
        <w:tc>
          <w:tcPr>
            <w:tcW w:w="14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(13,210)</w:t>
            </w:r>
          </w:p>
        </w:tc>
        <w:tc>
          <w:tcPr>
            <w:tcW w:w="1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(3,803)</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w:t>
            </w:r>
          </w:p>
        </w:tc>
        <w:tc>
          <w:tcPr>
            <w:tcW w:w="0" w:type="dxa"/>
            <w:vAlign w:val="bottom"/>
          </w:tcPr>
          <w:p>
            <w:pPr>
              <w:spacing w:after="0"/>
              <w:rPr>
                <w:sz w:val="1"/>
                <w:szCs w:val="1"/>
                <w:color w:val="auto"/>
              </w:rPr>
            </w:pPr>
          </w:p>
        </w:tc>
      </w:tr>
      <w:tr>
        <w:trPr>
          <w:trHeight w:val="250"/>
        </w:trPr>
        <w:tc>
          <w:tcPr>
            <w:tcW w:w="494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 xml:space="preserve">TBA securities, net </w:t>
            </w:r>
            <w:r>
              <w:rPr>
                <w:rFonts w:ascii="Arial" w:cs="Arial" w:eastAsia="Arial" w:hAnsi="Arial"/>
                <w:sz w:val="21"/>
                <w:szCs w:val="21"/>
                <w:color w:val="auto"/>
                <w:vertAlign w:val="superscript"/>
              </w:rPr>
              <w:t>(1)</w:t>
            </w:r>
          </w:p>
        </w:tc>
        <w:tc>
          <w:tcPr>
            <w:tcW w:w="140" w:type="dxa"/>
            <w:vAlign w:val="bottom"/>
            <w:tcBorders>
              <w:top w:val="single" w:sz="8" w:color="auto"/>
              <w:bottom w:val="single" w:sz="8" w:color="auto"/>
            </w:tcBorders>
          </w:tcPr>
          <w:p>
            <w:pPr>
              <w:spacing w:after="0"/>
              <w:rPr>
                <w:sz w:val="21"/>
                <w:szCs w:val="21"/>
                <w:color w:val="auto"/>
              </w:rPr>
            </w:pPr>
          </w:p>
        </w:tc>
        <w:tc>
          <w:tcPr>
            <w:tcW w:w="130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4,634</w:t>
            </w:r>
          </w:p>
        </w:tc>
        <w:tc>
          <w:tcPr>
            <w:tcW w:w="100" w:type="dxa"/>
            <w:vAlign w:val="bottom"/>
            <w:tcBorders>
              <w:bottom w:val="single" w:sz="8" w:color="CCEEFF"/>
            </w:tcBorders>
          </w:tcPr>
          <w:p>
            <w:pPr>
              <w:spacing w:after="0"/>
              <w:rPr>
                <w:sz w:val="21"/>
                <w:szCs w:val="21"/>
                <w:color w:val="auto"/>
              </w:rPr>
            </w:pPr>
          </w:p>
        </w:tc>
        <w:tc>
          <w:tcPr>
            <w:tcW w:w="980" w:type="dxa"/>
            <w:vAlign w:val="bottom"/>
            <w:tcBorders>
              <w:top w:val="single" w:sz="8" w:color="auto"/>
              <w:bottom w:val="single" w:sz="8" w:color="auto"/>
            </w:tcBorders>
          </w:tcPr>
          <w:p>
            <w:pPr>
              <w:spacing w:after="0"/>
              <w:rPr>
                <w:sz w:val="21"/>
                <w:szCs w:val="21"/>
                <w:color w:val="auto"/>
              </w:rPr>
            </w:pPr>
          </w:p>
        </w:tc>
        <w:tc>
          <w:tcPr>
            <w:tcW w:w="4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107</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(615)</w:t>
            </w:r>
          </w:p>
        </w:tc>
        <w:tc>
          <w:tcPr>
            <w:tcW w:w="1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118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244"/>
        </w:trPr>
        <w:tc>
          <w:tcPr>
            <w:tcW w:w="4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Forward settling securities:</w:t>
            </w:r>
          </w:p>
        </w:tc>
        <w:tc>
          <w:tcPr>
            <w:tcW w:w="1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940" w:type="dxa"/>
            <w:vAlign w:val="bottom"/>
            <w:gridSpan w:val="2"/>
          </w:tcPr>
          <w:p>
            <w:pPr>
              <w:ind w:left="380"/>
              <w:spacing w:after="0"/>
              <w:rPr>
                <w:sz w:val="20"/>
                <w:szCs w:val="20"/>
                <w:color w:val="auto"/>
              </w:rPr>
            </w:pPr>
            <w:r>
              <w:rPr>
                <w:rFonts w:ascii="Arial" w:cs="Arial" w:eastAsia="Arial" w:hAnsi="Arial"/>
                <w:sz w:val="16"/>
                <w:szCs w:val="16"/>
                <w:color w:val="auto"/>
              </w:rPr>
              <w:t>Purchase contracts</w:t>
            </w:r>
          </w:p>
        </w:tc>
        <w:tc>
          <w:tcPr>
            <w:tcW w:w="140" w:type="dxa"/>
            <w:vAlign w:val="bottom"/>
          </w:tcPr>
          <w:p>
            <w:pPr>
              <w:spacing w:after="0"/>
              <w:rPr>
                <w:sz w:val="20"/>
                <w:szCs w:val="20"/>
                <w:color w:val="auto"/>
              </w:rPr>
            </w:pPr>
          </w:p>
        </w:tc>
        <w:tc>
          <w:tcPr>
            <w:tcW w:w="1300" w:type="dxa"/>
            <w:vAlign w:val="bottom"/>
          </w:tcPr>
          <w:p>
            <w:pPr>
              <w:jc w:val="right"/>
              <w:ind w:right="41"/>
              <w:spacing w:after="0"/>
              <w:rPr>
                <w:sz w:val="20"/>
                <w:szCs w:val="20"/>
                <w:color w:val="auto"/>
              </w:rPr>
            </w:pPr>
            <w:r>
              <w:rPr>
                <w:rFonts w:ascii="Arial" w:cs="Arial" w:eastAsia="Arial" w:hAnsi="Arial"/>
                <w:sz w:val="16"/>
                <w:szCs w:val="16"/>
                <w:color w:val="auto"/>
              </w:rPr>
              <w:t>325</w:t>
            </w:r>
          </w:p>
        </w:tc>
        <w:tc>
          <w:tcPr>
            <w:tcW w:w="1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40" w:type="dxa"/>
            <w:vAlign w:val="bottom"/>
          </w:tcPr>
          <w:p>
            <w:pPr>
              <w:jc w:val="right"/>
              <w:ind w:right="19"/>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tcPr>
          <w:p>
            <w:pPr>
              <w:jc w:val="right"/>
              <w:ind w:right="21"/>
              <w:spacing w:after="0"/>
              <w:rPr>
                <w:sz w:val="20"/>
                <w:szCs w:val="20"/>
                <w:color w:val="auto"/>
              </w:rPr>
            </w:pPr>
            <w:r>
              <w:rPr>
                <w:rFonts w:ascii="Arial" w:cs="Arial" w:eastAsia="Arial" w:hAnsi="Arial"/>
                <w:sz w:val="16"/>
                <w:szCs w:val="16"/>
                <w:color w:val="auto"/>
              </w:rPr>
              <w:t>512</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33"/>
        </w:trPr>
        <w:tc>
          <w:tcPr>
            <w:tcW w:w="4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9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6"/>
                <w:szCs w:val="16"/>
                <w:color w:val="auto"/>
              </w:rPr>
              <w:t>Sale contracts</w:t>
            </w:r>
          </w:p>
        </w:tc>
        <w:tc>
          <w:tcPr>
            <w:tcW w:w="14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(1,185)</w:t>
            </w:r>
          </w:p>
        </w:tc>
        <w:tc>
          <w:tcPr>
            <w:tcW w:w="1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0"/>
        </w:trPr>
        <w:tc>
          <w:tcPr>
            <w:tcW w:w="494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 xml:space="preserve">Forward settling securities, net </w:t>
            </w:r>
            <w:r>
              <w:rPr>
                <w:rFonts w:ascii="Arial" w:cs="Arial" w:eastAsia="Arial" w:hAnsi="Arial"/>
                <w:sz w:val="21"/>
                <w:szCs w:val="21"/>
                <w:color w:val="auto"/>
                <w:vertAlign w:val="superscript"/>
              </w:rPr>
              <w:t>(2)</w:t>
            </w:r>
          </w:p>
        </w:tc>
        <w:tc>
          <w:tcPr>
            <w:tcW w:w="140" w:type="dxa"/>
            <w:vAlign w:val="bottom"/>
            <w:tcBorders>
              <w:top w:val="single" w:sz="8" w:color="auto"/>
              <w:bottom w:val="single" w:sz="8" w:color="auto"/>
            </w:tcBorders>
          </w:tcPr>
          <w:p>
            <w:pPr>
              <w:spacing w:after="0"/>
              <w:rPr>
                <w:sz w:val="21"/>
                <w:szCs w:val="21"/>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(860)</w:t>
            </w:r>
          </w:p>
        </w:tc>
        <w:tc>
          <w:tcPr>
            <w:tcW w:w="100" w:type="dxa"/>
            <w:vAlign w:val="bottom"/>
            <w:tcBorders>
              <w:bottom w:val="single" w:sz="8" w:color="CCEEFF"/>
            </w:tcBorders>
          </w:tcPr>
          <w:p>
            <w:pPr>
              <w:spacing w:after="0"/>
              <w:rPr>
                <w:sz w:val="21"/>
                <w:szCs w:val="21"/>
                <w:color w:val="auto"/>
              </w:rPr>
            </w:pPr>
          </w:p>
        </w:tc>
        <w:tc>
          <w:tcPr>
            <w:tcW w:w="980" w:type="dxa"/>
            <w:vAlign w:val="bottom"/>
            <w:tcBorders>
              <w:top w:val="single" w:sz="8" w:color="auto"/>
              <w:bottom w:val="single" w:sz="8" w:color="auto"/>
            </w:tcBorders>
          </w:tcPr>
          <w:p>
            <w:pPr>
              <w:spacing w:after="0"/>
              <w:rPr>
                <w:sz w:val="21"/>
                <w:szCs w:val="21"/>
                <w:color w:val="auto"/>
              </w:rPr>
            </w:pPr>
          </w:p>
        </w:tc>
        <w:tc>
          <w:tcPr>
            <w:tcW w:w="4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2</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28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512</w:t>
            </w:r>
          </w:p>
        </w:tc>
        <w:tc>
          <w:tcPr>
            <w:tcW w:w="1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118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44"/>
        </w:trPr>
        <w:tc>
          <w:tcPr>
            <w:tcW w:w="4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TBA and forward settling securities, net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3,774</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ind w:right="803"/>
              <w:spacing w:after="0"/>
              <w:rPr>
                <w:sz w:val="20"/>
                <w:szCs w:val="20"/>
                <w:color w:val="auto"/>
              </w:rPr>
            </w:pPr>
            <w:r>
              <w:rPr>
                <w:rFonts w:ascii="Arial" w:cs="Arial" w:eastAsia="Arial" w:hAnsi="Arial"/>
                <w:sz w:val="16"/>
                <w:szCs w:val="16"/>
                <w:color w:val="auto"/>
                <w:w w:val="89"/>
              </w:rPr>
              <w:t>$</w:t>
            </w:r>
          </w:p>
        </w:tc>
        <w:tc>
          <w:tcPr>
            <w:tcW w:w="4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13</w:t>
            </w: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100"/>
        <w:spacing w:after="0"/>
        <w:rPr>
          <w:sz w:val="20"/>
          <w:szCs w:val="20"/>
          <w:color w:val="auto"/>
        </w:rPr>
      </w:pPr>
      <w:r>
        <w:rPr>
          <w:rFonts w:ascii="Arial" w:cs="Arial" w:eastAsia="Arial" w:hAnsi="Arial"/>
          <w:sz w:val="18"/>
          <w:szCs w:val="18"/>
          <w:color w:val="auto"/>
        </w:rPr>
        <w:t>________________________</w:t>
      </w:r>
    </w:p>
    <w:p>
      <w:pPr>
        <w:spacing w:after="0" w:line="2"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15-year and 30-year TBA securities of varying coupons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20-year and 30-year fixed securities of varying coupons</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Risk-Related Contingent Features</w:t>
      </w:r>
    </w:p>
    <w:p>
      <w:pPr>
        <w:spacing w:after="0" w:line="171"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 In addition, we may be required to pledge assets as collateral for our derivatives, whose amounts vary over time based on the market value, notional amount and remaining term of the derivative contract. In the event of a default by a counterparty we may not receive payments provided for under the terms of our derivative agreements, and may have difficulty obtaining our assets pledged as collateral for our derivatives. The cash and cash equivalents and agency securities pledged as collateral for our derivative instruments is included in restricted cash and agency securities, respectively, on our consolidated balance sheets.</w:t>
      </w:r>
    </w:p>
    <w:p>
      <w:pPr>
        <w:spacing w:after="0" w:line="124"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Each of our International Swaps and Derivatives Association ("ISDA") Master Agreements contains provisions under which we are required to fully collateralize our obligations under the swap instrument if at any point the fair value of the swap represents a liability greater than the minimum transfer amount contained within our agreements. We were also required to post initial collateral upon execution of certain of our swap transactions. If we breach any of these provisions, we will be required to settle our obligations under the agreements at their termination values.</w:t>
      </w:r>
    </w:p>
    <w:p>
      <w:pPr>
        <w:spacing w:after="0" w:line="117"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Further, each of our ISDA Master Agreements also contains a cross default provision under which a default under certain of our other indebtedness in excess of a certain threshold causes an event of default under the agreement. Threshold amounts vary by lender. Following an event of default, we could be required to settle our obligations under the agreements at their termination values. Additionally, under certain of our ISDA Master Agreements, we could be required to settle our obligations under the agreements at their termination values if we fail to maintain certain minimum shareholders’ equity thresholds or our REIT status or if we fail to comply with limits on our leverage above certain specified levels.</w:t>
      </w:r>
    </w:p>
    <w:p>
      <w:pPr>
        <w:spacing w:after="0" w:line="11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2012, the fair value and termination value of our interest rate swaps in a liability position related to these agreements was $1.4 billion. We had agency securities with fair values of $1.3 billion and restricted cash of $332 million pledged as collateral against our interest rate swaps, including initial collateral posted upon execution of interest rate swap and total return swap transactions.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908"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229" w:lineRule="exact"/>
        <w:rPr>
          <w:sz w:val="20"/>
          <w:szCs w:val="20"/>
          <w:color w:val="auto"/>
        </w:rPr>
      </w:pPr>
    </w:p>
    <w:p>
      <w:pPr>
        <w:jc w:val="both"/>
        <w:ind w:firstLine="405"/>
        <w:spacing w:after="0" w:line="253" w:lineRule="auto"/>
        <w:rPr>
          <w:sz w:val="20"/>
          <w:szCs w:val="20"/>
          <w:color w:val="auto"/>
        </w:rPr>
      </w:pPr>
      <w:r>
        <w:rPr>
          <w:rFonts w:ascii="Arial" w:cs="Arial" w:eastAsia="Arial" w:hAnsi="Arial"/>
          <w:sz w:val="18"/>
          <w:szCs w:val="18"/>
          <w:color w:val="auto"/>
        </w:rPr>
        <w:t>We determine the fair value of our agency securities and debt of consolidated VIEs based upon fair value estimates obtained from multiple third party pricing services and dealers. In determining fair value, third party pricing sources use various valuation approaches, including market and income approaches. Factors used by third party sources in estimating the fair value of an instrument may include observable inputs such as coupons, primary and secondary mortgage rates, pricing information, credit data, volatility statistics, and other market data that are current as of the measurement date. The availability of observable inputs can vary by instrument and is affected by a wide variety of factors, including the type of instrument, whether the instrument is new and not yet established in the marketplace and other characteristics particular to the instrument. Third party pricing sources may also use certain unobservable inputs, such as assumptions of future levels of prepayment, defaults and foreclosures, especially when estimating fair values for securities with lower levels of recent trading activity. We make inquiries of third party pricing sources to understand the significant inputs and assumptions they used to determine their prices. For further information regarding valuation of our derivative instruments, please refer to the discussion of derivative and other hedging instruments in Note 3.</w:t>
      </w:r>
    </w:p>
    <w:p>
      <w:pPr>
        <w:spacing w:after="0" w:line="235"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review the various third party fair value estimates and perform procedures to validate their reasonableness, including an analysis of the range of third party estimates for each position, comparison to recent trade activity for similar securities, and management review for consistency with market conditions observed as of the measurement date. While we do not adjust prices we obtain from third party pricing sources, we will exclude third party prices for securities from our determination of fair value if we determine (based on our validation procedures and our market knowledge and expertise) that the price is significantly different than observable market data would indicate and we cannot obtain an understanding from the third party source as to the significant inputs used to determine the price.</w:t>
      </w:r>
    </w:p>
    <w:p>
      <w:pPr>
        <w:spacing w:after="0" w:line="234"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validation procedures described above also influence our determination of the appropriate fair value measurement classification. We utilize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There were no transfers between hierarchy levels during the nine months ended September 30, 2012. The three levels of hierarchy are defined as follows:</w:t>
      </w:r>
    </w:p>
    <w:p>
      <w:pPr>
        <w:spacing w:after="0" w:line="134" w:lineRule="exact"/>
        <w:rPr>
          <w:sz w:val="20"/>
          <w:szCs w:val="20"/>
          <w:color w:val="auto"/>
        </w:rPr>
      </w:pPr>
    </w:p>
    <w:p>
      <w:pPr>
        <w:ind w:left="660" w:hanging="328"/>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16"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table provides a summary of our assets and liabilities that are measured at fair value on a recurring basis as of September 30, 2012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2011 (dollars in millions):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958" w:right="239" w:bottom="1440" w:gutter="0" w:footer="0" w:header="0"/>
        </w:sectPr>
      </w:pPr>
    </w:p>
    <w:bookmarkStart w:id="23" w:name="page24"/>
    <w:bookmarkEnd w:id="23"/>
    <w:tbl>
      <w:tblPr>
        <w:tblLayout w:type="fixed"/>
        <w:tblInd w:w="1020" w:type="dxa"/>
        <w:tblCellMar>
          <w:top w:w="0" w:type="dxa"/>
          <w:left w:w="0" w:type="dxa"/>
          <w:bottom w:w="0" w:type="dxa"/>
          <w:right w:w="0" w:type="dxa"/>
        </w:tblCellMar>
      </w:tblPr>
      <w:tr>
        <w:trPr>
          <w:trHeight w:val="210"/>
        </w:trPr>
        <w:tc>
          <w:tcPr>
            <w:tcW w:w="2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580" w:type="dxa"/>
            <w:vAlign w:val="bottom"/>
            <w:gridSpan w:val="5"/>
          </w:tcPr>
          <w:p>
            <w:pPr>
              <w:ind w:left="40"/>
              <w:spacing w:after="0"/>
              <w:rPr>
                <w:sz w:val="20"/>
                <w:szCs w:val="20"/>
                <w:color w:val="auto"/>
              </w:rPr>
            </w:pPr>
            <w:r>
              <w:rPr>
                <w:rFonts w:ascii="Arial" w:cs="Arial" w:eastAsia="Arial" w:hAnsi="Arial"/>
                <w:sz w:val="16"/>
                <w:szCs w:val="16"/>
                <w:b w:val="1"/>
                <w:bCs w:val="1"/>
                <w:color w:val="auto"/>
                <w:w w:val="98"/>
              </w:rPr>
              <w:t>Fair Value Hierarchy</w:t>
            </w: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1"/>
        </w:trPr>
        <w:tc>
          <w:tcPr>
            <w:tcW w:w="2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jc w:val="right"/>
              <w:ind w:right="279"/>
              <w:spacing w:after="0"/>
              <w:rPr>
                <w:sz w:val="20"/>
                <w:szCs w:val="20"/>
                <w:color w:val="auto"/>
              </w:rPr>
            </w:pPr>
            <w:r>
              <w:rPr>
                <w:rFonts w:ascii="Arial" w:cs="Arial" w:eastAsia="Arial" w:hAnsi="Arial"/>
                <w:sz w:val="16"/>
                <w:szCs w:val="16"/>
                <w:b w:val="1"/>
                <w:bCs w:val="1"/>
                <w:color w:val="auto"/>
              </w:rPr>
              <w:t>Level 1</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60" w:type="dxa"/>
            <w:vAlign w:val="bottom"/>
            <w:gridSpan w:val="2"/>
          </w:tcPr>
          <w:p>
            <w:pPr>
              <w:ind w:left="140"/>
              <w:spacing w:after="0"/>
              <w:rPr>
                <w:sz w:val="20"/>
                <w:szCs w:val="20"/>
                <w:color w:val="auto"/>
              </w:rPr>
            </w:pPr>
            <w:r>
              <w:rPr>
                <w:rFonts w:ascii="Arial" w:cs="Arial" w:eastAsia="Arial" w:hAnsi="Arial"/>
                <w:sz w:val="16"/>
                <w:szCs w:val="16"/>
                <w:b w:val="1"/>
                <w:bCs w:val="1"/>
                <w:color w:val="auto"/>
              </w:rPr>
              <w:t>Level 2</w:t>
            </w:r>
          </w:p>
        </w:tc>
        <w:tc>
          <w:tcPr>
            <w:tcW w:w="240" w:type="dxa"/>
            <w:vAlign w:val="bottom"/>
          </w:tcPr>
          <w:p>
            <w:pPr>
              <w:spacing w:after="0"/>
              <w:rPr>
                <w:sz w:val="20"/>
                <w:szCs w:val="20"/>
                <w:color w:val="auto"/>
              </w:rPr>
            </w:pPr>
          </w:p>
        </w:tc>
        <w:tc>
          <w:tcPr>
            <w:tcW w:w="980" w:type="dxa"/>
            <w:vAlign w:val="bottom"/>
          </w:tcPr>
          <w:p>
            <w:pPr>
              <w:ind w:left="120"/>
              <w:spacing w:after="0"/>
              <w:rPr>
                <w:sz w:val="20"/>
                <w:szCs w:val="20"/>
                <w:color w:val="auto"/>
              </w:rPr>
            </w:pPr>
            <w:r>
              <w:rPr>
                <w:rFonts w:ascii="Arial" w:cs="Arial" w:eastAsia="Arial" w:hAnsi="Arial"/>
                <w:sz w:val="16"/>
                <w:szCs w:val="16"/>
                <w:b w:val="1"/>
                <w:bCs w:val="1"/>
                <w:color w:val="auto"/>
              </w:rPr>
              <w:t>Level 3</w:t>
            </w:r>
          </w:p>
        </w:tc>
      </w:tr>
      <w:tr>
        <w:trPr>
          <w:trHeight w:val="33"/>
        </w:trPr>
        <w:tc>
          <w:tcPr>
            <w:tcW w:w="20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0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2000" w:type="dxa"/>
            <w:vAlign w:val="bottom"/>
            <w:shd w:val="clear" w:color="auto" w:fill="CCEEFF"/>
          </w:tcPr>
          <w:p>
            <w:pPr>
              <w:spacing w:after="0"/>
              <w:rPr>
                <w:sz w:val="21"/>
                <w:szCs w:val="21"/>
                <w:color w:val="auto"/>
              </w:rPr>
            </w:pPr>
          </w:p>
        </w:tc>
        <w:tc>
          <w:tcPr>
            <w:tcW w:w="3340" w:type="dxa"/>
            <w:vAlign w:val="bottom"/>
            <w:gridSpan w:val="4"/>
            <w:shd w:val="clear" w:color="auto" w:fill="CCEEFF"/>
          </w:tcPr>
          <w:p>
            <w:pPr>
              <w:spacing w:after="0"/>
              <w:rPr>
                <w:sz w:val="20"/>
                <w:szCs w:val="20"/>
                <w:color w:val="auto"/>
              </w:rPr>
            </w:pPr>
            <w:r>
              <w:rPr>
                <w:rFonts w:ascii="Arial" w:cs="Arial" w:eastAsia="Arial" w:hAnsi="Arial"/>
                <w:sz w:val="16"/>
                <w:szCs w:val="16"/>
                <w:b w:val="1"/>
                <w:bCs w:val="1"/>
                <w:color w:val="auto"/>
              </w:rPr>
              <w:t>September 30, 2012</w:t>
            </w:r>
          </w:p>
        </w:tc>
        <w:tc>
          <w:tcPr>
            <w:tcW w:w="26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r>
      <w:tr>
        <w:trPr>
          <w:trHeight w:val="237"/>
        </w:trPr>
        <w:tc>
          <w:tcPr>
            <w:tcW w:w="2000" w:type="dxa"/>
            <w:vAlign w:val="bottom"/>
            <w:tcBorders>
              <w:top w:val="single" w:sz="8" w:color="CCEEFF"/>
            </w:tcBorders>
          </w:tcPr>
          <w:p>
            <w:pPr>
              <w:ind w:left="20"/>
              <w:spacing w:after="0"/>
              <w:rPr>
                <w:sz w:val="20"/>
                <w:szCs w:val="20"/>
                <w:color w:val="auto"/>
              </w:rPr>
            </w:pPr>
            <w:r>
              <w:rPr>
                <w:rFonts w:ascii="Arial" w:cs="Arial" w:eastAsia="Arial" w:hAnsi="Arial"/>
                <w:sz w:val="16"/>
                <w:szCs w:val="16"/>
                <w:color w:val="auto"/>
              </w:rPr>
              <w:t>Assets:</w:t>
            </w:r>
          </w:p>
        </w:tc>
        <w:tc>
          <w:tcPr>
            <w:tcW w:w="1340" w:type="dxa"/>
            <w:vAlign w:val="bottom"/>
            <w:tcBorders>
              <w:top w:val="single" w:sz="8" w:color="auto"/>
            </w:tcBorders>
            <w:gridSpan w:val="3"/>
          </w:tcPr>
          <w:p>
            <w:pPr>
              <w:spacing w:after="0"/>
              <w:rPr>
                <w:sz w:val="20"/>
                <w:szCs w:val="20"/>
                <w:color w:val="auto"/>
              </w:rPr>
            </w:pPr>
          </w:p>
        </w:tc>
        <w:tc>
          <w:tcPr>
            <w:tcW w:w="2000" w:type="dxa"/>
            <w:vAlign w:val="bottom"/>
            <w:tcBorders>
              <w:top w:val="single" w:sz="8" w:color="CCEEFF"/>
            </w:tcBorders>
          </w:tcPr>
          <w:p>
            <w:pPr>
              <w:spacing w:after="0"/>
              <w:rPr>
                <w:sz w:val="20"/>
                <w:szCs w:val="20"/>
                <w:color w:val="auto"/>
              </w:rPr>
            </w:pPr>
          </w:p>
        </w:tc>
        <w:tc>
          <w:tcPr>
            <w:tcW w:w="260" w:type="dxa"/>
            <w:vAlign w:val="bottom"/>
            <w:tcBorders>
              <w:top w:val="single" w:sz="8" w:color="CCEEFF"/>
            </w:tcBorders>
          </w:tcPr>
          <w:p>
            <w:pPr>
              <w:spacing w:after="0"/>
              <w:rPr>
                <w:sz w:val="20"/>
                <w:szCs w:val="20"/>
                <w:color w:val="auto"/>
              </w:rPr>
            </w:pPr>
          </w:p>
        </w:tc>
        <w:tc>
          <w:tcPr>
            <w:tcW w:w="1000" w:type="dxa"/>
            <w:vAlign w:val="bottom"/>
            <w:tcBorders>
              <w:top w:val="single" w:sz="8" w:color="CCEEFF"/>
            </w:tcBorders>
          </w:tcPr>
          <w:p>
            <w:pPr>
              <w:spacing w:after="0"/>
              <w:rPr>
                <w:sz w:val="20"/>
                <w:szCs w:val="20"/>
                <w:color w:val="auto"/>
              </w:rPr>
            </w:pPr>
          </w:p>
        </w:tc>
        <w:tc>
          <w:tcPr>
            <w:tcW w:w="60" w:type="dxa"/>
            <w:vAlign w:val="bottom"/>
            <w:tcBorders>
              <w:top w:val="single" w:sz="8" w:color="CCEEFF"/>
            </w:tcBorders>
          </w:tcPr>
          <w:p>
            <w:pPr>
              <w:spacing w:after="0"/>
              <w:rPr>
                <w:sz w:val="20"/>
                <w:szCs w:val="20"/>
                <w:color w:val="auto"/>
              </w:rPr>
            </w:pPr>
          </w:p>
        </w:tc>
        <w:tc>
          <w:tcPr>
            <w:tcW w:w="100" w:type="dxa"/>
            <w:vAlign w:val="bottom"/>
            <w:tcBorders>
              <w:top w:val="single" w:sz="8" w:color="CCEEFF"/>
            </w:tcBorders>
          </w:tcPr>
          <w:p>
            <w:pPr>
              <w:spacing w:after="0"/>
              <w:rPr>
                <w:sz w:val="20"/>
                <w:szCs w:val="20"/>
                <w:color w:val="auto"/>
              </w:rPr>
            </w:pPr>
          </w:p>
        </w:tc>
        <w:tc>
          <w:tcPr>
            <w:tcW w:w="260" w:type="dxa"/>
            <w:vAlign w:val="bottom"/>
            <w:tcBorders>
              <w:top w:val="single" w:sz="8" w:color="CCEEFF"/>
            </w:tcBorders>
          </w:tcPr>
          <w:p>
            <w:pPr>
              <w:spacing w:after="0"/>
              <w:rPr>
                <w:sz w:val="20"/>
                <w:szCs w:val="20"/>
                <w:color w:val="auto"/>
              </w:rPr>
            </w:pPr>
          </w:p>
        </w:tc>
        <w:tc>
          <w:tcPr>
            <w:tcW w:w="1060" w:type="dxa"/>
            <w:vAlign w:val="bottom"/>
            <w:tcBorders>
              <w:top w:val="single" w:sz="8" w:color="CCEEFF"/>
            </w:tcBorders>
          </w:tcPr>
          <w:p>
            <w:pPr>
              <w:spacing w:after="0"/>
              <w:rPr>
                <w:sz w:val="20"/>
                <w:szCs w:val="20"/>
                <w:color w:val="auto"/>
              </w:rPr>
            </w:pPr>
          </w:p>
        </w:tc>
        <w:tc>
          <w:tcPr>
            <w:tcW w:w="100" w:type="dxa"/>
            <w:vAlign w:val="bottom"/>
            <w:tcBorders>
              <w:top w:val="single" w:sz="8" w:color="CCEEFF"/>
            </w:tcBorders>
          </w:tcPr>
          <w:p>
            <w:pPr>
              <w:spacing w:after="0"/>
              <w:rPr>
                <w:sz w:val="20"/>
                <w:szCs w:val="20"/>
                <w:color w:val="auto"/>
              </w:rPr>
            </w:pPr>
          </w:p>
        </w:tc>
        <w:tc>
          <w:tcPr>
            <w:tcW w:w="240" w:type="dxa"/>
            <w:vAlign w:val="bottom"/>
            <w:tcBorders>
              <w:top w:val="single" w:sz="8" w:color="CCEEFF"/>
            </w:tcBorders>
          </w:tcPr>
          <w:p>
            <w:pPr>
              <w:spacing w:after="0"/>
              <w:rPr>
                <w:sz w:val="20"/>
                <w:szCs w:val="20"/>
                <w:color w:val="auto"/>
              </w:rPr>
            </w:pPr>
          </w:p>
        </w:tc>
        <w:tc>
          <w:tcPr>
            <w:tcW w:w="980" w:type="dxa"/>
            <w:vAlign w:val="bottom"/>
            <w:tcBorders>
              <w:top w:val="single" w:sz="8" w:color="CCEEFF"/>
            </w:tcBorders>
          </w:tcPr>
          <w:p>
            <w:pPr>
              <w:spacing w:after="0"/>
              <w:rPr>
                <w:sz w:val="20"/>
                <w:szCs w:val="20"/>
                <w:color w:val="auto"/>
              </w:rPr>
            </w:pP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340" w:type="dxa"/>
            <w:vAlign w:val="bottom"/>
            <w:tcBorders>
              <w:bottom w:val="single" w:sz="8" w:color="CCEEFF"/>
            </w:tcBorders>
            <w:gridSpan w:val="5"/>
            <w:shd w:val="clear" w:color="auto" w:fill="CCEEFF"/>
          </w:tcPr>
          <w:p>
            <w:pPr>
              <w:ind w:left="180"/>
              <w:spacing w:after="0"/>
              <w:rPr>
                <w:sz w:val="20"/>
                <w:szCs w:val="20"/>
                <w:color w:val="auto"/>
              </w:rPr>
            </w:pPr>
            <w:r>
              <w:rPr>
                <w:rFonts w:ascii="Arial" w:cs="Arial" w:eastAsia="Arial" w:hAnsi="Arial"/>
                <w:sz w:val="16"/>
                <w:szCs w:val="16"/>
                <w:color w:val="auto"/>
              </w:rPr>
              <w:t>Agency securities</w:t>
            </w: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20" w:type="dxa"/>
            <w:vAlign w:val="bottom"/>
            <w:tcBorders>
              <w:bottom w:val="single" w:sz="8" w:color="CCEEFF"/>
            </w:tcBorders>
            <w:gridSpan w:val="3"/>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89,640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rPr>
              <w:t>—</w:t>
            </w:r>
          </w:p>
        </w:tc>
      </w:tr>
      <w:tr>
        <w:trPr>
          <w:trHeight w:val="237"/>
        </w:trPr>
        <w:tc>
          <w:tcPr>
            <w:tcW w:w="5340" w:type="dxa"/>
            <w:vAlign w:val="bottom"/>
            <w:gridSpan w:val="5"/>
          </w:tcPr>
          <w:p>
            <w:pPr>
              <w:ind w:left="180"/>
              <w:spacing w:after="0"/>
              <w:rPr>
                <w:sz w:val="20"/>
                <w:szCs w:val="20"/>
                <w:color w:val="auto"/>
              </w:rPr>
            </w:pPr>
            <w:r>
              <w:rPr>
                <w:rFonts w:ascii="Arial" w:cs="Arial" w:eastAsia="Arial" w:hAnsi="Arial"/>
                <w:sz w:val="16"/>
                <w:szCs w:val="16"/>
                <w:color w:val="auto"/>
              </w:rPr>
              <w:t>Interest rate swaps</w:t>
            </w:r>
          </w:p>
        </w:tc>
        <w:tc>
          <w:tcPr>
            <w:tcW w:w="2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ind w:left="740"/>
              <w:spacing w:after="0"/>
              <w:rPr>
                <w:sz w:val="20"/>
                <w:szCs w:val="20"/>
                <w:color w:val="auto"/>
              </w:rPr>
            </w:pPr>
            <w:r>
              <w:rPr>
                <w:rFonts w:ascii="Arial" w:cs="Arial" w:eastAsia="Arial" w:hAnsi="Arial"/>
                <w:sz w:val="16"/>
                <w:szCs w:val="16"/>
                <w:color w:val="auto"/>
              </w:rPr>
              <w:t>—</w:t>
            </w: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5340" w:type="dxa"/>
            <w:vAlign w:val="bottom"/>
            <w:tcBorders>
              <w:bottom w:val="single" w:sz="8" w:color="CCEEFF"/>
            </w:tcBorders>
            <w:gridSpan w:val="5"/>
            <w:shd w:val="clear" w:color="auto" w:fill="CCEEFF"/>
          </w:tcPr>
          <w:p>
            <w:pPr>
              <w:ind w:left="180"/>
              <w:spacing w:after="0"/>
              <w:rPr>
                <w:sz w:val="20"/>
                <w:szCs w:val="20"/>
                <w:color w:val="auto"/>
              </w:rPr>
            </w:pPr>
            <w:r>
              <w:rPr>
                <w:rFonts w:ascii="Arial" w:cs="Arial" w:eastAsia="Arial" w:hAnsi="Arial"/>
                <w:sz w:val="16"/>
                <w:szCs w:val="16"/>
                <w:color w:val="auto"/>
              </w:rPr>
              <w:t>Other derivative instruments</w:t>
            </w: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286</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rPr>
              <w:t>—</w:t>
            </w:r>
          </w:p>
        </w:tc>
      </w:tr>
      <w:tr>
        <w:trPr>
          <w:trHeight w:val="284"/>
        </w:trPr>
        <w:tc>
          <w:tcPr>
            <w:tcW w:w="5340" w:type="dxa"/>
            <w:vAlign w:val="bottom"/>
            <w:tcBorders>
              <w:bottom w:val="single" w:sz="8" w:color="CCEEFF"/>
            </w:tcBorders>
            <w:gridSpan w:val="5"/>
          </w:tcPr>
          <w:p>
            <w:pPr>
              <w:ind w:left="20"/>
              <w:spacing w:after="0"/>
              <w:rPr>
                <w:sz w:val="20"/>
                <w:szCs w:val="20"/>
                <w:color w:val="auto"/>
              </w:rPr>
            </w:pPr>
            <w:r>
              <w:rPr>
                <w:rFonts w:ascii="Arial" w:cs="Arial" w:eastAsia="Arial" w:hAnsi="Arial"/>
                <w:sz w:val="16"/>
                <w:szCs w:val="16"/>
                <w:color w:val="auto"/>
              </w:rPr>
              <w:t>Total</w:t>
            </w: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89,932</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6"/>
                <w:szCs w:val="16"/>
                <w:color w:val="auto"/>
              </w:rPr>
              <w:t>—</w:t>
            </w:r>
          </w:p>
        </w:tc>
      </w:tr>
      <w:tr>
        <w:trPr>
          <w:trHeight w:val="237"/>
        </w:trPr>
        <w:tc>
          <w:tcPr>
            <w:tcW w:w="5340" w:type="dxa"/>
            <w:vAlign w:val="bottom"/>
            <w:tcBorders>
              <w:bottom w:val="single" w:sz="8" w:color="CCEEFF"/>
            </w:tcBorders>
            <w:gridSpan w:val="5"/>
            <w:shd w:val="clear" w:color="auto" w:fill="CCEEFF"/>
          </w:tcPr>
          <w:p>
            <w:pPr>
              <w:ind w:left="20"/>
              <w:spacing w:after="0"/>
              <w:rPr>
                <w:sz w:val="20"/>
                <w:szCs w:val="20"/>
                <w:color w:val="auto"/>
              </w:rPr>
            </w:pPr>
            <w:r>
              <w:rPr>
                <w:rFonts w:ascii="Arial" w:cs="Arial" w:eastAsia="Arial" w:hAnsi="Arial"/>
                <w:sz w:val="16"/>
                <w:szCs w:val="16"/>
                <w:color w:val="auto"/>
              </w:rPr>
              <w:t>Liabilities:</w:t>
            </w:r>
          </w:p>
        </w:tc>
        <w:tc>
          <w:tcPr>
            <w:tcW w:w="26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37"/>
        </w:trPr>
        <w:tc>
          <w:tcPr>
            <w:tcW w:w="5340" w:type="dxa"/>
            <w:vAlign w:val="bottom"/>
            <w:gridSpan w:val="5"/>
          </w:tcPr>
          <w:p>
            <w:pPr>
              <w:ind w:left="180"/>
              <w:spacing w:after="0"/>
              <w:rPr>
                <w:sz w:val="20"/>
                <w:szCs w:val="20"/>
                <w:color w:val="auto"/>
              </w:rPr>
            </w:pPr>
            <w:r>
              <w:rPr>
                <w:rFonts w:ascii="Arial" w:cs="Arial" w:eastAsia="Arial" w:hAnsi="Arial"/>
                <w:sz w:val="16"/>
                <w:szCs w:val="16"/>
                <w:color w:val="auto"/>
              </w:rPr>
              <w:t>Debt of consolidated VIEs</w:t>
            </w: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420" w:type="dxa"/>
            <w:vAlign w:val="bottom"/>
            <w:gridSpan w:val="3"/>
          </w:tcPr>
          <w:p>
            <w:pPr>
              <w:jc w:val="right"/>
              <w:ind w:right="7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968</w:t>
            </w:r>
          </w:p>
        </w:tc>
        <w:tc>
          <w:tcPr>
            <w:tcW w:w="10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ind w:left="740"/>
              <w:spacing w:after="0"/>
              <w:rPr>
                <w:sz w:val="20"/>
                <w:szCs w:val="20"/>
                <w:color w:val="auto"/>
              </w:rPr>
            </w:pPr>
            <w:r>
              <w:rPr>
                <w:rFonts w:ascii="Arial" w:cs="Arial" w:eastAsia="Arial" w:hAnsi="Arial"/>
                <w:sz w:val="16"/>
                <w:szCs w:val="16"/>
                <w:color w:val="auto"/>
              </w:rPr>
              <w:t>—</w:t>
            </w: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20"/>
        </w:trPr>
        <w:tc>
          <w:tcPr>
            <w:tcW w:w="5340" w:type="dxa"/>
            <w:vAlign w:val="bottom"/>
            <w:gridSpan w:val="5"/>
            <w:shd w:val="clear" w:color="auto" w:fill="CCEEFF"/>
          </w:tcPr>
          <w:p>
            <w:pPr>
              <w:ind w:left="180"/>
              <w:spacing w:after="0"/>
              <w:rPr>
                <w:sz w:val="20"/>
                <w:szCs w:val="20"/>
                <w:color w:val="auto"/>
              </w:rPr>
            </w:pPr>
            <w:r>
              <w:rPr>
                <w:rFonts w:ascii="Arial" w:cs="Arial" w:eastAsia="Arial" w:hAnsi="Arial"/>
                <w:sz w:val="16"/>
                <w:szCs w:val="16"/>
                <w:color w:val="auto"/>
              </w:rPr>
              <w:t>Obligation to return U.S. Treasury securities borrowed under reverse</w:t>
            </w:r>
          </w:p>
        </w:tc>
        <w:tc>
          <w:tcPr>
            <w:tcW w:w="2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19"/>
        </w:trPr>
        <w:tc>
          <w:tcPr>
            <w:tcW w:w="5340" w:type="dxa"/>
            <w:vAlign w:val="bottom"/>
            <w:tcBorders>
              <w:bottom w:val="single" w:sz="8" w:color="CCEEFF"/>
            </w:tcBorders>
            <w:gridSpan w:val="5"/>
            <w:shd w:val="clear" w:color="auto" w:fill="CCEEFF"/>
          </w:tcPr>
          <w:p>
            <w:pPr>
              <w:ind w:left="180"/>
              <w:spacing w:after="0"/>
              <w:rPr>
                <w:sz w:val="20"/>
                <w:szCs w:val="20"/>
                <w:color w:val="auto"/>
              </w:rPr>
            </w:pPr>
            <w:r>
              <w:rPr>
                <w:rFonts w:ascii="Arial" w:cs="Arial" w:eastAsia="Arial" w:hAnsi="Arial"/>
                <w:sz w:val="16"/>
                <w:szCs w:val="16"/>
                <w:color w:val="auto"/>
              </w:rPr>
              <w:t>repurchase agreements</w:t>
            </w:r>
          </w:p>
        </w:tc>
        <w:tc>
          <w:tcPr>
            <w:tcW w:w="26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7,265</w:t>
            </w:r>
          </w:p>
        </w:tc>
        <w:tc>
          <w:tcPr>
            <w:tcW w:w="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rPr>
              <w:t>—</w:t>
            </w:r>
          </w:p>
        </w:tc>
      </w:tr>
      <w:tr>
        <w:trPr>
          <w:trHeight w:val="237"/>
        </w:trPr>
        <w:tc>
          <w:tcPr>
            <w:tcW w:w="5340" w:type="dxa"/>
            <w:vAlign w:val="bottom"/>
            <w:gridSpan w:val="5"/>
          </w:tcPr>
          <w:p>
            <w:pPr>
              <w:ind w:left="180"/>
              <w:spacing w:after="0"/>
              <w:rPr>
                <w:sz w:val="20"/>
                <w:szCs w:val="20"/>
                <w:color w:val="auto"/>
              </w:rPr>
            </w:pPr>
            <w:r>
              <w:rPr>
                <w:rFonts w:ascii="Arial" w:cs="Arial" w:eastAsia="Arial" w:hAnsi="Arial"/>
                <w:sz w:val="16"/>
                <w:szCs w:val="16"/>
                <w:color w:val="auto"/>
              </w:rPr>
              <w:t>Interest rate swaps</w:t>
            </w:r>
          </w:p>
        </w:tc>
        <w:tc>
          <w:tcPr>
            <w:tcW w:w="2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1,442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ind w:left="740"/>
              <w:spacing w:after="0"/>
              <w:rPr>
                <w:sz w:val="20"/>
                <w:szCs w:val="20"/>
                <w:color w:val="auto"/>
              </w:rPr>
            </w:pPr>
            <w:r>
              <w:rPr>
                <w:rFonts w:ascii="Arial" w:cs="Arial" w:eastAsia="Arial" w:hAnsi="Arial"/>
                <w:sz w:val="16"/>
                <w:szCs w:val="16"/>
                <w:color w:val="auto"/>
              </w:rPr>
              <w:t>—</w:t>
            </w: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5340" w:type="dxa"/>
            <w:vAlign w:val="bottom"/>
            <w:tcBorders>
              <w:bottom w:val="single" w:sz="8" w:color="CCEEFF"/>
            </w:tcBorders>
            <w:gridSpan w:val="5"/>
            <w:shd w:val="clear" w:color="auto" w:fill="CCEEFF"/>
          </w:tcPr>
          <w:p>
            <w:pPr>
              <w:ind w:left="180"/>
              <w:spacing w:after="0"/>
              <w:rPr>
                <w:sz w:val="20"/>
                <w:szCs w:val="20"/>
                <w:color w:val="auto"/>
              </w:rPr>
            </w:pPr>
            <w:r>
              <w:rPr>
                <w:rFonts w:ascii="Arial" w:cs="Arial" w:eastAsia="Arial" w:hAnsi="Arial"/>
                <w:sz w:val="16"/>
                <w:szCs w:val="16"/>
                <w:color w:val="auto"/>
              </w:rPr>
              <w:t>Other derivative instruments</w:t>
            </w: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120</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rPr>
              <w:t>—</w:t>
            </w:r>
          </w:p>
        </w:tc>
      </w:tr>
      <w:tr>
        <w:trPr>
          <w:trHeight w:val="284"/>
        </w:trPr>
        <w:tc>
          <w:tcPr>
            <w:tcW w:w="5340" w:type="dxa"/>
            <w:vAlign w:val="bottom"/>
            <w:tcBorders>
              <w:bottom w:val="single" w:sz="8" w:color="CCEEFF"/>
            </w:tcBorders>
            <w:gridSpan w:val="5"/>
          </w:tcPr>
          <w:p>
            <w:pPr>
              <w:ind w:left="20"/>
              <w:spacing w:after="0"/>
              <w:rPr>
                <w:sz w:val="20"/>
                <w:szCs w:val="20"/>
                <w:color w:val="auto"/>
              </w:rPr>
            </w:pPr>
            <w:r>
              <w:rPr>
                <w:rFonts w:ascii="Arial" w:cs="Arial" w:eastAsia="Arial" w:hAnsi="Arial"/>
                <w:sz w:val="16"/>
                <w:szCs w:val="16"/>
                <w:color w:val="auto"/>
              </w:rPr>
              <w:t>Total</w:t>
            </w: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7,265</w:t>
            </w:r>
          </w:p>
        </w:tc>
        <w:tc>
          <w:tcPr>
            <w:tcW w:w="6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2,530</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6"/>
                <w:szCs w:val="16"/>
                <w:color w:val="auto"/>
              </w:rPr>
              <w:t>—</w:t>
            </w:r>
          </w:p>
        </w:tc>
      </w:tr>
      <w:tr>
        <w:trPr>
          <w:trHeight w:val="311"/>
        </w:trPr>
        <w:tc>
          <w:tcPr>
            <w:tcW w:w="20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0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r>
      <w:tr>
        <w:trPr>
          <w:trHeight w:val="203"/>
        </w:trPr>
        <w:tc>
          <w:tcPr>
            <w:tcW w:w="20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320" w:type="dxa"/>
            <w:vAlign w:val="bottom"/>
            <w:gridSpan w:val="3"/>
          </w:tcPr>
          <w:p>
            <w:pPr>
              <w:spacing w:after="0"/>
              <w:rPr>
                <w:sz w:val="20"/>
                <w:szCs w:val="20"/>
                <w:color w:val="auto"/>
              </w:rPr>
            </w:pPr>
            <w:r>
              <w:rPr>
                <w:rFonts w:ascii="Arial" w:cs="Arial" w:eastAsia="Arial" w:hAnsi="Arial"/>
                <w:sz w:val="16"/>
                <w:szCs w:val="16"/>
                <w:b w:val="1"/>
                <w:bCs w:val="1"/>
                <w:color w:val="auto"/>
              </w:rPr>
              <w:t>December 31, 2011</w:t>
            </w:r>
          </w:p>
        </w:tc>
        <w:tc>
          <w:tcPr>
            <w:tcW w:w="2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48"/>
        </w:trPr>
        <w:tc>
          <w:tcPr>
            <w:tcW w:w="2000" w:type="dxa"/>
            <w:vAlign w:val="bottom"/>
          </w:tcPr>
          <w:p>
            <w:pPr>
              <w:spacing w:after="0"/>
              <w:rPr>
                <w:sz w:val="4"/>
                <w:szCs w:val="4"/>
                <w:color w:val="auto"/>
              </w:rPr>
            </w:pPr>
          </w:p>
        </w:tc>
        <w:tc>
          <w:tcPr>
            <w:tcW w:w="20" w:type="dxa"/>
            <w:vAlign w:val="bottom"/>
          </w:tcPr>
          <w:p>
            <w:pPr>
              <w:spacing w:after="0"/>
              <w:rPr>
                <w:sz w:val="4"/>
                <w:szCs w:val="4"/>
                <w:color w:val="auto"/>
              </w:rPr>
            </w:pPr>
          </w:p>
        </w:tc>
        <w:tc>
          <w:tcPr>
            <w:tcW w:w="1300" w:type="dxa"/>
            <w:vAlign w:val="bottom"/>
            <w:tcBorders>
              <w:top w:val="single" w:sz="8" w:color="auto"/>
            </w:tcBorders>
          </w:tcPr>
          <w:p>
            <w:pPr>
              <w:spacing w:after="0"/>
              <w:rPr>
                <w:sz w:val="4"/>
                <w:szCs w:val="4"/>
                <w:color w:val="auto"/>
              </w:rPr>
            </w:pPr>
          </w:p>
        </w:tc>
        <w:tc>
          <w:tcPr>
            <w:tcW w:w="20" w:type="dxa"/>
            <w:vAlign w:val="bottom"/>
          </w:tcPr>
          <w:p>
            <w:pPr>
              <w:spacing w:after="0"/>
              <w:rPr>
                <w:sz w:val="4"/>
                <w:szCs w:val="4"/>
                <w:color w:val="auto"/>
              </w:rPr>
            </w:pPr>
          </w:p>
        </w:tc>
        <w:tc>
          <w:tcPr>
            <w:tcW w:w="20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0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980" w:type="dxa"/>
            <w:vAlign w:val="bottom"/>
          </w:tcPr>
          <w:p>
            <w:pPr>
              <w:spacing w:after="0"/>
              <w:rPr>
                <w:sz w:val="4"/>
                <w:szCs w:val="4"/>
                <w:color w:val="auto"/>
              </w:rPr>
            </w:pPr>
          </w:p>
        </w:tc>
      </w:tr>
      <w:tr>
        <w:trPr>
          <w:trHeight w:val="250"/>
        </w:trPr>
        <w:tc>
          <w:tcPr>
            <w:tcW w:w="5340" w:type="dxa"/>
            <w:vAlign w:val="bottom"/>
            <w:tcBorders>
              <w:bottom w:val="single" w:sz="8" w:color="CCEEFF"/>
            </w:tcBorders>
            <w:gridSpan w:val="5"/>
            <w:shd w:val="clear" w:color="auto" w:fill="CCEEFF"/>
          </w:tcPr>
          <w:p>
            <w:pPr>
              <w:ind w:left="20"/>
              <w:spacing w:after="0"/>
              <w:rPr>
                <w:sz w:val="20"/>
                <w:szCs w:val="20"/>
                <w:color w:val="auto"/>
              </w:rPr>
            </w:pPr>
            <w:r>
              <w:rPr>
                <w:rFonts w:ascii="Arial" w:cs="Arial" w:eastAsia="Arial" w:hAnsi="Arial"/>
                <w:sz w:val="16"/>
                <w:szCs w:val="16"/>
                <w:color w:val="auto"/>
              </w:rPr>
              <w:t>Assets:</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37"/>
        </w:trPr>
        <w:tc>
          <w:tcPr>
            <w:tcW w:w="5340" w:type="dxa"/>
            <w:vAlign w:val="bottom"/>
            <w:gridSpan w:val="5"/>
          </w:tcPr>
          <w:p>
            <w:pPr>
              <w:ind w:left="180"/>
              <w:spacing w:after="0"/>
              <w:rPr>
                <w:sz w:val="20"/>
                <w:szCs w:val="20"/>
                <w:color w:val="auto"/>
              </w:rPr>
            </w:pPr>
            <w:r>
              <w:rPr>
                <w:rFonts w:ascii="Arial" w:cs="Arial" w:eastAsia="Arial" w:hAnsi="Arial"/>
                <w:sz w:val="16"/>
                <w:szCs w:val="16"/>
                <w:color w:val="auto"/>
              </w:rPr>
              <w:t>Agency securities</w:t>
            </w: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420" w:type="dxa"/>
            <w:vAlign w:val="bottom"/>
            <w:gridSpan w:val="3"/>
          </w:tcPr>
          <w:p>
            <w:pPr>
              <w:jc w:val="right"/>
              <w:ind w:right="7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54,683</w:t>
            </w:r>
          </w:p>
        </w:tc>
        <w:tc>
          <w:tcPr>
            <w:tcW w:w="10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ind w:left="740"/>
              <w:spacing w:after="0"/>
              <w:rPr>
                <w:sz w:val="20"/>
                <w:szCs w:val="20"/>
                <w:color w:val="auto"/>
              </w:rPr>
            </w:pPr>
            <w:r>
              <w:rPr>
                <w:rFonts w:ascii="Arial" w:cs="Arial" w:eastAsia="Arial" w:hAnsi="Arial"/>
                <w:sz w:val="16"/>
                <w:szCs w:val="16"/>
                <w:color w:val="auto"/>
              </w:rPr>
              <w:t>—</w:t>
            </w: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340" w:type="dxa"/>
            <w:vAlign w:val="bottom"/>
            <w:tcBorders>
              <w:bottom w:val="single" w:sz="8" w:color="CCEEFF"/>
            </w:tcBorders>
            <w:gridSpan w:val="5"/>
            <w:shd w:val="clear" w:color="auto" w:fill="CCEEFF"/>
          </w:tcPr>
          <w:p>
            <w:pPr>
              <w:ind w:left="180"/>
              <w:spacing w:after="0"/>
              <w:rPr>
                <w:sz w:val="20"/>
                <w:szCs w:val="20"/>
                <w:color w:val="auto"/>
              </w:rPr>
            </w:pPr>
            <w:r>
              <w:rPr>
                <w:rFonts w:ascii="Arial" w:cs="Arial" w:eastAsia="Arial" w:hAnsi="Arial"/>
                <w:sz w:val="16"/>
                <w:szCs w:val="16"/>
                <w:color w:val="auto"/>
              </w:rPr>
              <w:t>U.S. Treasury securities</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101</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rPr>
              <w:t>—</w:t>
            </w:r>
          </w:p>
        </w:tc>
      </w:tr>
      <w:tr>
        <w:trPr>
          <w:trHeight w:val="237"/>
        </w:trPr>
        <w:tc>
          <w:tcPr>
            <w:tcW w:w="5340" w:type="dxa"/>
            <w:vAlign w:val="bottom"/>
            <w:gridSpan w:val="5"/>
          </w:tcPr>
          <w:p>
            <w:pPr>
              <w:ind w:left="180"/>
              <w:spacing w:after="0"/>
              <w:rPr>
                <w:sz w:val="20"/>
                <w:szCs w:val="20"/>
                <w:color w:val="auto"/>
              </w:rPr>
            </w:pPr>
            <w:r>
              <w:rPr>
                <w:rFonts w:ascii="Arial" w:cs="Arial" w:eastAsia="Arial" w:hAnsi="Arial"/>
                <w:sz w:val="16"/>
                <w:szCs w:val="16"/>
                <w:color w:val="auto"/>
              </w:rPr>
              <w:t>Interest rate swaps</w:t>
            </w:r>
          </w:p>
        </w:tc>
        <w:tc>
          <w:tcPr>
            <w:tcW w:w="2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ind w:left="740"/>
              <w:spacing w:after="0"/>
              <w:rPr>
                <w:sz w:val="20"/>
                <w:szCs w:val="20"/>
                <w:color w:val="auto"/>
              </w:rPr>
            </w:pPr>
            <w:r>
              <w:rPr>
                <w:rFonts w:ascii="Arial" w:cs="Arial" w:eastAsia="Arial" w:hAnsi="Arial"/>
                <w:sz w:val="16"/>
                <w:szCs w:val="16"/>
                <w:color w:val="auto"/>
              </w:rPr>
              <w:t>—</w:t>
            </w: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5340" w:type="dxa"/>
            <w:vAlign w:val="bottom"/>
            <w:tcBorders>
              <w:bottom w:val="single" w:sz="8" w:color="CCEEFF"/>
            </w:tcBorders>
            <w:gridSpan w:val="5"/>
            <w:shd w:val="clear" w:color="auto" w:fill="CCEEFF"/>
          </w:tcPr>
          <w:p>
            <w:pPr>
              <w:ind w:left="180"/>
              <w:spacing w:after="0"/>
              <w:rPr>
                <w:sz w:val="20"/>
                <w:szCs w:val="20"/>
                <w:color w:val="auto"/>
              </w:rPr>
            </w:pPr>
            <w:r>
              <w:rPr>
                <w:rFonts w:ascii="Arial" w:cs="Arial" w:eastAsia="Arial" w:hAnsi="Arial"/>
                <w:sz w:val="16"/>
                <w:szCs w:val="16"/>
                <w:color w:val="auto"/>
              </w:rPr>
              <w:t>Other derivative instruments</w:t>
            </w: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69</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rPr>
              <w:t>—</w:t>
            </w:r>
          </w:p>
        </w:tc>
      </w:tr>
      <w:tr>
        <w:trPr>
          <w:trHeight w:val="284"/>
        </w:trPr>
        <w:tc>
          <w:tcPr>
            <w:tcW w:w="5340" w:type="dxa"/>
            <w:vAlign w:val="bottom"/>
            <w:tcBorders>
              <w:bottom w:val="single" w:sz="8" w:color="CCEEFF"/>
            </w:tcBorders>
            <w:gridSpan w:val="5"/>
          </w:tcPr>
          <w:p>
            <w:pPr>
              <w:ind w:left="20"/>
              <w:spacing w:after="0"/>
              <w:rPr>
                <w:sz w:val="20"/>
                <w:szCs w:val="20"/>
                <w:color w:val="auto"/>
              </w:rPr>
            </w:pPr>
            <w:r>
              <w:rPr>
                <w:rFonts w:ascii="Arial" w:cs="Arial" w:eastAsia="Arial" w:hAnsi="Arial"/>
                <w:sz w:val="16"/>
                <w:szCs w:val="16"/>
                <w:color w:val="auto"/>
              </w:rPr>
              <w:t>Total</w:t>
            </w: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101</w:t>
            </w:r>
          </w:p>
        </w:tc>
        <w:tc>
          <w:tcPr>
            <w:tcW w:w="6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54,765</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6"/>
                <w:szCs w:val="16"/>
                <w:color w:val="auto"/>
              </w:rPr>
              <w:t>—</w:t>
            </w:r>
          </w:p>
        </w:tc>
      </w:tr>
      <w:tr>
        <w:trPr>
          <w:trHeight w:val="237"/>
        </w:trPr>
        <w:tc>
          <w:tcPr>
            <w:tcW w:w="5340" w:type="dxa"/>
            <w:vAlign w:val="bottom"/>
            <w:tcBorders>
              <w:bottom w:val="single" w:sz="8" w:color="CCEEFF"/>
            </w:tcBorders>
            <w:gridSpan w:val="5"/>
            <w:shd w:val="clear" w:color="auto" w:fill="CCEEFF"/>
          </w:tcPr>
          <w:p>
            <w:pPr>
              <w:ind w:left="20"/>
              <w:spacing w:after="0"/>
              <w:rPr>
                <w:sz w:val="20"/>
                <w:szCs w:val="20"/>
                <w:color w:val="auto"/>
              </w:rPr>
            </w:pPr>
            <w:r>
              <w:rPr>
                <w:rFonts w:ascii="Arial" w:cs="Arial" w:eastAsia="Arial" w:hAnsi="Arial"/>
                <w:sz w:val="16"/>
                <w:szCs w:val="16"/>
                <w:color w:val="auto"/>
              </w:rPr>
              <w:t>Liabilities:</w:t>
            </w:r>
          </w:p>
        </w:tc>
        <w:tc>
          <w:tcPr>
            <w:tcW w:w="26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20"/>
        </w:trPr>
        <w:tc>
          <w:tcPr>
            <w:tcW w:w="5340" w:type="dxa"/>
            <w:vAlign w:val="bottom"/>
            <w:gridSpan w:val="5"/>
          </w:tcPr>
          <w:p>
            <w:pPr>
              <w:ind w:left="180"/>
              <w:spacing w:after="0"/>
              <w:rPr>
                <w:sz w:val="20"/>
                <w:szCs w:val="20"/>
                <w:color w:val="auto"/>
              </w:rPr>
            </w:pPr>
            <w:r>
              <w:rPr>
                <w:rFonts w:ascii="Arial" w:cs="Arial" w:eastAsia="Arial" w:hAnsi="Arial"/>
                <w:sz w:val="16"/>
                <w:szCs w:val="16"/>
                <w:color w:val="auto"/>
              </w:rPr>
              <w:t>Obligation to return U.S. Treasury securities borrowed under reverse</w:t>
            </w:r>
          </w:p>
        </w:tc>
        <w:tc>
          <w:tcPr>
            <w:tcW w:w="2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06"/>
        </w:trPr>
        <w:tc>
          <w:tcPr>
            <w:tcW w:w="5340" w:type="dxa"/>
            <w:vAlign w:val="bottom"/>
            <w:gridSpan w:val="5"/>
          </w:tcPr>
          <w:p>
            <w:pPr>
              <w:ind w:left="180"/>
              <w:spacing w:after="0"/>
              <w:rPr>
                <w:sz w:val="20"/>
                <w:szCs w:val="20"/>
                <w:color w:val="auto"/>
              </w:rPr>
            </w:pPr>
            <w:r>
              <w:rPr>
                <w:rFonts w:ascii="Arial" w:cs="Arial" w:eastAsia="Arial" w:hAnsi="Arial"/>
                <w:sz w:val="16"/>
                <w:szCs w:val="16"/>
                <w:color w:val="auto"/>
              </w:rPr>
              <w:t>repurchase agreements</w:t>
            </w: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899</w:t>
            </w:r>
          </w:p>
        </w:tc>
        <w:tc>
          <w:tcPr>
            <w:tcW w:w="420" w:type="dxa"/>
            <w:vAlign w:val="bottom"/>
            <w:gridSpan w:val="3"/>
          </w:tcPr>
          <w:p>
            <w:pPr>
              <w:jc w:val="right"/>
              <w:ind w:right="79"/>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Pr>
          <w:p>
            <w:pPr>
              <w:ind w:left="740"/>
              <w:spacing w:after="0"/>
              <w:rPr>
                <w:sz w:val="20"/>
                <w:szCs w:val="20"/>
                <w:color w:val="auto"/>
              </w:rPr>
            </w:pPr>
            <w:r>
              <w:rPr>
                <w:rFonts w:ascii="Arial" w:cs="Arial" w:eastAsia="Arial" w:hAnsi="Arial"/>
                <w:sz w:val="16"/>
                <w:szCs w:val="16"/>
                <w:color w:val="auto"/>
              </w:rPr>
              <w:t>—</w:t>
            </w: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340" w:type="dxa"/>
            <w:vAlign w:val="bottom"/>
            <w:tcBorders>
              <w:bottom w:val="single" w:sz="8" w:color="CCEEFF"/>
            </w:tcBorders>
            <w:gridSpan w:val="5"/>
            <w:shd w:val="clear" w:color="auto" w:fill="CCEEFF"/>
          </w:tcPr>
          <w:p>
            <w:pPr>
              <w:ind w:left="180"/>
              <w:spacing w:after="0"/>
              <w:rPr>
                <w:sz w:val="20"/>
                <w:szCs w:val="20"/>
                <w:color w:val="auto"/>
              </w:rPr>
            </w:pPr>
            <w:r>
              <w:rPr>
                <w:rFonts w:ascii="Arial" w:cs="Arial" w:eastAsia="Arial" w:hAnsi="Arial"/>
                <w:sz w:val="16"/>
                <w:szCs w:val="16"/>
                <w:color w:val="auto"/>
              </w:rPr>
              <w:t>U.S. Treasury futures</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rPr>
              <w:t>—</w:t>
            </w:r>
          </w:p>
        </w:tc>
      </w:tr>
      <w:tr>
        <w:trPr>
          <w:trHeight w:val="237"/>
        </w:trPr>
        <w:tc>
          <w:tcPr>
            <w:tcW w:w="5340" w:type="dxa"/>
            <w:vAlign w:val="bottom"/>
            <w:gridSpan w:val="5"/>
          </w:tcPr>
          <w:p>
            <w:pPr>
              <w:ind w:left="180"/>
              <w:spacing w:after="0"/>
              <w:rPr>
                <w:sz w:val="20"/>
                <w:szCs w:val="20"/>
                <w:color w:val="auto"/>
              </w:rPr>
            </w:pPr>
            <w:r>
              <w:rPr>
                <w:rFonts w:ascii="Arial" w:cs="Arial" w:eastAsia="Arial" w:hAnsi="Arial"/>
                <w:sz w:val="16"/>
                <w:szCs w:val="16"/>
                <w:color w:val="auto"/>
              </w:rPr>
              <w:t>Interest rate swaps</w:t>
            </w:r>
          </w:p>
        </w:tc>
        <w:tc>
          <w:tcPr>
            <w:tcW w:w="2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795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ind w:left="740"/>
              <w:spacing w:after="0"/>
              <w:rPr>
                <w:sz w:val="20"/>
                <w:szCs w:val="20"/>
                <w:color w:val="auto"/>
              </w:rPr>
            </w:pPr>
            <w:r>
              <w:rPr>
                <w:rFonts w:ascii="Arial" w:cs="Arial" w:eastAsia="Arial" w:hAnsi="Arial"/>
                <w:sz w:val="16"/>
                <w:szCs w:val="16"/>
                <w:color w:val="auto"/>
              </w:rPr>
              <w:t>—</w:t>
            </w:r>
          </w:p>
        </w:tc>
      </w:tr>
      <w:tr>
        <w:trPr>
          <w:trHeight w:val="33"/>
        </w:trPr>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5340" w:type="dxa"/>
            <w:vAlign w:val="bottom"/>
            <w:tcBorders>
              <w:bottom w:val="single" w:sz="8" w:color="CCEEFF"/>
            </w:tcBorders>
            <w:gridSpan w:val="5"/>
            <w:shd w:val="clear" w:color="auto" w:fill="CCEEFF"/>
          </w:tcPr>
          <w:p>
            <w:pPr>
              <w:ind w:left="180"/>
              <w:spacing w:after="0"/>
              <w:rPr>
                <w:sz w:val="20"/>
                <w:szCs w:val="20"/>
                <w:color w:val="auto"/>
              </w:rPr>
            </w:pPr>
            <w:r>
              <w:rPr>
                <w:rFonts w:ascii="Arial" w:cs="Arial" w:eastAsia="Arial" w:hAnsi="Arial"/>
                <w:sz w:val="16"/>
                <w:szCs w:val="16"/>
                <w:color w:val="auto"/>
              </w:rPr>
              <w:t>Other derivative instruments</w:t>
            </w: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rPr>
              <w:t>—</w:t>
            </w:r>
          </w:p>
        </w:tc>
      </w:tr>
      <w:tr>
        <w:trPr>
          <w:trHeight w:val="244"/>
        </w:trPr>
        <w:tc>
          <w:tcPr>
            <w:tcW w:w="5340" w:type="dxa"/>
            <w:vAlign w:val="bottom"/>
            <w:gridSpan w:val="5"/>
          </w:tcPr>
          <w:p>
            <w:pPr>
              <w:ind w:left="20"/>
              <w:spacing w:after="0"/>
              <w:rPr>
                <w:sz w:val="20"/>
                <w:szCs w:val="20"/>
                <w:color w:val="auto"/>
              </w:rPr>
            </w:pPr>
            <w:r>
              <w:rPr>
                <w:rFonts w:ascii="Arial" w:cs="Arial" w:eastAsia="Arial" w:hAnsi="Arial"/>
                <w:sz w:val="16"/>
                <w:szCs w:val="16"/>
                <w:color w:val="auto"/>
              </w:rPr>
              <w:t>Total</w:t>
            </w: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913</w:t>
            </w:r>
          </w:p>
        </w:tc>
        <w:tc>
          <w:tcPr>
            <w:tcW w:w="6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839</w:t>
            </w:r>
          </w:p>
        </w:tc>
        <w:tc>
          <w:tcPr>
            <w:tcW w:w="100" w:type="dxa"/>
            <w:vAlign w:val="bottom"/>
          </w:tcPr>
          <w:p>
            <w:pPr>
              <w:spacing w:after="0"/>
              <w:rPr>
                <w:sz w:val="21"/>
                <w:szCs w:val="21"/>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6"/>
                <w:szCs w:val="16"/>
                <w:color w:val="auto"/>
              </w:rPr>
              <w:t>—</w:t>
            </w:r>
          </w:p>
        </w:tc>
      </w:tr>
      <w:tr>
        <w:trPr>
          <w:trHeight w:val="20"/>
        </w:trPr>
        <w:tc>
          <w:tcPr>
            <w:tcW w:w="2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Stockholders' Equity</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 Offering</w:t>
      </w:r>
    </w:p>
    <w:p>
      <w:pPr>
        <w:spacing w:after="0" w:line="239"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Pursuant to our amended and restated certificate of incorporation, we are authorized to designate and issue up to 10.0 million shares of preferred stock in one or more classes or series. Our board of directors has designated 6.9 million shares as 8.000% Series A Cumulative Redeemable Preferred Stock ("Series A Preferred Stock"). As of September 30, 2012, we have 3.1 million of authorized but unissued shares of preferred stock. Our board of directors may designate additional series of authorized preferred stock ranking junior to or in parity with the Series A Preferred Stock or designate additional shares of the Series A Preferred Stock and authorize the issuance of such shares.</w:t>
      </w:r>
    </w:p>
    <w:p>
      <w:pPr>
        <w:spacing w:after="0" w:line="134"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In April 2012, we completed a public offering in which 6.9 million shares of our Series A Preferred Stock were sold to the underwriters at a price of $24.21 per share. Upon completion of the offering we received proceeds, net of offering expenses, of approximately $167 million. Our Series A Preferred Stock has no stated maturity and is not subject to any sinking fund or mandatory redemption. Under certain circumstances upon a change of control, the Series A Preferred Stock is convertible to shares of our common stock. Holders of Series A Preferred Stock have no voting rights, except under limited conditions, and holders are entitled to receive cumulative cash dividends at a rate of 8.00% per annum of the $25.00 per share liquidation preference before holders of our common stock are entitled to receive any dividends. Shares of our Series A Preferred Stock are redeemable at $25.00 per share plus accumulated and unpaid dividends (whether or not declared) exclusively at our option commencing on April 5, 2017, or earlier under certain circumstances intended to preserve our qualification as a REIT for Federal income tax purposes. Dividends</w:t>
      </w:r>
    </w:p>
    <w:p>
      <w:pPr>
        <w:sectPr>
          <w:pgSz w:w="11900" w:h="16838" w:orient="portrait"/>
          <w:cols w:equalWidth="0" w:num="1">
            <w:col w:w="11420"/>
          </w:cols>
          <w:pgMar w:left="240" w:top="922" w:right="239" w:bottom="1440" w:gutter="0" w:footer="0" w:header="0"/>
        </w:sect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ectPr>
          <w:pgSz w:w="11900" w:h="16838" w:orient="portrait"/>
          <w:cols w:equalWidth="0" w:num="1">
            <w:col w:w="11420"/>
          </w:cols>
          <w:pgMar w:left="240" w:top="922" w:right="239" w:bottom="1440" w:gutter="0" w:footer="0" w:header="0"/>
          <w:type w:val="continuous"/>
        </w:sectPr>
      </w:pPr>
    </w:p>
    <w:bookmarkStart w:id="24" w:name="page25"/>
    <w:bookmarkEnd w:id="24"/>
    <w:p>
      <w:pPr>
        <w:jc w:val="both"/>
        <w:spacing w:after="0" w:line="277" w:lineRule="auto"/>
        <w:rPr>
          <w:sz w:val="20"/>
          <w:szCs w:val="20"/>
          <w:color w:val="auto"/>
        </w:rPr>
      </w:pPr>
      <w:r>
        <w:rPr>
          <w:rFonts w:ascii="Arial" w:cs="Arial" w:eastAsia="Arial" w:hAnsi="Arial"/>
          <w:sz w:val="18"/>
          <w:szCs w:val="18"/>
          <w:color w:val="auto"/>
        </w:rPr>
        <w:t>are payable quarterly in arrears on the 15th day of each January, April, July and October. As of September 30, 2012, we had declared all required quarterly dividends on our Series A Preferred Stock.</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Offering</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In March 2012, we completed a public offering in which 71.2 million shares of our common stock were sold to the underwriters at a price of $29.00 per share. Upon completion of the March offering, we received proceeds, net of offering expenses, of approximately $2.1 billion. In July 2012, we completed a public offering in which 36.8 million shares of our common stock were sold to the underwriters at a price of $33.70 per share. Upon completion of the July offering, we received proceeds, net of offering expenses, of approximately $1.2 billion. In both instances, the underwriters in the offering sold the shares of our common stock in one or more transactions on the NASDAQ Global Select Market, in the over-the-counter market, through negotiated transactions or otherwise at market prices prevailing at the time of sale.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At-the-Market Offering Program</w:t>
      </w:r>
    </w:p>
    <w:p>
      <w:pPr>
        <w:spacing w:after="0" w:line="171"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We have sales agreements with sales agents to publicly offer and sell shares of our common stock in privately negotiated and/or at-the-market transactions from time to time. During the nine months ended September 30, 2012, we sold 9.5 million shares of our common stock under such a sales agreement at an average price of $31.41 per share for proceeds, net of program costs, of $298 million. For the three months ended September 30, 2012, we did not sell any shares under the sales agreements. As of September 30, 2012, 16.7 million shares remain under the sales agreements.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Reinvestment and Direct Stock Purchase Plan</w:t>
      </w:r>
    </w:p>
    <w:p>
      <w:pPr>
        <w:spacing w:after="0" w:line="9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sponsor a dividend reinvestment and direct stock purchase plan through which stockholders may purchase additional shares of our common stock by reinvesting some or all of the cash dividends received on shares of our common stock. Stockholders may also make optional cash purchases of shares of our common stock subject to certain limitations detailed in the plan prospectus. During the three and nine months ended September 30, 2012, there were no shares issued under the plan. As of September 30, 2012, 4.7 million shares remain under the plan.</w:t>
      </w: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Subsequent Event</w:t>
      </w:r>
    </w:p>
    <w:p>
      <w:pPr>
        <w:spacing w:after="0" w:line="297"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In October 2012, our Board of Directors adopted a plan that may provide for stock repurchases of up to $500 million of our outstanding shares of common stock through December 31, 2013. Shares of our common stock may be purchased in the open market, including through block purchases, or through privately negotiated transactions, or pursuant to any trading plan that may be adopted in accordance with Rule 10b5-1 of the Securities and Exchange Commission. The timing, manner, price and amount of any repurchases will be determined at our discretion and the program may be suspended, terminated or modified at any time for any reason. We intend to repurchase shares only when the purchase price is less than our estimate of our current net asset value per share of our common stock. Generally, when we repurchase our common stock at a discount to our net asset value, the net asset value of our remaining shares of common stock outstanding increases. In addition, we do not intend to repurchase any shares from directors, officers or other affiliates. The program does not obligate us to acquire any specific number of shares, and all repurchases will be made in accordance with SEC Rule 10b-18, which sets certain restrictions on the method, timing, price and volume of stock repurchases.</w: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746"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94" w:lineRule="exact"/>
        <w:rPr>
          <w:sz w:val="20"/>
          <w:szCs w:val="20"/>
          <w:color w:val="auto"/>
        </w:rPr>
      </w:pPr>
    </w:p>
    <w:p>
      <w:pPr>
        <w:ind w:firstLine="432"/>
        <w:spacing w:after="0" w:line="308" w:lineRule="auto"/>
        <w:rPr>
          <w:sz w:val="20"/>
          <w:szCs w:val="20"/>
          <w:color w:val="auto"/>
        </w:rPr>
      </w:pPr>
      <w:r>
        <w:rPr>
          <w:rFonts w:ascii="Arial" w:cs="Arial" w:eastAsia="Arial" w:hAnsi="Arial"/>
          <w:sz w:val="17"/>
          <w:szCs w:val="17"/>
          <w:color w:val="auto"/>
        </w:rPr>
        <w:t>Management’s Discussion and Analysis of Financial Condition and Results of Operations (“MD&amp;A”) is designed to provide a reader of American Capital Agency Corp.’s consolidated financial statements with a narrative from the perspective of management. Our MD&amp;A is presented in five sections:</w:t>
      </w:r>
    </w:p>
    <w:p>
      <w:pPr>
        <w:spacing w:after="0" w:line="11" w:lineRule="exact"/>
        <w:rPr>
          <w:sz w:val="20"/>
          <w:szCs w:val="20"/>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American Capital Agency Corp. (“AGNC”, the “Company”, “we”, “us” and “our”) was organized on January 7, 2008 and commenced operations on May 20, 2008 following the completion of our initial public offering. Our common stock is traded on The NASDAQ Global Select Market under the symbol “AGNC”. We are externally managed by American Capital AGNC Management, LLC (our “Manager”), an affiliate of American Capital, Ltd. (“American Capital”).</w:t>
      </w:r>
    </w:p>
    <w:p>
      <w:pPr>
        <w:spacing w:after="0" w:line="129" w:lineRule="exact"/>
        <w:rPr>
          <w:sz w:val="20"/>
          <w:szCs w:val="20"/>
          <w:color w:val="auto"/>
        </w:rPr>
      </w:pPr>
    </w:p>
    <w:p>
      <w:pPr>
        <w:jc w:val="both"/>
        <w:ind w:right="20" w:firstLine="432"/>
        <w:spacing w:after="0" w:line="257" w:lineRule="auto"/>
        <w:rPr>
          <w:sz w:val="20"/>
          <w:szCs w:val="20"/>
          <w:color w:val="auto"/>
        </w:rPr>
      </w:pPr>
      <w:r>
        <w:rPr>
          <w:rFonts w:ascii="Arial" w:cs="Arial" w:eastAsia="Arial" w:hAnsi="Arial"/>
          <w:sz w:val="18"/>
          <w:szCs w:val="18"/>
          <w:color w:val="auto"/>
        </w:rPr>
        <w:t>We operate so as to qualify to be taxed as a real estate investment trust (“REIT”) under the Internal Revenue Code of 1986, as amended (the “Internal Revenue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It is our intention to distribute 100% of our taxable income, after application of available tax attributes, within the limits prescribed by the Internal Revenue Code, which may extend into the subsequent taxable year.</w:t>
      </w:r>
    </w:p>
    <w:p>
      <w:pPr>
        <w:spacing w:after="0" w:line="134"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We earn income primarily from investing on a leveraged basis in agency mortgage-backed securities. These investments consist of residential mortgage pass-through securities and collateralized mortgage obligations (“CMOs”) for which the principal and interest payments are guaranteed by government-sponsored entities, such as the Federal National Mortgage Association (“Fannie Mae”) and the Federal Home Loan Mortgage Corporation (“Freddie Mac”), or by a U.S. Government agency, such as the Government National Mortgage Association (“Ginnie Mae”) (collectively referred to as “GSEs”). We may also invest in agency debenture securities issued by Freddie Mac, Fannie Mae or the Federal Home Loan Bank ("FHLB"). We refer to agency mortgage-backed securities and agency debenture securities collectively as "agency securities" and we refer to the specific investment securities in which we invest as our "investment portfolio".</w:t>
      </w:r>
    </w:p>
    <w:p>
      <w:pPr>
        <w:spacing w:after="0" w:line="14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principal objective is to preserve our net book value (also referred to as "net asset value", "NAV" and "stockholders' equity") while generating attractive risk-adjusted returns for distribution to our stockholders through regular quarterly dividends from the combination of our net interest income and net realized gains and losses on our investments and hedging activities. We fund our investments primarily through borrowings structured as repurchase agreements.</w:t>
      </w:r>
    </w:p>
    <w:p>
      <w:pPr>
        <w:spacing w:after="0" w:line="12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Our Investment Strategy</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Our investment strategy is designed to:</w:t>
      </w:r>
    </w:p>
    <w:p>
      <w:pPr>
        <w:spacing w:after="0" w:line="185" w:lineRule="exact"/>
        <w:rPr>
          <w:sz w:val="20"/>
          <w:szCs w:val="20"/>
          <w:color w:val="auto"/>
        </w:rPr>
      </w:pPr>
    </w:p>
    <w:p>
      <w:pPr>
        <w:ind w:left="760" w:hanging="347"/>
        <w:spacing w:after="0"/>
        <w:tabs>
          <w:tab w:leader="none" w:pos="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manage an investment portfolio consisting of agency securities that seeks to generate attractive risk-adjusted returns;</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capitalize on discrepancies in the relative valuations in the agency securities market;</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manage financing, interest and prepayment rate risks;</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preserve our net book value;</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provide regular quarterly distributions to our stockholders;</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qualify as a REIT; and</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remain exempt from the requirements of the Investment Company Act of 1940, as amended (the “Investment Company Act”).</w:t>
      </w:r>
    </w:p>
    <w:p>
      <w:pPr>
        <w:spacing w:after="0" w:line="225"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The size and composition of our investment portfolio depends on investment strategies implemented by our Manager, the availability of investment capital and overall market conditions, including the availability of attractively priced investments and suitable financing to appropriately leverage our investment portfolio. Market conditions are influenced by, among other things, current levels of and expectations for future levels of, interest rates, mortgage prepayments, market liquidity, housing prices, unemployment rates, general economic conditions, government participation in the mortgage market, evolving regulations or legal settlements that impact servicing practices or other mortgage related activities.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580" w:right="2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175"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On September 13, 2012, the Federal Reserve announced their third quantitative easing program, commonly known as QE3, and extended their guidance to keep the federal funds rate at "exceptional low levels" through at least mid-2015. QE3 entails large-scale purchases of agency MBS at the pace of $40 billion per month in addition to the Federal Reserve's existing policy of reinvesting principal payments from its holdings of agency MBS into new agency MBS purchases. The program is open-ended in nature, and is intended to put downward pressure on longer-term interest rates, support mortgage markets, and help make the broader financial conditions more accommodative. The Federal Reserve plans to continue their purchases of agency MBS and employ other policy tools, as appropriate, until they foresee substantial improvement in the outlook for the U.S. labor market.</w:t>
      </w:r>
    </w:p>
    <w:p>
      <w:pPr>
        <w:spacing w:after="0" w:line="124"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The Federal Reserve's purchases will likely be concentrated in newly-issued, fixed-rate agency MBS (i.e., the part of the mortgage market with the greatest impact on mortgage rates offered to borrowers). We expect that the combined total purchases of agency MBS by the Federal Reserve will be $65 billion to $75 billion per month, which will likely be more than 50% of the average gross agency MBS new issue volume during the fourth quarter of 2012. As of September 30, 2012, prices across the agency MBS spectrum had generally increased following the Federal Reserve's QE3 announcement, with the lowest coupon, 30-year and 15-year fixed-rate agency MBS outperforming higher coupon agency MBS. The table below summarizes interest rates and prices of generic fixed-rate agency MBS for the nine month period ended September 30, 2012.</w:t>
      </w: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91"/>
              </w:rPr>
              <w:t>September 30, 2012</w:t>
            </w:r>
          </w:p>
        </w:tc>
        <w:tc>
          <w:tcPr>
            <w:tcW w:w="1560" w:type="dxa"/>
            <w:vAlign w:val="bottom"/>
          </w:tcPr>
          <w:p>
            <w:pPr>
              <w:jc w:val="center"/>
              <w:ind w:left="8"/>
              <w:spacing w:after="0"/>
              <w:rPr>
                <w:sz w:val="20"/>
                <w:szCs w:val="20"/>
                <w:color w:val="auto"/>
              </w:rPr>
            </w:pPr>
            <w:r>
              <w:rPr>
                <w:rFonts w:ascii="Arial" w:cs="Arial" w:eastAsia="Arial" w:hAnsi="Arial"/>
                <w:sz w:val="14"/>
                <w:szCs w:val="14"/>
                <w:b w:val="1"/>
                <w:bCs w:val="1"/>
                <w:color w:val="auto"/>
                <w:w w:val="91"/>
              </w:rPr>
              <w:t>September 30, 2012</w:t>
            </w:r>
          </w:p>
        </w:tc>
      </w:tr>
      <w:tr>
        <w:trPr>
          <w:trHeight w:val="270"/>
        </w:trPr>
        <w:tc>
          <w:tcPr>
            <w:tcW w:w="27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85"/>
              </w:rPr>
              <w:t>Versus</w:t>
            </w:r>
          </w:p>
        </w:tc>
        <w:tc>
          <w:tcPr>
            <w:tcW w:w="1560" w:type="dxa"/>
            <w:vAlign w:val="bottom"/>
          </w:tcPr>
          <w:p>
            <w:pPr>
              <w:jc w:val="center"/>
              <w:ind w:left="8"/>
              <w:spacing w:after="0"/>
              <w:rPr>
                <w:sz w:val="20"/>
                <w:szCs w:val="20"/>
                <w:color w:val="auto"/>
              </w:rPr>
            </w:pPr>
            <w:r>
              <w:rPr>
                <w:rFonts w:ascii="Arial" w:cs="Arial" w:eastAsia="Arial" w:hAnsi="Arial"/>
                <w:sz w:val="14"/>
                <w:szCs w:val="14"/>
                <w:b w:val="1"/>
                <w:bCs w:val="1"/>
                <w:color w:val="auto"/>
                <w:w w:val="85"/>
              </w:rPr>
              <w:t>Versus</w:t>
            </w:r>
          </w:p>
        </w:tc>
      </w:tr>
      <w:tr>
        <w:trPr>
          <w:trHeight w:val="344"/>
        </w:trPr>
        <w:tc>
          <w:tcPr>
            <w:tcW w:w="2740" w:type="dxa"/>
            <w:vAlign w:val="bottom"/>
            <w:tcBorders>
              <w:bottom w:val="single" w:sz="8" w:color="auto"/>
            </w:tcBorders>
          </w:tcPr>
          <w:p>
            <w:pPr>
              <w:ind w:left="46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8"/>
                <w:szCs w:val="8"/>
                <w:b w:val="1"/>
                <w:bCs w:val="1"/>
                <w:color w:val="auto"/>
              </w:rPr>
              <w:t>(1)</w:t>
            </w:r>
          </w:p>
        </w:tc>
        <w:tc>
          <w:tcPr>
            <w:tcW w:w="140" w:type="dxa"/>
            <w:vAlign w:val="bottom"/>
          </w:tcPr>
          <w:p>
            <w:pPr>
              <w:spacing w:after="0"/>
              <w:rPr>
                <w:sz w:val="24"/>
                <w:szCs w:val="24"/>
                <w:color w:val="auto"/>
              </w:rPr>
            </w:pPr>
          </w:p>
        </w:tc>
        <w:tc>
          <w:tcPr>
            <w:tcW w:w="13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September 30, 2012</w:t>
            </w:r>
          </w:p>
        </w:tc>
        <w:tc>
          <w:tcPr>
            <w:tcW w:w="120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June 30, 2012</w:t>
            </w:r>
          </w:p>
        </w:tc>
        <w:tc>
          <w:tcPr>
            <w:tcW w:w="13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March 31, 2012</w:t>
            </w:r>
          </w:p>
        </w:tc>
        <w:tc>
          <w:tcPr>
            <w:tcW w:w="148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December 31, 2011</w:t>
            </w: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June 30, 2012</w:t>
            </w:r>
          </w:p>
        </w:tc>
        <w:tc>
          <w:tcPr>
            <w:tcW w:w="156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b w:val="1"/>
                <w:bCs w:val="1"/>
                <w:color w:val="auto"/>
                <w:w w:val="91"/>
              </w:rPr>
              <w:t>December 31, 2011</w:t>
            </w: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b w:val="1"/>
                <w:bCs w:val="1"/>
                <w:color w:val="auto"/>
              </w:rPr>
              <w:t>LIBOR:</w:t>
            </w:r>
          </w:p>
        </w:tc>
        <w:tc>
          <w:tcPr>
            <w:tcW w:w="13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76"/>
        </w:trPr>
        <w:tc>
          <w:tcPr>
            <w:tcW w:w="288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1-Month</w:t>
            </w:r>
          </w:p>
        </w:tc>
        <w:tc>
          <w:tcPr>
            <w:tcW w:w="138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w w:val="90"/>
              </w:rPr>
              <w:t>0.21%</w:t>
            </w:r>
          </w:p>
        </w:tc>
        <w:tc>
          <w:tcPr>
            <w:tcW w:w="120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0"/>
              </w:rPr>
              <w:t>0.25%</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0.24%</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0.30%</w:t>
            </w: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-0.04</w:t>
            </w:r>
          </w:p>
        </w:tc>
        <w:tc>
          <w:tcPr>
            <w:tcW w:w="1560" w:type="dxa"/>
            <w:vAlign w:val="bottom"/>
            <w:shd w:val="clear" w:color="auto" w:fill="CCEEFF"/>
          </w:tcPr>
          <w:p>
            <w:pPr>
              <w:jc w:val="center"/>
              <w:ind w:left="28"/>
              <w:spacing w:after="0"/>
              <w:rPr>
                <w:sz w:val="20"/>
                <w:szCs w:val="20"/>
                <w:color w:val="auto"/>
              </w:rPr>
            </w:pPr>
            <w:r>
              <w:rPr>
                <w:rFonts w:ascii="Arial" w:cs="Arial" w:eastAsia="Arial" w:hAnsi="Arial"/>
                <w:sz w:val="14"/>
                <w:szCs w:val="14"/>
                <w:color w:val="auto"/>
                <w:w w:val="93"/>
              </w:rPr>
              <w:t>-0.09</w:t>
            </w:r>
          </w:p>
        </w:tc>
      </w:tr>
      <w:tr>
        <w:trPr>
          <w:trHeight w:val="264"/>
        </w:trPr>
        <w:tc>
          <w:tcPr>
            <w:tcW w:w="2880" w:type="dxa"/>
            <w:vAlign w:val="bottom"/>
            <w:gridSpan w:val="2"/>
          </w:tcPr>
          <w:p>
            <w:pPr>
              <w:ind w:left="200"/>
              <w:spacing w:after="0"/>
              <w:rPr>
                <w:sz w:val="20"/>
                <w:szCs w:val="20"/>
                <w:color w:val="auto"/>
              </w:rPr>
            </w:pPr>
            <w:r>
              <w:rPr>
                <w:rFonts w:ascii="Arial" w:cs="Arial" w:eastAsia="Arial" w:hAnsi="Arial"/>
                <w:sz w:val="14"/>
                <w:szCs w:val="14"/>
                <w:color w:val="auto"/>
              </w:rPr>
              <w:t>3-Month</w:t>
            </w: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0"/>
              </w:rPr>
              <w:t>0.36%</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0"/>
              </w:rPr>
              <w:t>0.46%</w:t>
            </w: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0.47%</w:t>
            </w:r>
          </w:p>
        </w:tc>
        <w:tc>
          <w:tcPr>
            <w:tcW w:w="1480" w:type="dxa"/>
            <w:vAlign w:val="bottom"/>
          </w:tcPr>
          <w:p>
            <w:pPr>
              <w:jc w:val="center"/>
              <w:spacing w:after="0"/>
              <w:rPr>
                <w:sz w:val="20"/>
                <w:szCs w:val="20"/>
                <w:color w:val="auto"/>
              </w:rPr>
            </w:pPr>
            <w:r>
              <w:rPr>
                <w:rFonts w:ascii="Arial" w:cs="Arial" w:eastAsia="Arial" w:hAnsi="Arial"/>
                <w:sz w:val="14"/>
                <w:szCs w:val="14"/>
                <w:color w:val="auto"/>
                <w:w w:val="90"/>
              </w:rPr>
              <w:t>0.58%</w:t>
            </w:r>
          </w:p>
        </w:tc>
        <w:tc>
          <w:tcPr>
            <w:tcW w:w="1600" w:type="dxa"/>
            <w:vAlign w:val="bottom"/>
          </w:tcPr>
          <w:p>
            <w:pPr>
              <w:jc w:val="center"/>
              <w:spacing w:after="0"/>
              <w:rPr>
                <w:sz w:val="20"/>
                <w:szCs w:val="20"/>
                <w:color w:val="auto"/>
              </w:rPr>
            </w:pPr>
            <w:r>
              <w:rPr>
                <w:rFonts w:ascii="Arial" w:cs="Arial" w:eastAsia="Arial" w:hAnsi="Arial"/>
                <w:sz w:val="14"/>
                <w:szCs w:val="14"/>
                <w:color w:val="auto"/>
                <w:w w:val="93"/>
              </w:rPr>
              <w:t>-0.10</w:t>
            </w:r>
          </w:p>
        </w:tc>
        <w:tc>
          <w:tcPr>
            <w:tcW w:w="1560" w:type="dxa"/>
            <w:vAlign w:val="bottom"/>
          </w:tcPr>
          <w:p>
            <w:pPr>
              <w:jc w:val="center"/>
              <w:ind w:left="28"/>
              <w:spacing w:after="0"/>
              <w:rPr>
                <w:sz w:val="20"/>
                <w:szCs w:val="20"/>
                <w:color w:val="auto"/>
              </w:rPr>
            </w:pPr>
            <w:r>
              <w:rPr>
                <w:rFonts w:ascii="Arial" w:cs="Arial" w:eastAsia="Arial" w:hAnsi="Arial"/>
                <w:sz w:val="14"/>
                <w:szCs w:val="14"/>
                <w:color w:val="auto"/>
                <w:w w:val="93"/>
              </w:rPr>
              <w:t>-0.22</w:t>
            </w: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U.S. Treasury Security Rate:</w:t>
            </w:r>
          </w:p>
        </w:tc>
        <w:tc>
          <w:tcPr>
            <w:tcW w:w="138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600" w:type="dxa"/>
            <w:vAlign w:val="bottom"/>
            <w:shd w:val="clear" w:color="auto" w:fill="CCEEFF"/>
          </w:tcPr>
          <w:p>
            <w:pPr>
              <w:spacing w:after="0"/>
              <w:rPr>
                <w:sz w:val="24"/>
                <w:szCs w:val="24"/>
                <w:color w:val="auto"/>
              </w:rPr>
            </w:pPr>
          </w:p>
        </w:tc>
        <w:tc>
          <w:tcPr>
            <w:tcW w:w="1560" w:type="dxa"/>
            <w:vAlign w:val="bottom"/>
            <w:shd w:val="clear" w:color="auto" w:fill="CCEEFF"/>
          </w:tcPr>
          <w:p>
            <w:pPr>
              <w:spacing w:after="0"/>
              <w:rPr>
                <w:sz w:val="24"/>
                <w:szCs w:val="24"/>
                <w:color w:val="auto"/>
              </w:rPr>
            </w:pPr>
          </w:p>
        </w:tc>
      </w:tr>
      <w:tr>
        <w:trPr>
          <w:trHeight w:val="264"/>
        </w:trPr>
        <w:tc>
          <w:tcPr>
            <w:tcW w:w="2880" w:type="dxa"/>
            <w:vAlign w:val="bottom"/>
            <w:gridSpan w:val="2"/>
          </w:tcPr>
          <w:p>
            <w:pPr>
              <w:ind w:left="200"/>
              <w:spacing w:after="0"/>
              <w:rPr>
                <w:sz w:val="20"/>
                <w:szCs w:val="20"/>
                <w:color w:val="auto"/>
              </w:rPr>
            </w:pPr>
            <w:r>
              <w:rPr>
                <w:rFonts w:ascii="Arial" w:cs="Arial" w:eastAsia="Arial" w:hAnsi="Arial"/>
                <w:sz w:val="14"/>
                <w:szCs w:val="14"/>
                <w:color w:val="auto"/>
              </w:rPr>
              <w:t>2-Year U.S. Treasury</w:t>
            </w: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0"/>
              </w:rPr>
              <w:t>0.23%</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0"/>
              </w:rPr>
              <w:t>0.30%</w:t>
            </w: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0.33%</w:t>
            </w:r>
          </w:p>
        </w:tc>
        <w:tc>
          <w:tcPr>
            <w:tcW w:w="1480" w:type="dxa"/>
            <w:vAlign w:val="bottom"/>
          </w:tcPr>
          <w:p>
            <w:pPr>
              <w:jc w:val="center"/>
              <w:spacing w:after="0"/>
              <w:rPr>
                <w:sz w:val="20"/>
                <w:szCs w:val="20"/>
                <w:color w:val="auto"/>
              </w:rPr>
            </w:pPr>
            <w:r>
              <w:rPr>
                <w:rFonts w:ascii="Arial" w:cs="Arial" w:eastAsia="Arial" w:hAnsi="Arial"/>
                <w:sz w:val="14"/>
                <w:szCs w:val="14"/>
                <w:color w:val="auto"/>
                <w:w w:val="90"/>
              </w:rPr>
              <w:t>0.24%</w:t>
            </w:r>
          </w:p>
        </w:tc>
        <w:tc>
          <w:tcPr>
            <w:tcW w:w="1600" w:type="dxa"/>
            <w:vAlign w:val="bottom"/>
          </w:tcPr>
          <w:p>
            <w:pPr>
              <w:jc w:val="center"/>
              <w:spacing w:after="0"/>
              <w:rPr>
                <w:sz w:val="20"/>
                <w:szCs w:val="20"/>
                <w:color w:val="auto"/>
              </w:rPr>
            </w:pPr>
            <w:r>
              <w:rPr>
                <w:rFonts w:ascii="Arial" w:cs="Arial" w:eastAsia="Arial" w:hAnsi="Arial"/>
                <w:sz w:val="14"/>
                <w:szCs w:val="14"/>
                <w:color w:val="auto"/>
                <w:w w:val="93"/>
              </w:rPr>
              <w:t>-0.07</w:t>
            </w:r>
          </w:p>
        </w:tc>
        <w:tc>
          <w:tcPr>
            <w:tcW w:w="1560" w:type="dxa"/>
            <w:vAlign w:val="bottom"/>
          </w:tcPr>
          <w:p>
            <w:pPr>
              <w:jc w:val="center"/>
              <w:ind w:left="28"/>
              <w:spacing w:after="0"/>
              <w:rPr>
                <w:sz w:val="20"/>
                <w:szCs w:val="20"/>
                <w:color w:val="auto"/>
              </w:rPr>
            </w:pPr>
            <w:r>
              <w:rPr>
                <w:rFonts w:ascii="Arial" w:cs="Arial" w:eastAsia="Arial" w:hAnsi="Arial"/>
                <w:sz w:val="14"/>
                <w:szCs w:val="14"/>
                <w:color w:val="auto"/>
                <w:w w:val="93"/>
              </w:rPr>
              <w:t>-0.01</w:t>
            </w:r>
          </w:p>
        </w:tc>
      </w:tr>
      <w:tr>
        <w:trPr>
          <w:trHeight w:val="276"/>
        </w:trPr>
        <w:tc>
          <w:tcPr>
            <w:tcW w:w="288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5-Year U.S. Treasury</w:t>
            </w:r>
          </w:p>
        </w:tc>
        <w:tc>
          <w:tcPr>
            <w:tcW w:w="138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w w:val="90"/>
              </w:rPr>
              <w:t>0.63%</w:t>
            </w:r>
          </w:p>
        </w:tc>
        <w:tc>
          <w:tcPr>
            <w:tcW w:w="120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0"/>
              </w:rPr>
              <w:t>0.72%</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1.04%</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0.83%</w:t>
            </w: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-0.09</w:t>
            </w:r>
          </w:p>
        </w:tc>
        <w:tc>
          <w:tcPr>
            <w:tcW w:w="1560" w:type="dxa"/>
            <w:vAlign w:val="bottom"/>
            <w:shd w:val="clear" w:color="auto" w:fill="CCEEFF"/>
          </w:tcPr>
          <w:p>
            <w:pPr>
              <w:jc w:val="center"/>
              <w:ind w:left="28"/>
              <w:spacing w:after="0"/>
              <w:rPr>
                <w:sz w:val="20"/>
                <w:szCs w:val="20"/>
                <w:color w:val="auto"/>
              </w:rPr>
            </w:pPr>
            <w:r>
              <w:rPr>
                <w:rFonts w:ascii="Arial" w:cs="Arial" w:eastAsia="Arial" w:hAnsi="Arial"/>
                <w:sz w:val="14"/>
                <w:szCs w:val="14"/>
                <w:color w:val="auto"/>
                <w:w w:val="93"/>
              </w:rPr>
              <w:t>-0.20</w:t>
            </w:r>
          </w:p>
        </w:tc>
      </w:tr>
      <w:tr>
        <w:trPr>
          <w:trHeight w:val="264"/>
        </w:trPr>
        <w:tc>
          <w:tcPr>
            <w:tcW w:w="2880" w:type="dxa"/>
            <w:vAlign w:val="bottom"/>
            <w:gridSpan w:val="2"/>
          </w:tcPr>
          <w:p>
            <w:pPr>
              <w:ind w:left="200"/>
              <w:spacing w:after="0"/>
              <w:rPr>
                <w:sz w:val="20"/>
                <w:szCs w:val="20"/>
                <w:color w:val="auto"/>
              </w:rPr>
            </w:pPr>
            <w:r>
              <w:rPr>
                <w:rFonts w:ascii="Arial" w:cs="Arial" w:eastAsia="Arial" w:hAnsi="Arial"/>
                <w:sz w:val="14"/>
                <w:szCs w:val="14"/>
                <w:color w:val="auto"/>
              </w:rPr>
              <w:t>10-Year U.S. Treasury</w:t>
            </w: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0"/>
              </w:rPr>
              <w:t>1.63%</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0"/>
              </w:rPr>
              <w:t>1.65%</w:t>
            </w: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2.21%</w:t>
            </w:r>
          </w:p>
        </w:tc>
        <w:tc>
          <w:tcPr>
            <w:tcW w:w="1480" w:type="dxa"/>
            <w:vAlign w:val="bottom"/>
          </w:tcPr>
          <w:p>
            <w:pPr>
              <w:jc w:val="center"/>
              <w:spacing w:after="0"/>
              <w:rPr>
                <w:sz w:val="20"/>
                <w:szCs w:val="20"/>
                <w:color w:val="auto"/>
              </w:rPr>
            </w:pPr>
            <w:r>
              <w:rPr>
                <w:rFonts w:ascii="Arial" w:cs="Arial" w:eastAsia="Arial" w:hAnsi="Arial"/>
                <w:sz w:val="14"/>
                <w:szCs w:val="14"/>
                <w:color w:val="auto"/>
                <w:w w:val="90"/>
              </w:rPr>
              <w:t>1.88%</w:t>
            </w:r>
          </w:p>
        </w:tc>
        <w:tc>
          <w:tcPr>
            <w:tcW w:w="1600" w:type="dxa"/>
            <w:vAlign w:val="bottom"/>
          </w:tcPr>
          <w:p>
            <w:pPr>
              <w:jc w:val="center"/>
              <w:spacing w:after="0"/>
              <w:rPr>
                <w:sz w:val="20"/>
                <w:szCs w:val="20"/>
                <w:color w:val="auto"/>
              </w:rPr>
            </w:pPr>
            <w:r>
              <w:rPr>
                <w:rFonts w:ascii="Arial" w:cs="Arial" w:eastAsia="Arial" w:hAnsi="Arial"/>
                <w:sz w:val="14"/>
                <w:szCs w:val="14"/>
                <w:color w:val="auto"/>
                <w:w w:val="93"/>
              </w:rPr>
              <w:t>-0.02</w:t>
            </w:r>
          </w:p>
        </w:tc>
        <w:tc>
          <w:tcPr>
            <w:tcW w:w="1560" w:type="dxa"/>
            <w:vAlign w:val="bottom"/>
          </w:tcPr>
          <w:p>
            <w:pPr>
              <w:jc w:val="center"/>
              <w:ind w:left="28"/>
              <w:spacing w:after="0"/>
              <w:rPr>
                <w:sz w:val="20"/>
                <w:szCs w:val="20"/>
                <w:color w:val="auto"/>
              </w:rPr>
            </w:pPr>
            <w:r>
              <w:rPr>
                <w:rFonts w:ascii="Arial" w:cs="Arial" w:eastAsia="Arial" w:hAnsi="Arial"/>
                <w:sz w:val="14"/>
                <w:szCs w:val="14"/>
                <w:color w:val="auto"/>
                <w:w w:val="93"/>
              </w:rPr>
              <w:t>-0.25</w:t>
            </w: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Interest Rate Swap Rate:</w:t>
            </w:r>
          </w:p>
        </w:tc>
        <w:tc>
          <w:tcPr>
            <w:tcW w:w="138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600" w:type="dxa"/>
            <w:vAlign w:val="bottom"/>
            <w:shd w:val="clear" w:color="auto" w:fill="CCEEFF"/>
          </w:tcPr>
          <w:p>
            <w:pPr>
              <w:spacing w:after="0"/>
              <w:rPr>
                <w:sz w:val="24"/>
                <w:szCs w:val="24"/>
                <w:color w:val="auto"/>
              </w:rPr>
            </w:pPr>
          </w:p>
        </w:tc>
        <w:tc>
          <w:tcPr>
            <w:tcW w:w="1560" w:type="dxa"/>
            <w:vAlign w:val="bottom"/>
            <w:shd w:val="clear" w:color="auto" w:fill="CCEEFF"/>
          </w:tcPr>
          <w:p>
            <w:pPr>
              <w:spacing w:after="0"/>
              <w:rPr>
                <w:sz w:val="24"/>
                <w:szCs w:val="24"/>
                <w:color w:val="auto"/>
              </w:rPr>
            </w:pPr>
          </w:p>
        </w:tc>
      </w:tr>
      <w:tr>
        <w:trPr>
          <w:trHeight w:val="264"/>
        </w:trPr>
        <w:tc>
          <w:tcPr>
            <w:tcW w:w="2880" w:type="dxa"/>
            <w:vAlign w:val="bottom"/>
            <w:gridSpan w:val="2"/>
          </w:tcPr>
          <w:p>
            <w:pPr>
              <w:ind w:left="200"/>
              <w:spacing w:after="0"/>
              <w:rPr>
                <w:sz w:val="20"/>
                <w:szCs w:val="20"/>
                <w:color w:val="auto"/>
              </w:rPr>
            </w:pPr>
            <w:r>
              <w:rPr>
                <w:rFonts w:ascii="Arial" w:cs="Arial" w:eastAsia="Arial" w:hAnsi="Arial"/>
                <w:sz w:val="14"/>
                <w:szCs w:val="14"/>
                <w:color w:val="auto"/>
              </w:rPr>
              <w:t>2-Year Swap</w:t>
            </w: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0"/>
              </w:rPr>
              <w:t>0.37%</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0"/>
              </w:rPr>
              <w:t>0.55%</w:t>
            </w: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0.58%</w:t>
            </w:r>
          </w:p>
        </w:tc>
        <w:tc>
          <w:tcPr>
            <w:tcW w:w="1480" w:type="dxa"/>
            <w:vAlign w:val="bottom"/>
          </w:tcPr>
          <w:p>
            <w:pPr>
              <w:jc w:val="center"/>
              <w:spacing w:after="0"/>
              <w:rPr>
                <w:sz w:val="20"/>
                <w:szCs w:val="20"/>
                <w:color w:val="auto"/>
              </w:rPr>
            </w:pPr>
            <w:r>
              <w:rPr>
                <w:rFonts w:ascii="Arial" w:cs="Arial" w:eastAsia="Arial" w:hAnsi="Arial"/>
                <w:sz w:val="14"/>
                <w:szCs w:val="14"/>
                <w:color w:val="auto"/>
                <w:w w:val="90"/>
              </w:rPr>
              <w:t>0.73%</w:t>
            </w:r>
          </w:p>
        </w:tc>
        <w:tc>
          <w:tcPr>
            <w:tcW w:w="1600" w:type="dxa"/>
            <w:vAlign w:val="bottom"/>
          </w:tcPr>
          <w:p>
            <w:pPr>
              <w:jc w:val="center"/>
              <w:spacing w:after="0"/>
              <w:rPr>
                <w:sz w:val="20"/>
                <w:szCs w:val="20"/>
                <w:color w:val="auto"/>
              </w:rPr>
            </w:pPr>
            <w:r>
              <w:rPr>
                <w:rFonts w:ascii="Arial" w:cs="Arial" w:eastAsia="Arial" w:hAnsi="Arial"/>
                <w:sz w:val="14"/>
                <w:szCs w:val="14"/>
                <w:color w:val="auto"/>
                <w:w w:val="93"/>
              </w:rPr>
              <w:t>-0.18</w:t>
            </w:r>
          </w:p>
        </w:tc>
        <w:tc>
          <w:tcPr>
            <w:tcW w:w="1560" w:type="dxa"/>
            <w:vAlign w:val="bottom"/>
          </w:tcPr>
          <w:p>
            <w:pPr>
              <w:jc w:val="center"/>
              <w:ind w:left="28"/>
              <w:spacing w:after="0"/>
              <w:rPr>
                <w:sz w:val="20"/>
                <w:szCs w:val="20"/>
                <w:color w:val="auto"/>
              </w:rPr>
            </w:pPr>
            <w:r>
              <w:rPr>
                <w:rFonts w:ascii="Arial" w:cs="Arial" w:eastAsia="Arial" w:hAnsi="Arial"/>
                <w:sz w:val="14"/>
                <w:szCs w:val="14"/>
                <w:color w:val="auto"/>
                <w:w w:val="93"/>
              </w:rPr>
              <w:t>-0.36</w:t>
            </w:r>
          </w:p>
        </w:tc>
      </w:tr>
      <w:tr>
        <w:trPr>
          <w:trHeight w:val="276"/>
        </w:trPr>
        <w:tc>
          <w:tcPr>
            <w:tcW w:w="288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5-Year Swap</w:t>
            </w:r>
          </w:p>
        </w:tc>
        <w:tc>
          <w:tcPr>
            <w:tcW w:w="138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w w:val="90"/>
              </w:rPr>
              <w:t>0.76%</w:t>
            </w:r>
          </w:p>
        </w:tc>
        <w:tc>
          <w:tcPr>
            <w:tcW w:w="120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0"/>
              </w:rPr>
              <w:t>0.97%</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1.27%</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1.22%</w:t>
            </w: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-0.21</w:t>
            </w:r>
          </w:p>
        </w:tc>
        <w:tc>
          <w:tcPr>
            <w:tcW w:w="1560" w:type="dxa"/>
            <w:vAlign w:val="bottom"/>
            <w:shd w:val="clear" w:color="auto" w:fill="CCEEFF"/>
          </w:tcPr>
          <w:p>
            <w:pPr>
              <w:jc w:val="center"/>
              <w:ind w:left="28"/>
              <w:spacing w:after="0"/>
              <w:rPr>
                <w:sz w:val="20"/>
                <w:szCs w:val="20"/>
                <w:color w:val="auto"/>
              </w:rPr>
            </w:pPr>
            <w:r>
              <w:rPr>
                <w:rFonts w:ascii="Arial" w:cs="Arial" w:eastAsia="Arial" w:hAnsi="Arial"/>
                <w:sz w:val="14"/>
                <w:szCs w:val="14"/>
                <w:color w:val="auto"/>
                <w:w w:val="93"/>
              </w:rPr>
              <w:t>-0.46</w:t>
            </w:r>
          </w:p>
        </w:tc>
      </w:tr>
      <w:tr>
        <w:trPr>
          <w:trHeight w:val="264"/>
        </w:trPr>
        <w:tc>
          <w:tcPr>
            <w:tcW w:w="2880" w:type="dxa"/>
            <w:vAlign w:val="bottom"/>
            <w:gridSpan w:val="2"/>
          </w:tcPr>
          <w:p>
            <w:pPr>
              <w:ind w:left="200"/>
              <w:spacing w:after="0"/>
              <w:rPr>
                <w:sz w:val="20"/>
                <w:szCs w:val="20"/>
                <w:color w:val="auto"/>
              </w:rPr>
            </w:pPr>
            <w:r>
              <w:rPr>
                <w:rFonts w:ascii="Arial" w:cs="Arial" w:eastAsia="Arial" w:hAnsi="Arial"/>
                <w:sz w:val="14"/>
                <w:szCs w:val="14"/>
                <w:color w:val="auto"/>
              </w:rPr>
              <w:t>10-Year Swap</w:t>
            </w: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0"/>
              </w:rPr>
              <w:t>1.70%</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0"/>
              </w:rPr>
              <w:t>1.78%</w:t>
            </w: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2.29%</w:t>
            </w:r>
          </w:p>
        </w:tc>
        <w:tc>
          <w:tcPr>
            <w:tcW w:w="1480" w:type="dxa"/>
            <w:vAlign w:val="bottom"/>
          </w:tcPr>
          <w:p>
            <w:pPr>
              <w:jc w:val="center"/>
              <w:spacing w:after="0"/>
              <w:rPr>
                <w:sz w:val="20"/>
                <w:szCs w:val="20"/>
                <w:color w:val="auto"/>
              </w:rPr>
            </w:pPr>
            <w:r>
              <w:rPr>
                <w:rFonts w:ascii="Arial" w:cs="Arial" w:eastAsia="Arial" w:hAnsi="Arial"/>
                <w:sz w:val="14"/>
                <w:szCs w:val="14"/>
                <w:color w:val="auto"/>
                <w:w w:val="90"/>
              </w:rPr>
              <w:t>2.03%</w:t>
            </w:r>
          </w:p>
        </w:tc>
        <w:tc>
          <w:tcPr>
            <w:tcW w:w="1600" w:type="dxa"/>
            <w:vAlign w:val="bottom"/>
          </w:tcPr>
          <w:p>
            <w:pPr>
              <w:jc w:val="center"/>
              <w:spacing w:after="0"/>
              <w:rPr>
                <w:sz w:val="20"/>
                <w:szCs w:val="20"/>
                <w:color w:val="auto"/>
              </w:rPr>
            </w:pPr>
            <w:r>
              <w:rPr>
                <w:rFonts w:ascii="Arial" w:cs="Arial" w:eastAsia="Arial" w:hAnsi="Arial"/>
                <w:sz w:val="14"/>
                <w:szCs w:val="14"/>
                <w:color w:val="auto"/>
                <w:w w:val="93"/>
              </w:rPr>
              <w:t>-0.08</w:t>
            </w:r>
          </w:p>
        </w:tc>
        <w:tc>
          <w:tcPr>
            <w:tcW w:w="1560" w:type="dxa"/>
            <w:vAlign w:val="bottom"/>
          </w:tcPr>
          <w:p>
            <w:pPr>
              <w:jc w:val="center"/>
              <w:ind w:left="28"/>
              <w:spacing w:after="0"/>
              <w:rPr>
                <w:sz w:val="20"/>
                <w:szCs w:val="20"/>
                <w:color w:val="auto"/>
              </w:rPr>
            </w:pPr>
            <w:r>
              <w:rPr>
                <w:rFonts w:ascii="Arial" w:cs="Arial" w:eastAsia="Arial" w:hAnsi="Arial"/>
                <w:sz w:val="14"/>
                <w:szCs w:val="14"/>
                <w:color w:val="auto"/>
                <w:w w:val="93"/>
              </w:rPr>
              <w:t>-0.33</w:t>
            </w: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30-Year Fixed Rate MBS Price</w:t>
            </w:r>
          </w:p>
        </w:tc>
        <w:tc>
          <w:tcPr>
            <w:tcW w:w="138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600" w:type="dxa"/>
            <w:vAlign w:val="bottom"/>
            <w:shd w:val="clear" w:color="auto" w:fill="CCEEFF"/>
          </w:tcPr>
          <w:p>
            <w:pPr>
              <w:spacing w:after="0"/>
              <w:rPr>
                <w:sz w:val="24"/>
                <w:szCs w:val="24"/>
                <w:color w:val="auto"/>
              </w:rPr>
            </w:pPr>
          </w:p>
        </w:tc>
        <w:tc>
          <w:tcPr>
            <w:tcW w:w="1560" w:type="dxa"/>
            <w:vAlign w:val="bottom"/>
            <w:shd w:val="clear" w:color="auto" w:fill="CCEEFF"/>
          </w:tcPr>
          <w:p>
            <w:pPr>
              <w:spacing w:after="0"/>
              <w:rPr>
                <w:sz w:val="24"/>
                <w:szCs w:val="24"/>
                <w:color w:val="auto"/>
              </w:rPr>
            </w:pP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3.0%</w:t>
            </w:r>
          </w:p>
        </w:tc>
        <w:tc>
          <w:tcPr>
            <w:tcW w:w="140" w:type="dxa"/>
            <w:vAlign w:val="bottom"/>
          </w:tcPr>
          <w:p>
            <w:pPr>
              <w:spacing w:after="0"/>
              <w:rPr>
                <w:sz w:val="22"/>
                <w:szCs w:val="22"/>
                <w:color w:val="auto"/>
              </w:rPr>
            </w:pP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4"/>
              </w:rPr>
              <w:t>$105.58</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4"/>
              </w:rPr>
              <w:t>$102.55</w:t>
            </w:r>
          </w:p>
        </w:tc>
        <w:tc>
          <w:tcPr>
            <w:tcW w:w="1320" w:type="dxa"/>
            <w:vAlign w:val="bottom"/>
          </w:tcPr>
          <w:p>
            <w:pPr>
              <w:jc w:val="center"/>
              <w:spacing w:after="0"/>
              <w:rPr>
                <w:sz w:val="20"/>
                <w:szCs w:val="20"/>
                <w:color w:val="auto"/>
              </w:rPr>
            </w:pPr>
            <w:r>
              <w:rPr>
                <w:rFonts w:ascii="Arial" w:cs="Arial" w:eastAsia="Arial" w:hAnsi="Arial"/>
                <w:sz w:val="14"/>
                <w:szCs w:val="14"/>
                <w:color w:val="auto"/>
                <w:w w:val="93"/>
              </w:rPr>
              <w:t>$99.67</w:t>
            </w:r>
          </w:p>
        </w:tc>
        <w:tc>
          <w:tcPr>
            <w:tcW w:w="1480" w:type="dxa"/>
            <w:vAlign w:val="bottom"/>
          </w:tcPr>
          <w:p>
            <w:pPr>
              <w:jc w:val="center"/>
              <w:spacing w:after="0"/>
              <w:rPr>
                <w:sz w:val="20"/>
                <w:szCs w:val="20"/>
                <w:color w:val="auto"/>
              </w:rPr>
            </w:pPr>
            <w:r>
              <w:rPr>
                <w:rFonts w:ascii="Arial" w:cs="Arial" w:eastAsia="Arial" w:hAnsi="Arial"/>
                <w:sz w:val="14"/>
                <w:szCs w:val="14"/>
                <w:color w:val="auto"/>
                <w:w w:val="94"/>
              </w:rPr>
              <w:t>$100.22</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+$3.03</w:t>
            </w:r>
          </w:p>
        </w:tc>
        <w:tc>
          <w:tcPr>
            <w:tcW w:w="1560" w:type="dxa"/>
            <w:vAlign w:val="bottom"/>
          </w:tcPr>
          <w:p>
            <w:pPr>
              <w:jc w:val="center"/>
              <w:ind w:left="8"/>
              <w:spacing w:after="0"/>
              <w:rPr>
                <w:sz w:val="20"/>
                <w:szCs w:val="20"/>
                <w:color w:val="auto"/>
              </w:rPr>
            </w:pPr>
            <w:r>
              <w:rPr>
                <w:rFonts w:ascii="Arial" w:cs="Arial" w:eastAsia="Arial" w:hAnsi="Arial"/>
                <w:sz w:val="14"/>
                <w:szCs w:val="14"/>
                <w:color w:val="auto"/>
                <w:w w:val="92"/>
              </w:rPr>
              <w:t>+$5.36</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3.5%</w:t>
            </w:r>
          </w:p>
        </w:tc>
        <w:tc>
          <w:tcPr>
            <w:tcW w:w="140" w:type="dxa"/>
            <w:vAlign w:val="bottom"/>
            <w:shd w:val="clear" w:color="auto" w:fill="CCEEFF"/>
          </w:tcPr>
          <w:p>
            <w:pPr>
              <w:spacing w:after="0"/>
              <w:rPr>
                <w:sz w:val="24"/>
                <w:szCs w:val="24"/>
                <w:color w:val="auto"/>
              </w:rPr>
            </w:pPr>
          </w:p>
        </w:tc>
        <w:tc>
          <w:tcPr>
            <w:tcW w:w="138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w w:val="94"/>
              </w:rPr>
              <w:t>$107.25</w:t>
            </w:r>
          </w:p>
        </w:tc>
        <w:tc>
          <w:tcPr>
            <w:tcW w:w="12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$105.11</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$102.72</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$102.88</w:t>
            </w: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+$2.14</w:t>
            </w:r>
          </w:p>
        </w:tc>
        <w:tc>
          <w:tcPr>
            <w:tcW w:w="156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+$4.37</w:t>
            </w: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4.0%</w:t>
            </w:r>
          </w:p>
        </w:tc>
        <w:tc>
          <w:tcPr>
            <w:tcW w:w="140" w:type="dxa"/>
            <w:vAlign w:val="bottom"/>
          </w:tcPr>
          <w:p>
            <w:pPr>
              <w:spacing w:after="0"/>
              <w:rPr>
                <w:sz w:val="22"/>
                <w:szCs w:val="22"/>
                <w:color w:val="auto"/>
              </w:rPr>
            </w:pP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4"/>
              </w:rPr>
              <w:t>$107.75</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4"/>
              </w:rPr>
              <w:t>$106.44</w:t>
            </w: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$104.86</w:t>
            </w:r>
          </w:p>
        </w:tc>
        <w:tc>
          <w:tcPr>
            <w:tcW w:w="1480" w:type="dxa"/>
            <w:vAlign w:val="bottom"/>
          </w:tcPr>
          <w:p>
            <w:pPr>
              <w:jc w:val="center"/>
              <w:spacing w:after="0"/>
              <w:rPr>
                <w:sz w:val="20"/>
                <w:szCs w:val="20"/>
                <w:color w:val="auto"/>
              </w:rPr>
            </w:pPr>
            <w:r>
              <w:rPr>
                <w:rFonts w:ascii="Arial" w:cs="Arial" w:eastAsia="Arial" w:hAnsi="Arial"/>
                <w:sz w:val="14"/>
                <w:szCs w:val="14"/>
                <w:color w:val="auto"/>
                <w:w w:val="94"/>
              </w:rPr>
              <w:t>$105.03</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+$1.31</w:t>
            </w:r>
          </w:p>
        </w:tc>
        <w:tc>
          <w:tcPr>
            <w:tcW w:w="1560" w:type="dxa"/>
            <w:vAlign w:val="bottom"/>
          </w:tcPr>
          <w:p>
            <w:pPr>
              <w:jc w:val="center"/>
              <w:ind w:left="8"/>
              <w:spacing w:after="0"/>
              <w:rPr>
                <w:sz w:val="20"/>
                <w:szCs w:val="20"/>
                <w:color w:val="auto"/>
              </w:rPr>
            </w:pPr>
            <w:r>
              <w:rPr>
                <w:rFonts w:ascii="Arial" w:cs="Arial" w:eastAsia="Arial" w:hAnsi="Arial"/>
                <w:sz w:val="14"/>
                <w:szCs w:val="14"/>
                <w:color w:val="auto"/>
                <w:w w:val="92"/>
              </w:rPr>
              <w:t>+$2.72</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4.5%</w:t>
            </w:r>
          </w:p>
        </w:tc>
        <w:tc>
          <w:tcPr>
            <w:tcW w:w="140" w:type="dxa"/>
            <w:vAlign w:val="bottom"/>
            <w:shd w:val="clear" w:color="auto" w:fill="CCEEFF"/>
          </w:tcPr>
          <w:p>
            <w:pPr>
              <w:spacing w:after="0"/>
              <w:rPr>
                <w:sz w:val="24"/>
                <w:szCs w:val="24"/>
                <w:color w:val="auto"/>
              </w:rPr>
            </w:pPr>
          </w:p>
        </w:tc>
        <w:tc>
          <w:tcPr>
            <w:tcW w:w="138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w w:val="94"/>
              </w:rPr>
              <w:t>$108.25</w:t>
            </w:r>
          </w:p>
        </w:tc>
        <w:tc>
          <w:tcPr>
            <w:tcW w:w="120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4"/>
              </w:rPr>
              <w:t>$107.28</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$106.38</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$106.42</w:t>
            </w: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+$0.97</w:t>
            </w:r>
          </w:p>
        </w:tc>
        <w:tc>
          <w:tcPr>
            <w:tcW w:w="156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+$1.83</w:t>
            </w: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5.0%</w:t>
            </w:r>
          </w:p>
        </w:tc>
        <w:tc>
          <w:tcPr>
            <w:tcW w:w="140" w:type="dxa"/>
            <w:vAlign w:val="bottom"/>
          </w:tcPr>
          <w:p>
            <w:pPr>
              <w:spacing w:after="0"/>
              <w:rPr>
                <w:sz w:val="22"/>
                <w:szCs w:val="22"/>
                <w:color w:val="auto"/>
              </w:rPr>
            </w:pP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4"/>
              </w:rPr>
              <w:t>$109.06</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4"/>
              </w:rPr>
              <w:t>$108.23</w:t>
            </w: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$108.03</w:t>
            </w:r>
          </w:p>
        </w:tc>
        <w:tc>
          <w:tcPr>
            <w:tcW w:w="1480" w:type="dxa"/>
            <w:vAlign w:val="bottom"/>
          </w:tcPr>
          <w:p>
            <w:pPr>
              <w:jc w:val="center"/>
              <w:spacing w:after="0"/>
              <w:rPr>
                <w:sz w:val="20"/>
                <w:szCs w:val="20"/>
                <w:color w:val="auto"/>
              </w:rPr>
            </w:pPr>
            <w:r>
              <w:rPr>
                <w:rFonts w:ascii="Arial" w:cs="Arial" w:eastAsia="Arial" w:hAnsi="Arial"/>
                <w:sz w:val="14"/>
                <w:szCs w:val="14"/>
                <w:color w:val="auto"/>
                <w:w w:val="94"/>
              </w:rPr>
              <w:t>$108.03</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+$0.83</w:t>
            </w:r>
          </w:p>
        </w:tc>
        <w:tc>
          <w:tcPr>
            <w:tcW w:w="1560" w:type="dxa"/>
            <w:vAlign w:val="bottom"/>
          </w:tcPr>
          <w:p>
            <w:pPr>
              <w:jc w:val="center"/>
              <w:ind w:left="8"/>
              <w:spacing w:after="0"/>
              <w:rPr>
                <w:sz w:val="20"/>
                <w:szCs w:val="20"/>
                <w:color w:val="auto"/>
              </w:rPr>
            </w:pPr>
            <w:r>
              <w:rPr>
                <w:rFonts w:ascii="Arial" w:cs="Arial" w:eastAsia="Arial" w:hAnsi="Arial"/>
                <w:sz w:val="14"/>
                <w:szCs w:val="14"/>
                <w:color w:val="auto"/>
                <w:w w:val="92"/>
              </w:rPr>
              <w:t>+$1.03</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5.5%</w:t>
            </w:r>
          </w:p>
        </w:tc>
        <w:tc>
          <w:tcPr>
            <w:tcW w:w="140" w:type="dxa"/>
            <w:vAlign w:val="bottom"/>
            <w:shd w:val="clear" w:color="auto" w:fill="CCEEFF"/>
          </w:tcPr>
          <w:p>
            <w:pPr>
              <w:spacing w:after="0"/>
              <w:rPr>
                <w:sz w:val="24"/>
                <w:szCs w:val="24"/>
                <w:color w:val="auto"/>
              </w:rPr>
            </w:pPr>
          </w:p>
        </w:tc>
        <w:tc>
          <w:tcPr>
            <w:tcW w:w="138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w w:val="94"/>
              </w:rPr>
              <w:t>$109.63</w:t>
            </w:r>
          </w:p>
        </w:tc>
        <w:tc>
          <w:tcPr>
            <w:tcW w:w="120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4"/>
              </w:rPr>
              <w:t>$109.08</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$108.97</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$108.89</w:t>
            </w: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+$0.55</w:t>
            </w:r>
          </w:p>
        </w:tc>
        <w:tc>
          <w:tcPr>
            <w:tcW w:w="156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+$0.74</w:t>
            </w: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6.0%</w:t>
            </w:r>
          </w:p>
        </w:tc>
        <w:tc>
          <w:tcPr>
            <w:tcW w:w="140" w:type="dxa"/>
            <w:vAlign w:val="bottom"/>
          </w:tcPr>
          <w:p>
            <w:pPr>
              <w:spacing w:after="0"/>
              <w:rPr>
                <w:sz w:val="22"/>
                <w:szCs w:val="22"/>
                <w:color w:val="auto"/>
              </w:rPr>
            </w:pP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4"/>
              </w:rPr>
              <w:t>$110.44</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4"/>
              </w:rPr>
              <w:t>$109.91</w:t>
            </w: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$110.20</w:t>
            </w:r>
          </w:p>
        </w:tc>
        <w:tc>
          <w:tcPr>
            <w:tcW w:w="1480" w:type="dxa"/>
            <w:vAlign w:val="bottom"/>
          </w:tcPr>
          <w:p>
            <w:pPr>
              <w:jc w:val="center"/>
              <w:spacing w:after="0"/>
              <w:rPr>
                <w:sz w:val="20"/>
                <w:szCs w:val="20"/>
                <w:color w:val="auto"/>
              </w:rPr>
            </w:pPr>
            <w:r>
              <w:rPr>
                <w:rFonts w:ascii="Arial" w:cs="Arial" w:eastAsia="Arial" w:hAnsi="Arial"/>
                <w:sz w:val="14"/>
                <w:szCs w:val="14"/>
                <w:color w:val="auto"/>
                <w:w w:val="90"/>
              </w:rPr>
              <w:t>$110.16</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+$0.53</w:t>
            </w:r>
          </w:p>
        </w:tc>
        <w:tc>
          <w:tcPr>
            <w:tcW w:w="1560" w:type="dxa"/>
            <w:vAlign w:val="bottom"/>
          </w:tcPr>
          <w:p>
            <w:pPr>
              <w:jc w:val="center"/>
              <w:ind w:left="8"/>
              <w:spacing w:after="0"/>
              <w:rPr>
                <w:sz w:val="20"/>
                <w:szCs w:val="20"/>
                <w:color w:val="auto"/>
              </w:rPr>
            </w:pPr>
            <w:r>
              <w:rPr>
                <w:rFonts w:ascii="Arial" w:cs="Arial" w:eastAsia="Arial" w:hAnsi="Arial"/>
                <w:sz w:val="14"/>
                <w:szCs w:val="14"/>
                <w:color w:val="auto"/>
                <w:w w:val="92"/>
              </w:rPr>
              <w:t>+$0.28</w:t>
            </w: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15-Year Fixed Rate MBS Price</w:t>
            </w:r>
          </w:p>
        </w:tc>
        <w:tc>
          <w:tcPr>
            <w:tcW w:w="138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600" w:type="dxa"/>
            <w:vAlign w:val="bottom"/>
            <w:shd w:val="clear" w:color="auto" w:fill="CCEEFF"/>
          </w:tcPr>
          <w:p>
            <w:pPr>
              <w:spacing w:after="0"/>
              <w:rPr>
                <w:sz w:val="24"/>
                <w:szCs w:val="24"/>
                <w:color w:val="auto"/>
              </w:rPr>
            </w:pPr>
          </w:p>
        </w:tc>
        <w:tc>
          <w:tcPr>
            <w:tcW w:w="1560" w:type="dxa"/>
            <w:vAlign w:val="bottom"/>
            <w:shd w:val="clear" w:color="auto" w:fill="CCEEFF"/>
          </w:tcPr>
          <w:p>
            <w:pPr>
              <w:spacing w:after="0"/>
              <w:rPr>
                <w:sz w:val="24"/>
                <w:szCs w:val="24"/>
                <w:color w:val="auto"/>
              </w:rPr>
            </w:pP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2.5%</w:t>
            </w:r>
          </w:p>
        </w:tc>
        <w:tc>
          <w:tcPr>
            <w:tcW w:w="140" w:type="dxa"/>
            <w:vAlign w:val="bottom"/>
          </w:tcPr>
          <w:p>
            <w:pPr>
              <w:spacing w:after="0"/>
              <w:rPr>
                <w:sz w:val="22"/>
                <w:szCs w:val="22"/>
                <w:color w:val="auto"/>
              </w:rPr>
            </w:pP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4"/>
              </w:rPr>
              <w:t>$105.13</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4"/>
              </w:rPr>
              <w:t>$103.09</w:t>
            </w: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$101.42</w:t>
            </w:r>
          </w:p>
        </w:tc>
        <w:tc>
          <w:tcPr>
            <w:tcW w:w="1480" w:type="dxa"/>
            <w:vAlign w:val="bottom"/>
          </w:tcPr>
          <w:p>
            <w:pPr>
              <w:jc w:val="center"/>
              <w:spacing w:after="0"/>
              <w:rPr>
                <w:sz w:val="20"/>
                <w:szCs w:val="20"/>
                <w:color w:val="auto"/>
              </w:rPr>
            </w:pPr>
            <w:r>
              <w:rPr>
                <w:rFonts w:ascii="Arial" w:cs="Arial" w:eastAsia="Arial" w:hAnsi="Arial"/>
                <w:sz w:val="14"/>
                <w:szCs w:val="14"/>
                <w:color w:val="auto"/>
                <w:w w:val="94"/>
              </w:rPr>
              <w:t>$101.34</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+$2.04</w:t>
            </w:r>
          </w:p>
        </w:tc>
        <w:tc>
          <w:tcPr>
            <w:tcW w:w="1560" w:type="dxa"/>
            <w:vAlign w:val="bottom"/>
          </w:tcPr>
          <w:p>
            <w:pPr>
              <w:jc w:val="center"/>
              <w:ind w:left="8"/>
              <w:spacing w:after="0"/>
              <w:rPr>
                <w:sz w:val="20"/>
                <w:szCs w:val="20"/>
                <w:color w:val="auto"/>
              </w:rPr>
            </w:pPr>
            <w:r>
              <w:rPr>
                <w:rFonts w:ascii="Arial" w:cs="Arial" w:eastAsia="Arial" w:hAnsi="Arial"/>
                <w:sz w:val="14"/>
                <w:szCs w:val="14"/>
                <w:color w:val="auto"/>
                <w:w w:val="92"/>
              </w:rPr>
              <w:t>+$3.79</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40" w:type="dxa"/>
            <w:vAlign w:val="bottom"/>
            <w:shd w:val="clear" w:color="auto" w:fill="CCEEFF"/>
          </w:tcPr>
          <w:p>
            <w:pPr>
              <w:spacing w:after="0"/>
              <w:rPr>
                <w:sz w:val="24"/>
                <w:szCs w:val="24"/>
                <w:color w:val="auto"/>
              </w:rPr>
            </w:pPr>
          </w:p>
        </w:tc>
        <w:tc>
          <w:tcPr>
            <w:tcW w:w="138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w w:val="94"/>
              </w:rPr>
              <w:t>$106.00</w:t>
            </w:r>
          </w:p>
        </w:tc>
        <w:tc>
          <w:tcPr>
            <w:tcW w:w="120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4"/>
              </w:rPr>
              <w:t>$104.77</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$103.56</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$103.28</w:t>
            </w: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+$1.23</w:t>
            </w:r>
          </w:p>
        </w:tc>
        <w:tc>
          <w:tcPr>
            <w:tcW w:w="156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+$2.72</w:t>
            </w: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3.5%</w:t>
            </w:r>
          </w:p>
        </w:tc>
        <w:tc>
          <w:tcPr>
            <w:tcW w:w="140" w:type="dxa"/>
            <w:vAlign w:val="bottom"/>
          </w:tcPr>
          <w:p>
            <w:pPr>
              <w:spacing w:after="0"/>
              <w:rPr>
                <w:sz w:val="22"/>
                <w:szCs w:val="22"/>
                <w:color w:val="auto"/>
              </w:rPr>
            </w:pP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4"/>
              </w:rPr>
              <w:t>$106.41</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4"/>
              </w:rPr>
              <w:t>$105.66</w:t>
            </w: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$104.92</w:t>
            </w:r>
          </w:p>
        </w:tc>
        <w:tc>
          <w:tcPr>
            <w:tcW w:w="1480" w:type="dxa"/>
            <w:vAlign w:val="bottom"/>
          </w:tcPr>
          <w:p>
            <w:pPr>
              <w:jc w:val="center"/>
              <w:spacing w:after="0"/>
              <w:rPr>
                <w:sz w:val="20"/>
                <w:szCs w:val="20"/>
                <w:color w:val="auto"/>
              </w:rPr>
            </w:pPr>
            <w:r>
              <w:rPr>
                <w:rFonts w:ascii="Arial" w:cs="Arial" w:eastAsia="Arial" w:hAnsi="Arial"/>
                <w:sz w:val="14"/>
                <w:szCs w:val="14"/>
                <w:color w:val="auto"/>
                <w:w w:val="94"/>
              </w:rPr>
              <w:t>$104.58</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+$0.75</w:t>
            </w:r>
          </w:p>
        </w:tc>
        <w:tc>
          <w:tcPr>
            <w:tcW w:w="1560" w:type="dxa"/>
            <w:vAlign w:val="bottom"/>
          </w:tcPr>
          <w:p>
            <w:pPr>
              <w:jc w:val="center"/>
              <w:ind w:left="8"/>
              <w:spacing w:after="0"/>
              <w:rPr>
                <w:sz w:val="20"/>
                <w:szCs w:val="20"/>
                <w:color w:val="auto"/>
              </w:rPr>
            </w:pPr>
            <w:r>
              <w:rPr>
                <w:rFonts w:ascii="Arial" w:cs="Arial" w:eastAsia="Arial" w:hAnsi="Arial"/>
                <w:sz w:val="14"/>
                <w:szCs w:val="14"/>
                <w:color w:val="auto"/>
                <w:w w:val="92"/>
              </w:rPr>
              <w:t>+$1.83</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40" w:type="dxa"/>
            <w:vAlign w:val="bottom"/>
            <w:shd w:val="clear" w:color="auto" w:fill="CCEEFF"/>
          </w:tcPr>
          <w:p>
            <w:pPr>
              <w:spacing w:after="0"/>
              <w:rPr>
                <w:sz w:val="24"/>
                <w:szCs w:val="24"/>
                <w:color w:val="auto"/>
              </w:rPr>
            </w:pPr>
          </w:p>
        </w:tc>
        <w:tc>
          <w:tcPr>
            <w:tcW w:w="138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w w:val="94"/>
              </w:rPr>
              <w:t>$106.91</w:t>
            </w:r>
          </w:p>
        </w:tc>
        <w:tc>
          <w:tcPr>
            <w:tcW w:w="120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4"/>
              </w:rPr>
              <w:t>$106.34</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$106.00</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$105.50</w:t>
            </w:r>
          </w:p>
        </w:tc>
        <w:tc>
          <w:tcPr>
            <w:tcW w:w="16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+$0.57</w:t>
            </w:r>
          </w:p>
        </w:tc>
        <w:tc>
          <w:tcPr>
            <w:tcW w:w="156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+$1.41</w:t>
            </w:r>
          </w:p>
        </w:tc>
      </w:tr>
      <w:tr>
        <w:trPr>
          <w:trHeight w:val="256"/>
        </w:trPr>
        <w:tc>
          <w:tcPr>
            <w:tcW w:w="2740" w:type="dxa"/>
            <w:vAlign w:val="bottom"/>
          </w:tcPr>
          <w:p>
            <w:pPr>
              <w:ind w:left="200"/>
              <w:spacing w:after="0"/>
              <w:rPr>
                <w:sz w:val="20"/>
                <w:szCs w:val="20"/>
                <w:color w:val="auto"/>
              </w:rPr>
            </w:pPr>
            <w:r>
              <w:rPr>
                <w:rFonts w:ascii="Arial" w:cs="Arial" w:eastAsia="Arial" w:hAnsi="Arial"/>
                <w:sz w:val="14"/>
                <w:szCs w:val="14"/>
                <w:color w:val="auto"/>
              </w:rPr>
              <w:t>4.5%</w:t>
            </w:r>
          </w:p>
        </w:tc>
        <w:tc>
          <w:tcPr>
            <w:tcW w:w="140" w:type="dxa"/>
            <w:vAlign w:val="bottom"/>
          </w:tcPr>
          <w:p>
            <w:pPr>
              <w:spacing w:after="0"/>
              <w:rPr>
                <w:sz w:val="22"/>
                <w:szCs w:val="22"/>
                <w:color w:val="auto"/>
              </w:rPr>
            </w:pPr>
          </w:p>
        </w:tc>
        <w:tc>
          <w:tcPr>
            <w:tcW w:w="1380" w:type="dxa"/>
            <w:vAlign w:val="bottom"/>
          </w:tcPr>
          <w:p>
            <w:pPr>
              <w:jc w:val="center"/>
              <w:ind w:right="68"/>
              <w:spacing w:after="0"/>
              <w:rPr>
                <w:sz w:val="20"/>
                <w:szCs w:val="20"/>
                <w:color w:val="auto"/>
              </w:rPr>
            </w:pPr>
            <w:r>
              <w:rPr>
                <w:rFonts w:ascii="Arial" w:cs="Arial" w:eastAsia="Arial" w:hAnsi="Arial"/>
                <w:sz w:val="14"/>
                <w:szCs w:val="14"/>
                <w:color w:val="auto"/>
                <w:w w:val="94"/>
              </w:rPr>
              <w:t>$107.84</w:t>
            </w:r>
          </w:p>
        </w:tc>
        <w:tc>
          <w:tcPr>
            <w:tcW w:w="1200" w:type="dxa"/>
            <w:vAlign w:val="bottom"/>
          </w:tcPr>
          <w:p>
            <w:pPr>
              <w:jc w:val="center"/>
              <w:ind w:right="8"/>
              <w:spacing w:after="0"/>
              <w:rPr>
                <w:sz w:val="20"/>
                <w:szCs w:val="20"/>
                <w:color w:val="auto"/>
              </w:rPr>
            </w:pPr>
            <w:r>
              <w:rPr>
                <w:rFonts w:ascii="Arial" w:cs="Arial" w:eastAsia="Arial" w:hAnsi="Arial"/>
                <w:sz w:val="14"/>
                <w:szCs w:val="14"/>
                <w:color w:val="auto"/>
                <w:w w:val="94"/>
              </w:rPr>
              <w:t>$107.17</w:t>
            </w: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$107.20</w:t>
            </w:r>
          </w:p>
        </w:tc>
        <w:tc>
          <w:tcPr>
            <w:tcW w:w="1480" w:type="dxa"/>
            <w:vAlign w:val="bottom"/>
          </w:tcPr>
          <w:p>
            <w:pPr>
              <w:jc w:val="center"/>
              <w:spacing w:after="0"/>
              <w:rPr>
                <w:sz w:val="20"/>
                <w:szCs w:val="20"/>
                <w:color w:val="auto"/>
              </w:rPr>
            </w:pPr>
            <w:r>
              <w:rPr>
                <w:rFonts w:ascii="Arial" w:cs="Arial" w:eastAsia="Arial" w:hAnsi="Arial"/>
                <w:sz w:val="14"/>
                <w:szCs w:val="14"/>
                <w:color w:val="auto"/>
                <w:w w:val="94"/>
              </w:rPr>
              <w:t>$106.59</w:t>
            </w:r>
          </w:p>
        </w:tc>
        <w:tc>
          <w:tcPr>
            <w:tcW w:w="1600" w:type="dxa"/>
            <w:vAlign w:val="bottom"/>
          </w:tcPr>
          <w:p>
            <w:pPr>
              <w:jc w:val="center"/>
              <w:spacing w:after="0"/>
              <w:rPr>
                <w:sz w:val="20"/>
                <w:szCs w:val="20"/>
                <w:color w:val="auto"/>
              </w:rPr>
            </w:pPr>
            <w:r>
              <w:rPr>
                <w:rFonts w:ascii="Arial" w:cs="Arial" w:eastAsia="Arial" w:hAnsi="Arial"/>
                <w:sz w:val="14"/>
                <w:szCs w:val="14"/>
                <w:color w:val="auto"/>
                <w:w w:val="92"/>
              </w:rPr>
              <w:t>+$0.67</w:t>
            </w:r>
          </w:p>
        </w:tc>
        <w:tc>
          <w:tcPr>
            <w:tcW w:w="1560" w:type="dxa"/>
            <w:vAlign w:val="bottom"/>
          </w:tcPr>
          <w:p>
            <w:pPr>
              <w:jc w:val="center"/>
              <w:ind w:left="8"/>
              <w:spacing w:after="0"/>
              <w:rPr>
                <w:sz w:val="20"/>
                <w:szCs w:val="20"/>
                <w:color w:val="auto"/>
              </w:rPr>
            </w:pPr>
            <w:r>
              <w:rPr>
                <w:rFonts w:ascii="Arial" w:cs="Arial" w:eastAsia="Arial" w:hAnsi="Arial"/>
                <w:sz w:val="14"/>
                <w:szCs w:val="14"/>
                <w:color w:val="auto"/>
                <w:w w:val="92"/>
              </w:rPr>
              <w:t>+$1.25</w:t>
            </w:r>
          </w:p>
        </w:tc>
      </w:tr>
      <w:tr>
        <w:trPr>
          <w:trHeight w:val="224"/>
        </w:trPr>
        <w:tc>
          <w:tcPr>
            <w:tcW w:w="2740" w:type="dxa"/>
            <w:vAlign w:val="bottom"/>
          </w:tcPr>
          <w:p>
            <w:pPr>
              <w:ind w:left="60"/>
              <w:spacing w:after="0"/>
              <w:rPr>
                <w:sz w:val="20"/>
                <w:szCs w:val="20"/>
                <w:color w:val="auto"/>
              </w:rPr>
            </w:pPr>
            <w:r>
              <w:rPr>
                <w:rFonts w:ascii="Arial" w:cs="Arial" w:eastAsia="Arial" w:hAnsi="Arial"/>
                <w:sz w:val="18"/>
                <w:szCs w:val="18"/>
                <w:color w:val="auto"/>
              </w:rPr>
              <w:t>________________________</w:t>
            </w:r>
          </w:p>
        </w:tc>
        <w:tc>
          <w:tcPr>
            <w:tcW w:w="1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60" w:type="dxa"/>
            <w:vAlign w:val="bottom"/>
          </w:tcPr>
          <w:p>
            <w:pPr>
              <w:spacing w:after="0"/>
              <w:rPr>
                <w:sz w:val="19"/>
                <w:szCs w:val="19"/>
                <w:color w:val="auto"/>
              </w:rPr>
            </w:pPr>
          </w:p>
        </w:tc>
      </w:tr>
    </w:tbl>
    <w:p>
      <w:pPr>
        <w:ind w:left="660" w:hanging="652"/>
        <w:spacing w:after="0" w:line="255" w:lineRule="auto"/>
        <w:tabs>
          <w:tab w:leader="none" w:pos="336" w:val="left"/>
        </w:tabs>
        <w:numPr>
          <w:ilvl w:val="0"/>
          <w:numId w:val="16"/>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can vary by source. Prices in the table above obtained from a combination of Bloomberg and dealer indications. Interest rates obtained from Bloomberg.</w:t>
      </w:r>
    </w:p>
    <w:p>
      <w:pPr>
        <w:spacing w:after="0" w:line="136"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We expect during periods in which the Federal Reserve purchases significant volumes of mortgages, yields on agency MBS will be lower than and refinancing volumes will be higher than would have been absent QE3. Since returns on agency MBS are highly sensitive to prepayment speeds we have positioned our investment portfolio towards agency MBS that we believe have favorable prepayment attributes. As of September 30, 2012, 71% of our fixed-rate investment portfolio was comprised of agency securities backed by lower loan balance mortgages (pools backed by original loan balances of up to</w:t>
      </w:r>
    </w:p>
    <w:p>
      <w:pPr>
        <w:sectPr>
          <w:pgSz w:w="11900" w:h="16838" w:orient="portrait"/>
          <w:cols w:equalWidth="0" w:num="1">
            <w:col w:w="11420"/>
          </w:cols>
          <w:pgMar w:left="240" w:top="742" w:right="239" w:bottom="1440" w:gutter="0" w:footer="0" w:header="0"/>
        </w:sectPr>
      </w:pP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ectPr>
          <w:pgSz w:w="11900" w:h="16838" w:orient="portrait"/>
          <w:cols w:equalWidth="0" w:num="1">
            <w:col w:w="11420"/>
          </w:cols>
          <w:pgMar w:left="240" w:top="742" w:right="239" w:bottom="1440" w:gutter="0" w:footer="0" w:header="0"/>
          <w:type w:val="continuous"/>
        </w:sectPr>
      </w:pPr>
    </w:p>
    <w:bookmarkStart w:id="27" w:name="page28"/>
    <w:bookmarkEnd w:id="27"/>
    <w:p>
      <w:pPr>
        <w:jc w:val="both"/>
        <w:spacing w:after="0" w:line="259" w:lineRule="auto"/>
        <w:rPr>
          <w:sz w:val="20"/>
          <w:szCs w:val="20"/>
          <w:color w:val="auto"/>
        </w:rPr>
      </w:pPr>
      <w:r>
        <w:rPr>
          <w:rFonts w:ascii="Arial" w:cs="Arial" w:eastAsia="Arial" w:hAnsi="Arial"/>
          <w:sz w:val="18"/>
          <w:szCs w:val="18"/>
          <w:color w:val="auto"/>
        </w:rPr>
        <w:t xml:space="preserve">$150,000) and loans originated under the U.S. Government sponsored Home Affordable Refinance Program ("HARP") (pools backed by 100% refinance loans with original loan-to-values of ≥ 80%), which we believe have a lower risk of prepayment relative to generic agency securities. The remainder of our portfolio as of September 30, 2012 was primarily comprised of low coupon, new issuance fixed-rate agency securities. (See </w:t>
      </w:r>
      <w:r>
        <w:rPr>
          <w:rFonts w:ascii="Arial" w:cs="Arial" w:eastAsia="Arial" w:hAnsi="Arial"/>
          <w:sz w:val="18"/>
          <w:szCs w:val="18"/>
          <w:i w:val="1"/>
          <w:iCs w:val="1"/>
          <w:color w:val="auto"/>
        </w:rPr>
        <w:t>Financial Condition</w:t>
      </w:r>
      <w:r>
        <w:rPr>
          <w:rFonts w:ascii="Arial" w:cs="Arial" w:eastAsia="Arial" w:hAnsi="Arial"/>
          <w:sz w:val="18"/>
          <w:szCs w:val="18"/>
          <w:color w:val="auto"/>
        </w:rPr>
        <w:t xml:space="preserve"> below for further details of our portfolio composition as of September 30, 2012</w:t>
      </w:r>
      <w:r>
        <w:rPr>
          <w:rFonts w:ascii="Arial" w:cs="Arial" w:eastAsia="Arial" w:hAnsi="Arial"/>
          <w:sz w:val="18"/>
          <w:szCs w:val="18"/>
          <w:i w:val="1"/>
          <w:iCs w:val="1"/>
          <w:color w:val="auto"/>
        </w:rPr>
        <w:t>)</w:t>
      </w:r>
      <w:r>
        <w:rPr>
          <w:rFonts w:ascii="Arial" w:cs="Arial" w:eastAsia="Arial" w:hAnsi="Arial"/>
          <w:sz w:val="18"/>
          <w:szCs w:val="18"/>
          <w:color w:val="auto"/>
        </w:rPr>
        <w:t>.</w:t>
      </w:r>
    </w:p>
    <w:p>
      <w:pPr>
        <w:spacing w:after="0" w:line="133" w:lineRule="exact"/>
        <w:rPr>
          <w:sz w:val="20"/>
          <w:szCs w:val="20"/>
          <w:color w:val="auto"/>
        </w:rPr>
      </w:pPr>
    </w:p>
    <w:p>
      <w:pPr>
        <w:jc w:val="both"/>
        <w:ind w:right="20" w:firstLine="405"/>
        <w:spacing w:after="0" w:line="308" w:lineRule="auto"/>
        <w:rPr>
          <w:sz w:val="20"/>
          <w:szCs w:val="20"/>
          <w:color w:val="auto"/>
        </w:rPr>
      </w:pPr>
      <w:r>
        <w:rPr>
          <w:rFonts w:ascii="Arial" w:cs="Arial" w:eastAsia="Arial" w:hAnsi="Arial"/>
          <w:sz w:val="17"/>
          <w:szCs w:val="17"/>
          <w:color w:val="auto"/>
        </w:rPr>
        <w:t>The following table illustrates the impact of favorable prepayment characteristics on constant prepayment rates (“CPR”), comparing the actual annualized monthly CPR for our portfolio to the Fannie Mae 2011 30-year 4.0% fixed-rate TBA for the nine months ended September 30, 2012.</w:t>
      </w:r>
    </w:p>
    <w:p>
      <w:pPr>
        <w:spacing w:after="0" w:line="234"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Annualized Monthly Constant Prepayment Rates </w:t>
            </w:r>
            <w:r>
              <w:rPr>
                <w:rFonts w:ascii="Arial" w:cs="Arial" w:eastAsia="Arial" w:hAnsi="Arial"/>
                <w:sz w:val="8"/>
                <w:szCs w:val="8"/>
                <w:b w:val="1"/>
                <w:bCs w:val="1"/>
                <w:color w:val="auto"/>
              </w:rPr>
              <w:t>(1)</w:t>
            </w:r>
          </w:p>
        </w:tc>
        <w:tc>
          <w:tcPr>
            <w:tcW w:w="120" w:type="dxa"/>
            <w:vAlign w:val="bottom"/>
            <w:vMerge w:val="restart"/>
          </w:tcPr>
          <w:p>
            <w:pPr>
              <w:spacing w:after="0"/>
              <w:rPr>
                <w:sz w:val="14"/>
                <w:szCs w:val="14"/>
                <w:color w:val="auto"/>
              </w:rPr>
            </w:pPr>
          </w:p>
        </w:tc>
        <w:tc>
          <w:tcPr>
            <w:tcW w:w="880" w:type="dxa"/>
            <w:vAlign w:val="bottom"/>
          </w:tcPr>
          <w:p>
            <w:pPr>
              <w:ind w:left="140"/>
              <w:spacing w:after="0"/>
              <w:rPr>
                <w:sz w:val="20"/>
                <w:szCs w:val="20"/>
                <w:color w:val="auto"/>
              </w:rPr>
            </w:pPr>
            <w:r>
              <w:rPr>
                <w:rFonts w:ascii="Arial" w:cs="Arial" w:eastAsia="Arial" w:hAnsi="Arial"/>
                <w:sz w:val="14"/>
                <w:szCs w:val="14"/>
                <w:b w:val="1"/>
                <w:bCs w:val="1"/>
                <w:color w:val="auto"/>
              </w:rPr>
              <w:t>January</w:t>
            </w:r>
          </w:p>
        </w:tc>
        <w:tc>
          <w:tcPr>
            <w:tcW w:w="1000" w:type="dxa"/>
            <w:vAlign w:val="bottom"/>
          </w:tcPr>
          <w:p>
            <w:pPr>
              <w:ind w:left="200"/>
              <w:spacing w:after="0"/>
              <w:rPr>
                <w:sz w:val="20"/>
                <w:szCs w:val="20"/>
                <w:color w:val="auto"/>
              </w:rPr>
            </w:pPr>
            <w:r>
              <w:rPr>
                <w:rFonts w:ascii="Arial" w:cs="Arial" w:eastAsia="Arial" w:hAnsi="Arial"/>
                <w:sz w:val="14"/>
                <w:szCs w:val="14"/>
                <w:b w:val="1"/>
                <w:bCs w:val="1"/>
                <w:color w:val="auto"/>
              </w:rPr>
              <w:t>February</w:t>
            </w:r>
          </w:p>
        </w:tc>
        <w:tc>
          <w:tcPr>
            <w:tcW w:w="820" w:type="dxa"/>
            <w:vAlign w:val="bottom"/>
          </w:tcPr>
          <w:p>
            <w:pPr>
              <w:ind w:left="220"/>
              <w:spacing w:after="0"/>
              <w:rPr>
                <w:sz w:val="20"/>
                <w:szCs w:val="20"/>
                <w:color w:val="auto"/>
              </w:rPr>
            </w:pPr>
            <w:r>
              <w:rPr>
                <w:rFonts w:ascii="Arial" w:cs="Arial" w:eastAsia="Arial" w:hAnsi="Arial"/>
                <w:sz w:val="14"/>
                <w:szCs w:val="14"/>
                <w:b w:val="1"/>
                <w:bCs w:val="1"/>
                <w:color w:val="auto"/>
              </w:rPr>
              <w:t>March</w:t>
            </w:r>
          </w:p>
        </w:tc>
        <w:tc>
          <w:tcPr>
            <w:tcW w:w="700" w:type="dxa"/>
            <w:vAlign w:val="bottom"/>
          </w:tcPr>
          <w:p>
            <w:pPr>
              <w:ind w:left="180"/>
              <w:spacing w:after="0"/>
              <w:rPr>
                <w:sz w:val="20"/>
                <w:szCs w:val="20"/>
                <w:color w:val="auto"/>
              </w:rPr>
            </w:pPr>
            <w:r>
              <w:rPr>
                <w:rFonts w:ascii="Arial" w:cs="Arial" w:eastAsia="Arial" w:hAnsi="Arial"/>
                <w:sz w:val="14"/>
                <w:szCs w:val="14"/>
                <w:b w:val="1"/>
                <w:bCs w:val="1"/>
                <w:color w:val="auto"/>
              </w:rPr>
              <w:t>April</w:t>
            </w:r>
          </w:p>
        </w:tc>
        <w:tc>
          <w:tcPr>
            <w:tcW w:w="680" w:type="dxa"/>
            <w:vAlign w:val="bottom"/>
          </w:tcPr>
          <w:p>
            <w:pPr>
              <w:ind w:left="200"/>
              <w:spacing w:after="0"/>
              <w:rPr>
                <w:sz w:val="20"/>
                <w:szCs w:val="20"/>
                <w:color w:val="auto"/>
              </w:rPr>
            </w:pPr>
            <w:r>
              <w:rPr>
                <w:rFonts w:ascii="Arial" w:cs="Arial" w:eastAsia="Arial" w:hAnsi="Arial"/>
                <w:sz w:val="14"/>
                <w:szCs w:val="14"/>
                <w:b w:val="1"/>
                <w:bCs w:val="1"/>
                <w:color w:val="auto"/>
              </w:rPr>
              <w:t>May</w:t>
            </w:r>
          </w:p>
        </w:tc>
        <w:tc>
          <w:tcPr>
            <w:tcW w:w="660" w:type="dxa"/>
            <w:vAlign w:val="bottom"/>
          </w:tcPr>
          <w:p>
            <w:pPr>
              <w:ind w:left="160"/>
              <w:spacing w:after="0"/>
              <w:rPr>
                <w:sz w:val="20"/>
                <w:szCs w:val="20"/>
                <w:color w:val="auto"/>
              </w:rPr>
            </w:pPr>
            <w:r>
              <w:rPr>
                <w:rFonts w:ascii="Arial" w:cs="Arial" w:eastAsia="Arial" w:hAnsi="Arial"/>
                <w:sz w:val="14"/>
                <w:szCs w:val="14"/>
                <w:b w:val="1"/>
                <w:bCs w:val="1"/>
                <w:color w:val="auto"/>
              </w:rPr>
              <w:t>June</w:t>
            </w:r>
          </w:p>
        </w:tc>
        <w:tc>
          <w:tcPr>
            <w:tcW w:w="640" w:type="dxa"/>
            <w:vAlign w:val="bottom"/>
          </w:tcPr>
          <w:p>
            <w:pPr>
              <w:ind w:left="180"/>
              <w:spacing w:after="0"/>
              <w:rPr>
                <w:sz w:val="20"/>
                <w:szCs w:val="20"/>
                <w:color w:val="auto"/>
              </w:rPr>
            </w:pPr>
            <w:r>
              <w:rPr>
                <w:rFonts w:ascii="Arial" w:cs="Arial" w:eastAsia="Arial" w:hAnsi="Arial"/>
                <w:sz w:val="14"/>
                <w:szCs w:val="14"/>
                <w:b w:val="1"/>
                <w:bCs w:val="1"/>
                <w:color w:val="auto"/>
              </w:rPr>
              <w:t>July</w:t>
            </w:r>
          </w:p>
        </w:tc>
        <w:tc>
          <w:tcPr>
            <w:tcW w:w="820" w:type="dxa"/>
            <w:vAlign w:val="bottom"/>
          </w:tcPr>
          <w:p>
            <w:pPr>
              <w:ind w:left="180"/>
              <w:spacing w:after="0"/>
              <w:rPr>
                <w:sz w:val="20"/>
                <w:szCs w:val="20"/>
                <w:color w:val="auto"/>
              </w:rPr>
            </w:pPr>
            <w:r>
              <w:rPr>
                <w:rFonts w:ascii="Arial" w:cs="Arial" w:eastAsia="Arial" w:hAnsi="Arial"/>
                <w:sz w:val="14"/>
                <w:szCs w:val="14"/>
                <w:b w:val="1"/>
                <w:bCs w:val="1"/>
                <w:color w:val="auto"/>
              </w:rPr>
              <w:t>August</w:t>
            </w:r>
          </w:p>
        </w:tc>
        <w:tc>
          <w:tcPr>
            <w:tcW w:w="1040" w:type="dxa"/>
            <w:vAlign w:val="bottom"/>
          </w:tcPr>
          <w:p>
            <w:pPr>
              <w:ind w:left="200"/>
              <w:spacing w:after="0"/>
              <w:rPr>
                <w:sz w:val="20"/>
                <w:szCs w:val="20"/>
                <w:color w:val="auto"/>
              </w:rPr>
            </w:pPr>
            <w:r>
              <w:rPr>
                <w:rFonts w:ascii="Arial" w:cs="Arial" w:eastAsia="Arial" w:hAnsi="Arial"/>
                <w:sz w:val="14"/>
                <w:szCs w:val="14"/>
                <w:b w:val="1"/>
                <w:bCs w:val="1"/>
                <w:color w:val="auto"/>
              </w:rPr>
              <w:t>September</w:t>
            </w: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98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880" w:type="dxa"/>
            <w:vAlign w:val="bottom"/>
            <w:tcBorders>
              <w:bottom w:val="single" w:sz="8" w:color="auto"/>
            </w:tcBorders>
          </w:tcPr>
          <w:p>
            <w:pPr>
              <w:jc w:val="center"/>
              <w:ind w:right="8"/>
              <w:spacing w:after="0"/>
              <w:rPr>
                <w:sz w:val="20"/>
                <w:szCs w:val="20"/>
                <w:color w:val="auto"/>
              </w:rPr>
            </w:pPr>
            <w:r>
              <w:rPr>
                <w:rFonts w:ascii="Arial" w:cs="Arial" w:eastAsia="Arial" w:hAnsi="Arial"/>
                <w:sz w:val="14"/>
                <w:szCs w:val="14"/>
                <w:b w:val="1"/>
                <w:bCs w:val="1"/>
                <w:color w:val="auto"/>
                <w:w w:val="89"/>
              </w:rPr>
              <w:t>2012</w:t>
            </w: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2012</w:t>
            </w: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2012</w:t>
            </w: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2012</w:t>
            </w:r>
          </w:p>
        </w:tc>
        <w:tc>
          <w:tcPr>
            <w:tcW w:w="68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2012</w:t>
            </w: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2012</w:t>
            </w: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2012</w:t>
            </w: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2012</w:t>
            </w: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2012</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4100" w:type="dxa"/>
            <w:vAlign w:val="bottom"/>
            <w:gridSpan w:val="2"/>
          </w:tcPr>
          <w:p>
            <w:pPr>
              <w:ind w:left="40"/>
              <w:spacing w:after="0"/>
              <w:rPr>
                <w:sz w:val="20"/>
                <w:szCs w:val="20"/>
                <w:color w:val="auto"/>
              </w:rPr>
            </w:pPr>
            <w:r>
              <w:rPr>
                <w:rFonts w:ascii="Arial" w:cs="Arial" w:eastAsia="Arial" w:hAnsi="Arial"/>
                <w:sz w:val="14"/>
                <w:szCs w:val="14"/>
                <w:color w:val="auto"/>
              </w:rPr>
              <w:t>AGNC portfolio</w:t>
            </w:r>
          </w:p>
        </w:tc>
        <w:tc>
          <w:tcPr>
            <w:tcW w:w="880" w:type="dxa"/>
            <w:vAlign w:val="bottom"/>
          </w:tcPr>
          <w:p>
            <w:pPr>
              <w:jc w:val="center"/>
              <w:ind w:right="8"/>
              <w:spacing w:after="0"/>
              <w:rPr>
                <w:sz w:val="20"/>
                <w:szCs w:val="20"/>
                <w:color w:val="auto"/>
              </w:rPr>
            </w:pPr>
            <w:r>
              <w:rPr>
                <w:rFonts w:ascii="Arial" w:cs="Arial" w:eastAsia="Arial" w:hAnsi="Arial"/>
                <w:sz w:val="14"/>
                <w:szCs w:val="14"/>
                <w:color w:val="auto"/>
                <w:w w:val="98"/>
              </w:rPr>
              <w:t>8%</w:t>
            </w:r>
          </w:p>
        </w:tc>
        <w:tc>
          <w:tcPr>
            <w:tcW w:w="1000" w:type="dxa"/>
            <w:vAlign w:val="bottom"/>
          </w:tcPr>
          <w:p>
            <w:pPr>
              <w:jc w:val="center"/>
              <w:spacing w:after="0"/>
              <w:rPr>
                <w:sz w:val="20"/>
                <w:szCs w:val="20"/>
                <w:color w:val="auto"/>
              </w:rPr>
            </w:pPr>
            <w:r>
              <w:rPr>
                <w:rFonts w:ascii="Arial" w:cs="Arial" w:eastAsia="Arial" w:hAnsi="Arial"/>
                <w:sz w:val="14"/>
                <w:szCs w:val="14"/>
                <w:color w:val="auto"/>
                <w:w w:val="98"/>
              </w:rPr>
              <w:t>8%</w:t>
            </w:r>
          </w:p>
        </w:tc>
        <w:tc>
          <w:tcPr>
            <w:tcW w:w="82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7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680" w:type="dxa"/>
            <w:vAlign w:val="bottom"/>
          </w:tcPr>
          <w:p>
            <w:pPr>
              <w:ind w:left="200"/>
              <w:spacing w:after="0"/>
              <w:rPr>
                <w:sz w:val="20"/>
                <w:szCs w:val="20"/>
                <w:color w:val="auto"/>
              </w:rPr>
            </w:pPr>
            <w:r>
              <w:rPr>
                <w:rFonts w:ascii="Arial" w:cs="Arial" w:eastAsia="Arial" w:hAnsi="Arial"/>
                <w:sz w:val="14"/>
                <w:szCs w:val="14"/>
                <w:color w:val="auto"/>
              </w:rPr>
              <w:t>10%</w:t>
            </w:r>
          </w:p>
        </w:tc>
        <w:tc>
          <w:tcPr>
            <w:tcW w:w="660" w:type="dxa"/>
            <w:vAlign w:val="bottom"/>
          </w:tcPr>
          <w:p>
            <w:pPr>
              <w:jc w:val="center"/>
              <w:spacing w:after="0"/>
              <w:rPr>
                <w:sz w:val="20"/>
                <w:szCs w:val="20"/>
                <w:color w:val="auto"/>
              </w:rPr>
            </w:pPr>
            <w:r>
              <w:rPr>
                <w:rFonts w:ascii="Arial" w:cs="Arial" w:eastAsia="Arial" w:hAnsi="Arial"/>
                <w:sz w:val="14"/>
                <w:szCs w:val="14"/>
                <w:color w:val="auto"/>
                <w:w w:val="98"/>
              </w:rPr>
              <w:t>8%</w:t>
            </w:r>
          </w:p>
        </w:tc>
        <w:tc>
          <w:tcPr>
            <w:tcW w:w="640" w:type="dxa"/>
            <w:vAlign w:val="bottom"/>
          </w:tcPr>
          <w:p>
            <w:pPr>
              <w:jc w:val="center"/>
              <w:spacing w:after="0"/>
              <w:rPr>
                <w:sz w:val="20"/>
                <w:szCs w:val="20"/>
                <w:color w:val="auto"/>
              </w:rPr>
            </w:pPr>
            <w:r>
              <w:rPr>
                <w:rFonts w:ascii="Arial" w:cs="Arial" w:eastAsia="Arial" w:hAnsi="Arial"/>
                <w:sz w:val="14"/>
                <w:szCs w:val="14"/>
                <w:color w:val="auto"/>
                <w:w w:val="98"/>
              </w:rPr>
              <w:t>8%</w:t>
            </w:r>
          </w:p>
        </w:tc>
        <w:tc>
          <w:tcPr>
            <w:tcW w:w="820" w:type="dxa"/>
            <w:vAlign w:val="bottom"/>
          </w:tcPr>
          <w:p>
            <w:pPr>
              <w:jc w:val="center"/>
              <w:spacing w:after="0"/>
              <w:rPr>
                <w:sz w:val="20"/>
                <w:szCs w:val="20"/>
                <w:color w:val="auto"/>
              </w:rPr>
            </w:pPr>
            <w:r>
              <w:rPr>
                <w:rFonts w:ascii="Arial" w:cs="Arial" w:eastAsia="Arial" w:hAnsi="Arial"/>
                <w:sz w:val="14"/>
                <w:szCs w:val="14"/>
                <w:color w:val="auto"/>
                <w:w w:val="98"/>
              </w:rPr>
              <w:t>9%</w:t>
            </w:r>
          </w:p>
        </w:tc>
        <w:tc>
          <w:tcPr>
            <w:tcW w:w="104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4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Fannie Mae 2011 30-year 4.0% fixed rate TBA </w:t>
            </w:r>
            <w:r>
              <w:rPr>
                <w:rFonts w:ascii="Arial" w:cs="Arial" w:eastAsia="Arial" w:hAnsi="Arial"/>
                <w:sz w:val="8"/>
                <w:szCs w:val="8"/>
                <w:color w:val="auto"/>
              </w:rPr>
              <w:t>(2)</w:t>
            </w:r>
          </w:p>
        </w:tc>
        <w:tc>
          <w:tcPr>
            <w:tcW w:w="88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85"/>
              </w:rPr>
              <w:t>11%</w:t>
            </w: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13%</w:t>
            </w:r>
          </w:p>
        </w:tc>
        <w:tc>
          <w:tcPr>
            <w:tcW w:w="8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19%</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21%</w:t>
            </w:r>
          </w:p>
        </w:tc>
        <w:tc>
          <w:tcPr>
            <w:tcW w:w="6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14%</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15%</w:t>
            </w: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21%</w:t>
            </w:r>
          </w:p>
        </w:tc>
        <w:tc>
          <w:tcPr>
            <w:tcW w:w="8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29%</w:t>
            </w: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35%</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980" w:type="dxa"/>
            <w:vAlign w:val="bottom"/>
          </w:tcPr>
          <w:p>
            <w:pPr>
              <w:jc w:val="right"/>
              <w:ind w:right="1764"/>
              <w:spacing w:after="0"/>
              <w:rPr>
                <w:sz w:val="20"/>
                <w:szCs w:val="20"/>
                <w:color w:val="auto"/>
              </w:rPr>
            </w:pPr>
            <w:r>
              <w:rPr>
                <w:rFonts w:ascii="Arial" w:cs="Arial" w:eastAsia="Arial" w:hAnsi="Arial"/>
                <w:sz w:val="18"/>
                <w:szCs w:val="18"/>
                <w:color w:val="auto"/>
                <w:w w:val="88"/>
              </w:rPr>
              <w:t>________________________</w:t>
            </w: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340" w:hanging="332"/>
        <w:spacing w:after="0"/>
        <w:tabs>
          <w:tab w:leader="none" w:pos="3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Weighted average actual one-month annualized CPR released at the beginning of the month based on securities held/outstanding as of the preceding month-end.</w:t>
      </w:r>
    </w:p>
    <w:p>
      <w:pPr>
        <w:spacing w:after="0" w:line="1" w:lineRule="exact"/>
        <w:rPr>
          <w:rFonts w:ascii="Arial" w:cs="Arial" w:eastAsia="Arial" w:hAnsi="Arial"/>
          <w:sz w:val="14"/>
          <w:szCs w:val="14"/>
          <w:color w:val="auto"/>
        </w:rPr>
      </w:pPr>
    </w:p>
    <w:p>
      <w:pPr>
        <w:ind w:left="340" w:hanging="332"/>
        <w:spacing w:after="0"/>
        <w:tabs>
          <w:tab w:leader="none" w:pos="3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Source: JP Morgan.</w:t>
      </w:r>
    </w:p>
    <w:p>
      <w:pPr>
        <w:spacing w:after="0" w:line="156"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In addition to strategic asset selection, we attempt to protect our net asset value against significant fluctuations due to market risks, including interest rate and prepayment risk, through the use of economic hedges. We utilize a variety of hedging strategies to aid us in this objective, which are summarized in Notes 3 and 6 of the accompanying financial statements.</w:t>
      </w: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2012 and December 31, 2011, our investment portfolio consisted of $89.6 billion and $54.7 billion, respectively, of agency mortgage-backed securities ("agency MBS"). The following tables summarize certain characteristics of our agency MBS investment portfolio as of September 30, 2012 and December 31, 2011 (dollars in millions):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46" w:right="239" w:bottom="1440" w:gutter="0" w:footer="0" w:header="0"/>
        </w:sectPr>
      </w:pPr>
    </w:p>
    <w:bookmarkStart w:id="28" w:name="page29"/>
    <w:bookmarkEnd w:id="28"/>
    <w:tbl>
      <w:tblPr>
        <w:tblLayout w:type="fixed"/>
        <w:tblInd w:w="20" w:type="dxa"/>
        <w:tblCellMar>
          <w:top w:w="0" w:type="dxa"/>
          <w:left w:w="0" w:type="dxa"/>
          <w:bottom w:w="0" w:type="dxa"/>
          <w:right w:w="0" w:type="dxa"/>
        </w:tblCellMar>
      </w:tblPr>
      <w:tr>
        <w:trPr>
          <w:trHeight w:val="192"/>
        </w:trPr>
        <w:tc>
          <w:tcPr>
            <w:tcW w:w="3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360" w:type="dxa"/>
            <w:vAlign w:val="bottom"/>
            <w:tcBorders>
              <w:bottom w:val="single" w:sz="8" w:color="auto"/>
            </w:tcBorders>
            <w:gridSpan w:val="5"/>
          </w:tcPr>
          <w:p>
            <w:pPr>
              <w:ind w:left="340"/>
              <w:spacing w:after="0"/>
              <w:rPr>
                <w:sz w:val="20"/>
                <w:szCs w:val="20"/>
                <w:color w:val="auto"/>
              </w:rPr>
            </w:pPr>
            <w:r>
              <w:rPr>
                <w:rFonts w:ascii="Arial" w:cs="Arial" w:eastAsia="Arial" w:hAnsi="Arial"/>
                <w:sz w:val="14"/>
                <w:szCs w:val="14"/>
                <w:b w:val="1"/>
                <w:bCs w:val="1"/>
                <w:color w:val="auto"/>
              </w:rPr>
              <w:t>September 30, 2012</w:t>
            </w: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20" w:type="dxa"/>
            <w:vAlign w:val="bottom"/>
            <w:gridSpan w:val="4"/>
          </w:tcPr>
          <w:p>
            <w:pPr>
              <w:ind w:left="340"/>
              <w:spacing w:after="0" w:line="153" w:lineRule="exact"/>
              <w:rPr>
                <w:sz w:val="20"/>
                <w:szCs w:val="20"/>
                <w:color w:val="auto"/>
              </w:rPr>
            </w:pPr>
            <w:r>
              <w:rPr>
                <w:rFonts w:ascii="Arial" w:cs="Arial" w:eastAsia="Arial" w:hAnsi="Arial"/>
                <w:sz w:val="14"/>
                <w:szCs w:val="14"/>
                <w:b w:val="1"/>
                <w:bCs w:val="1"/>
                <w:color w:val="auto"/>
              </w:rPr>
              <w:t>Weighted Average</w:t>
            </w:r>
          </w:p>
        </w:tc>
        <w:tc>
          <w:tcPr>
            <w:tcW w:w="100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September</w:t>
            </w:r>
          </w:p>
        </w:tc>
        <w:tc>
          <w:tcPr>
            <w:tcW w:w="0" w:type="dxa"/>
            <w:vAlign w:val="bottom"/>
          </w:tcPr>
          <w:p>
            <w:pPr>
              <w:spacing w:after="0"/>
              <w:rPr>
                <w:sz w:val="1"/>
                <w:szCs w:val="1"/>
                <w:color w:val="auto"/>
              </w:rPr>
            </w:pPr>
          </w:p>
        </w:tc>
      </w:tr>
      <w:tr>
        <w:trPr>
          <w:trHeight w:val="50"/>
        </w:trPr>
        <w:tc>
          <w:tcPr>
            <w:tcW w:w="35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0" w:type="dxa"/>
            <w:vAlign w:val="bottom"/>
            <w:gridSpan w:val="2"/>
            <w:vMerge w:val="restart"/>
          </w:tcPr>
          <w:p>
            <w:pPr>
              <w:ind w:left="40"/>
              <w:spacing w:after="0" w:line="149" w:lineRule="exact"/>
              <w:rPr>
                <w:sz w:val="20"/>
                <w:szCs w:val="20"/>
                <w:color w:val="auto"/>
              </w:rPr>
            </w:pPr>
            <w:r>
              <w:rPr>
                <w:rFonts w:ascii="Arial" w:cs="Arial" w:eastAsia="Arial" w:hAnsi="Arial"/>
                <w:sz w:val="14"/>
                <w:szCs w:val="14"/>
                <w:b w:val="1"/>
                <w:bCs w:val="1"/>
                <w:color w:val="auto"/>
              </w:rPr>
              <w:t>Amortized</w:t>
            </w:r>
          </w:p>
        </w:tc>
        <w:tc>
          <w:tcPr>
            <w:tcW w:w="1240" w:type="dxa"/>
            <w:vAlign w:val="bottom"/>
            <w:gridSpan w:val="2"/>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4"/>
                <w:szCs w:val="4"/>
                <w:color w:val="auto"/>
              </w:rPr>
            </w:pPr>
          </w:p>
        </w:tc>
        <w:tc>
          <w:tcPr>
            <w:tcW w:w="86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00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3"/>
              </w:rPr>
              <w:t>2012 Projected</w:t>
            </w:r>
          </w:p>
        </w:tc>
        <w:tc>
          <w:tcPr>
            <w:tcW w:w="0" w:type="dxa"/>
            <w:vAlign w:val="bottom"/>
          </w:tcPr>
          <w:p>
            <w:pPr>
              <w:spacing w:after="0"/>
              <w:rPr>
                <w:sz w:val="1"/>
                <w:szCs w:val="1"/>
                <w:color w:val="auto"/>
              </w:rPr>
            </w:pPr>
          </w:p>
        </w:tc>
      </w:tr>
      <w:tr>
        <w:trPr>
          <w:trHeight w:val="79"/>
        </w:trPr>
        <w:tc>
          <w:tcPr>
            <w:tcW w:w="3540" w:type="dxa"/>
            <w:vAlign w:val="bottom"/>
            <w:vMerge w:val="restart"/>
          </w:tcPr>
          <w:p>
            <w:pPr>
              <w:ind w:left="20"/>
              <w:spacing w:after="0"/>
              <w:rPr>
                <w:sz w:val="20"/>
                <w:szCs w:val="20"/>
                <w:color w:val="auto"/>
              </w:rPr>
            </w:pPr>
            <w:r>
              <w:rPr>
                <w:rFonts w:ascii="Arial" w:cs="Arial" w:eastAsia="Arial" w:hAnsi="Arial"/>
                <w:sz w:val="14"/>
                <w:szCs w:val="14"/>
                <w:b w:val="1"/>
                <w:bCs w:val="1"/>
                <w:color w:val="auto"/>
                <w:w w:val="99"/>
              </w:rPr>
              <w:t>Agency MBS Classified as Available-for-Sale ("AFS")</w:t>
            </w:r>
          </w:p>
        </w:tc>
        <w:tc>
          <w:tcPr>
            <w:tcW w:w="120" w:type="dxa"/>
            <w:vAlign w:val="bottom"/>
            <w:vMerge w:val="restart"/>
          </w:tcPr>
          <w:p>
            <w:pPr>
              <w:spacing w:after="0"/>
              <w:rPr>
                <w:sz w:val="6"/>
                <w:szCs w:val="6"/>
                <w:color w:val="auto"/>
              </w:rPr>
            </w:pPr>
          </w:p>
        </w:tc>
        <w:tc>
          <w:tcPr>
            <w:tcW w:w="180" w:type="dxa"/>
            <w:vAlign w:val="bottom"/>
          </w:tcPr>
          <w:p>
            <w:pPr>
              <w:spacing w:after="0"/>
              <w:rPr>
                <w:sz w:val="6"/>
                <w:szCs w:val="6"/>
                <w:color w:val="auto"/>
              </w:rPr>
            </w:pPr>
          </w:p>
        </w:tc>
        <w:tc>
          <w:tcPr>
            <w:tcW w:w="98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Par Value</w:t>
            </w:r>
          </w:p>
        </w:tc>
        <w:tc>
          <w:tcPr>
            <w:tcW w:w="120" w:type="dxa"/>
            <w:vAlign w:val="bottom"/>
            <w:vMerge w:val="restart"/>
          </w:tcPr>
          <w:p>
            <w:pPr>
              <w:spacing w:after="0"/>
              <w:rPr>
                <w:sz w:val="6"/>
                <w:szCs w:val="6"/>
                <w:color w:val="auto"/>
              </w:rPr>
            </w:pPr>
          </w:p>
        </w:tc>
        <w:tc>
          <w:tcPr>
            <w:tcW w:w="160" w:type="dxa"/>
            <w:vAlign w:val="bottom"/>
          </w:tcPr>
          <w:p>
            <w:pPr>
              <w:spacing w:after="0"/>
              <w:rPr>
                <w:sz w:val="6"/>
                <w:szCs w:val="6"/>
                <w:color w:val="auto"/>
              </w:rPr>
            </w:pPr>
          </w:p>
        </w:tc>
        <w:tc>
          <w:tcPr>
            <w:tcW w:w="1000" w:type="dxa"/>
            <w:vAlign w:val="bottom"/>
            <w:gridSpan w:val="2"/>
            <w:vMerge w:val="continue"/>
          </w:tcPr>
          <w:p>
            <w:pPr>
              <w:spacing w:after="0"/>
              <w:rPr>
                <w:sz w:val="6"/>
                <w:szCs w:val="6"/>
                <w:color w:val="auto"/>
              </w:rPr>
            </w:pPr>
          </w:p>
        </w:tc>
        <w:tc>
          <w:tcPr>
            <w:tcW w:w="1240" w:type="dxa"/>
            <w:vAlign w:val="bottom"/>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86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Fair Value</w:t>
            </w:r>
          </w:p>
        </w:tc>
        <w:tc>
          <w:tcPr>
            <w:tcW w:w="120" w:type="dxa"/>
            <w:vAlign w:val="bottom"/>
            <w:vMerge w:val="restart"/>
          </w:tcPr>
          <w:p>
            <w:pPr>
              <w:spacing w:after="0"/>
              <w:rPr>
                <w:sz w:val="6"/>
                <w:szCs w:val="6"/>
                <w:color w:val="auto"/>
              </w:rPr>
            </w:pPr>
          </w:p>
        </w:tc>
        <w:tc>
          <w:tcPr>
            <w:tcW w:w="9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Coupon</w:t>
            </w:r>
          </w:p>
        </w:tc>
        <w:tc>
          <w:tcPr>
            <w:tcW w:w="100" w:type="dxa"/>
            <w:vAlign w:val="bottom"/>
            <w:vMerge w:val="restart"/>
          </w:tcPr>
          <w:p>
            <w:pPr>
              <w:spacing w:after="0"/>
              <w:rPr>
                <w:sz w:val="6"/>
                <w:szCs w:val="6"/>
                <w:color w:val="auto"/>
              </w:rPr>
            </w:pPr>
          </w:p>
        </w:tc>
        <w:tc>
          <w:tcPr>
            <w:tcW w:w="8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 xml:space="preserve">Yield </w:t>
            </w:r>
            <w:r>
              <w:rPr>
                <w:rFonts w:ascii="Arial" w:cs="Arial" w:eastAsia="Arial" w:hAnsi="Arial"/>
                <w:sz w:val="8"/>
                <w:szCs w:val="8"/>
                <w:b w:val="1"/>
                <w:bCs w:val="1"/>
                <w:color w:val="auto"/>
                <w:w w:val="97"/>
              </w:rPr>
              <w:t>(1)</w:t>
            </w:r>
          </w:p>
        </w:tc>
        <w:tc>
          <w:tcPr>
            <w:tcW w:w="120" w:type="dxa"/>
            <w:vAlign w:val="bottom"/>
            <w:vMerge w:val="restart"/>
          </w:tcPr>
          <w:p>
            <w:pPr>
              <w:spacing w:after="0"/>
              <w:rPr>
                <w:sz w:val="6"/>
                <w:szCs w:val="6"/>
                <w:color w:val="auto"/>
              </w:rPr>
            </w:pPr>
          </w:p>
        </w:tc>
        <w:tc>
          <w:tcPr>
            <w:tcW w:w="10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35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Cost Basis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 xml:space="preserve">Life CPR </w:t>
            </w:r>
            <w:r>
              <w:rPr>
                <w:rFonts w:ascii="Arial" w:cs="Arial" w:eastAsia="Arial" w:hAnsi="Arial"/>
                <w:sz w:val="8"/>
                <w:szCs w:val="8"/>
                <w:b w:val="1"/>
                <w:bCs w:val="1"/>
                <w:color w:val="auto"/>
                <w:w w:val="99"/>
              </w:rPr>
              <w:t>(2)</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AFS Investments By Issuer:</w:t>
            </w:r>
          </w:p>
        </w:tc>
        <w:tc>
          <w:tcPr>
            <w:tcW w:w="1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540"/>
              <w:spacing w:after="0"/>
              <w:rPr>
                <w:sz w:val="20"/>
                <w:szCs w:val="20"/>
                <w:color w:val="auto"/>
              </w:rPr>
            </w:pPr>
            <w:r>
              <w:rPr>
                <w:rFonts w:ascii="Arial" w:cs="Arial" w:eastAsia="Arial" w:hAnsi="Arial"/>
                <w:sz w:val="14"/>
                <w:szCs w:val="14"/>
                <w:color w:val="auto"/>
              </w:rPr>
              <w:t>Fannie Mae</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64,352</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67,671</w:t>
            </w:r>
          </w:p>
        </w:tc>
        <w:tc>
          <w:tcPr>
            <w:tcW w:w="12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105.2%</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69,831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3.63%</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95"/>
              </w:rPr>
              <w:t>2.54%</w:t>
            </w:r>
          </w:p>
        </w:tc>
        <w:tc>
          <w:tcPr>
            <w:tcW w:w="120" w:type="dxa"/>
            <w:vAlign w:val="bottom"/>
          </w:tcPr>
          <w:p>
            <w:pPr>
              <w:spacing w:after="0"/>
              <w:rPr>
                <w:sz w:val="22"/>
                <w:szCs w:val="22"/>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9"/>
              </w:rPr>
              <w:t>14%</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Freddie Mac</w:t>
            </w:r>
          </w:p>
        </w:tc>
        <w:tc>
          <w:tcPr>
            <w:tcW w:w="1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17,512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18,339</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104.7%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18,956</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3.76%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2.70%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14%</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540"/>
              <w:spacing w:after="0"/>
              <w:rPr>
                <w:sz w:val="20"/>
                <w:szCs w:val="20"/>
                <w:color w:val="auto"/>
              </w:rPr>
            </w:pPr>
            <w:r>
              <w:rPr>
                <w:rFonts w:ascii="Arial" w:cs="Arial" w:eastAsia="Arial" w:hAnsi="Arial"/>
                <w:sz w:val="14"/>
                <w:szCs w:val="14"/>
                <w:color w:val="auto"/>
              </w:rPr>
              <w:t>Ginnie Mae</w:t>
            </w:r>
          </w:p>
        </w:tc>
        <w:tc>
          <w:tcPr>
            <w:tcW w:w="1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260</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272</w:t>
            </w:r>
          </w:p>
        </w:tc>
        <w:tc>
          <w:tcPr>
            <w:tcW w:w="120" w:type="dxa"/>
            <w:vAlign w:val="bottom"/>
            <w:tcBorders>
              <w:bottom w:val="single" w:sz="8" w:color="CCEEFF"/>
            </w:tcBorders>
          </w:tcPr>
          <w:p>
            <w:pPr>
              <w:spacing w:after="0"/>
              <w:rPr>
                <w:sz w:val="22"/>
                <w:szCs w:val="22"/>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104.5%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278</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3.78%</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1.60%</w:t>
            </w:r>
          </w:p>
        </w:tc>
        <w:tc>
          <w:tcPr>
            <w:tcW w:w="12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21%</w:t>
            </w:r>
          </w:p>
        </w:tc>
        <w:tc>
          <w:tcPr>
            <w:tcW w:w="0" w:type="dxa"/>
            <w:vAlign w:val="bottom"/>
          </w:tcPr>
          <w:p>
            <w:pPr>
              <w:spacing w:after="0"/>
              <w:rPr>
                <w:sz w:val="1"/>
                <w:szCs w:val="1"/>
                <w:color w:val="auto"/>
              </w:rPr>
            </w:pPr>
          </w:p>
        </w:tc>
      </w:tr>
      <w:tr>
        <w:trPr>
          <w:trHeight w:val="243"/>
        </w:trPr>
        <w:tc>
          <w:tcPr>
            <w:tcW w:w="36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 Weighted Average AFS Securities</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82,124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86,282</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105.1%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89,065</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3.66%</w:t>
            </w: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2.57%</w:t>
            </w: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9"/>
              </w:rPr>
              <w:t>14%</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3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AFS Investments By Security Type:</w:t>
            </w:r>
          </w:p>
        </w:tc>
        <w:tc>
          <w:tcPr>
            <w:tcW w:w="1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20"/>
              <w:spacing w:after="0"/>
              <w:rPr>
                <w:sz w:val="20"/>
                <w:szCs w:val="20"/>
                <w:color w:val="auto"/>
              </w:rPr>
            </w:pPr>
            <w:r>
              <w:rPr>
                <w:rFonts w:ascii="Arial" w:cs="Arial" w:eastAsia="Arial" w:hAnsi="Arial"/>
                <w:sz w:val="14"/>
                <w:szCs w:val="14"/>
                <w:color w:val="auto"/>
              </w:rPr>
              <w:t>Fixed-Rate</w:t>
            </w:r>
          </w:p>
        </w:tc>
        <w:tc>
          <w:tcPr>
            <w:tcW w:w="18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 15-Year</w:t>
            </w:r>
          </w:p>
        </w:tc>
        <w:tc>
          <w:tcPr>
            <w:tcW w:w="1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 xml:space="preserve">Lower Loan Balance </w:t>
            </w:r>
            <w:r>
              <w:rPr>
                <w:rFonts w:ascii="Arial" w:cs="Arial" w:eastAsia="Arial" w:hAnsi="Arial"/>
                <w:sz w:val="8"/>
                <w:szCs w:val="8"/>
                <w:color w:val="auto"/>
              </w:rPr>
              <w:t>(3)</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14,645</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15,197</w:t>
            </w:r>
          </w:p>
        </w:tc>
        <w:tc>
          <w:tcPr>
            <w:tcW w:w="12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103.7%</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15,844</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3.71%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95"/>
              </w:rPr>
              <w:t>2.61%</w:t>
            </w:r>
          </w:p>
        </w:tc>
        <w:tc>
          <w:tcPr>
            <w:tcW w:w="120" w:type="dxa"/>
            <w:vAlign w:val="bottom"/>
          </w:tcPr>
          <w:p>
            <w:pPr>
              <w:spacing w:after="0"/>
              <w:rPr>
                <w:sz w:val="22"/>
                <w:szCs w:val="22"/>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9"/>
              </w:rPr>
              <w:t>16%</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xml:space="preserve">HARP </w:t>
            </w:r>
            <w:r>
              <w:rPr>
                <w:rFonts w:ascii="Arial" w:cs="Arial" w:eastAsia="Arial" w:hAnsi="Arial"/>
                <w:sz w:val="8"/>
                <w:szCs w:val="8"/>
                <w:color w:val="auto"/>
              </w:rPr>
              <w:t>(4)</w:t>
            </w:r>
          </w:p>
        </w:tc>
        <w:tc>
          <w:tcPr>
            <w:tcW w:w="1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1,177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1,221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103.8%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1,271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3.71%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2.54%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17%</w:t>
            </w:r>
          </w:p>
        </w:tc>
        <w:tc>
          <w:tcPr>
            <w:tcW w:w="0" w:type="dxa"/>
            <w:vAlign w:val="bottom"/>
          </w:tcPr>
          <w:p>
            <w:pPr>
              <w:spacing w:after="0"/>
              <w:rPr>
                <w:sz w:val="1"/>
                <w:szCs w:val="1"/>
                <w:color w:val="auto"/>
              </w:rPr>
            </w:pPr>
          </w:p>
        </w:tc>
      </w:tr>
      <w:tr>
        <w:trPr>
          <w:trHeight w:val="264"/>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 xml:space="preserve">Other (2009-2012 Vintage) </w:t>
            </w:r>
            <w:r>
              <w:rPr>
                <w:rFonts w:ascii="Arial" w:cs="Arial" w:eastAsia="Arial" w:hAnsi="Arial"/>
                <w:sz w:val="8"/>
                <w:szCs w:val="8"/>
                <w:color w:val="auto"/>
              </w:rPr>
              <w:t>(5)</w:t>
            </w:r>
          </w:p>
        </w:tc>
        <w:tc>
          <w:tcPr>
            <w:tcW w:w="18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10,891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11,253</w:t>
            </w:r>
          </w:p>
        </w:tc>
        <w:tc>
          <w:tcPr>
            <w:tcW w:w="12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103.3%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11,479</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2.72%</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95"/>
              </w:rPr>
              <w:t>1.65%</w:t>
            </w:r>
          </w:p>
        </w:tc>
        <w:tc>
          <w:tcPr>
            <w:tcW w:w="120" w:type="dxa"/>
            <w:vAlign w:val="bottom"/>
          </w:tcPr>
          <w:p>
            <w:pPr>
              <w:spacing w:after="0"/>
              <w:rPr>
                <w:sz w:val="22"/>
                <w:szCs w:val="22"/>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9"/>
              </w:rPr>
              <w:t>19%</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(Pre 2009 Vintage)</w:t>
            </w:r>
          </w:p>
        </w:tc>
        <w:tc>
          <w:tcPr>
            <w:tcW w:w="18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w:t>
            </w:r>
          </w:p>
        </w:tc>
        <w:tc>
          <w:tcPr>
            <w:tcW w:w="120" w:type="dxa"/>
            <w:vAlign w:val="bottom"/>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104.7%</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37</w:t>
            </w:r>
          </w:p>
        </w:tc>
        <w:tc>
          <w:tcPr>
            <w:tcW w:w="12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4.57%</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2.63%</w:t>
            </w:r>
          </w:p>
        </w:tc>
        <w:tc>
          <w:tcPr>
            <w:tcW w:w="120" w:type="dxa"/>
            <w:vAlign w:val="bottom"/>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9"/>
              </w:rPr>
              <w:t>18%</w:t>
            </w: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gridSpan w:val="2"/>
          </w:tcPr>
          <w:p>
            <w:pPr>
              <w:ind w:left="540"/>
              <w:spacing w:after="0"/>
              <w:rPr>
                <w:sz w:val="20"/>
                <w:szCs w:val="20"/>
                <w:color w:val="auto"/>
              </w:rPr>
            </w:pPr>
            <w:r>
              <w:rPr>
                <w:rFonts w:ascii="Arial" w:cs="Arial" w:eastAsia="Arial" w:hAnsi="Arial"/>
                <w:sz w:val="14"/>
                <w:szCs w:val="14"/>
                <w:color w:val="auto"/>
              </w:rPr>
              <w:t>Total ≤ 15-Year</w:t>
            </w:r>
          </w:p>
        </w:tc>
        <w:tc>
          <w:tcPr>
            <w:tcW w:w="1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26,748</w:t>
            </w:r>
          </w:p>
        </w:tc>
        <w:tc>
          <w:tcPr>
            <w:tcW w:w="12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27,707</w:t>
            </w:r>
          </w:p>
        </w:tc>
        <w:tc>
          <w:tcPr>
            <w:tcW w:w="120" w:type="dxa"/>
            <w:vAlign w:val="bottom"/>
            <w:tcBorders>
              <w:bottom w:val="single" w:sz="8" w:color="CCEEFF"/>
            </w:tcBorders>
          </w:tcPr>
          <w:p>
            <w:pPr>
              <w:spacing w:after="0"/>
              <w:rPr>
                <w:sz w:val="21"/>
                <w:szCs w:val="21"/>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103.6%</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28,631</w:t>
            </w:r>
          </w:p>
        </w:tc>
        <w:tc>
          <w:tcPr>
            <w:tcW w:w="12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3.31%</w:t>
            </w:r>
          </w:p>
        </w:tc>
        <w:tc>
          <w:tcPr>
            <w:tcW w:w="100" w:type="dxa"/>
            <w:vAlign w:val="bottom"/>
            <w:tcBorders>
              <w:bottom w:val="single" w:sz="8" w:color="CCEEFF"/>
            </w:tcBorders>
          </w:tcPr>
          <w:p>
            <w:pPr>
              <w:spacing w:after="0"/>
              <w:rPr>
                <w:sz w:val="21"/>
                <w:szCs w:val="21"/>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2.21%</w:t>
            </w:r>
          </w:p>
        </w:tc>
        <w:tc>
          <w:tcPr>
            <w:tcW w:w="120" w:type="dxa"/>
            <w:vAlign w:val="bottom"/>
            <w:tcBorders>
              <w:bottom w:val="single" w:sz="8" w:color="CCEEFF"/>
            </w:tcBorders>
          </w:tcPr>
          <w:p>
            <w:pPr>
              <w:spacing w:after="0"/>
              <w:rPr>
                <w:sz w:val="21"/>
                <w:szCs w:val="21"/>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17%</w:t>
            </w:r>
          </w:p>
        </w:tc>
        <w:tc>
          <w:tcPr>
            <w:tcW w:w="0" w:type="dxa"/>
            <w:vAlign w:val="bottom"/>
          </w:tcPr>
          <w:p>
            <w:pPr>
              <w:spacing w:after="0"/>
              <w:rPr>
                <w:sz w:val="1"/>
                <w:szCs w:val="1"/>
                <w:color w:val="auto"/>
              </w:rPr>
            </w:pPr>
          </w:p>
        </w:tc>
      </w:tr>
      <w:tr>
        <w:trPr>
          <w:trHeight w:val="256"/>
        </w:trPr>
        <w:tc>
          <w:tcPr>
            <w:tcW w:w="366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20-Year:</w:t>
            </w:r>
          </w:p>
        </w:tc>
        <w:tc>
          <w:tcPr>
            <w:tcW w:w="180" w:type="dxa"/>
            <w:vAlign w:val="bottom"/>
            <w:tcBorders>
              <w:bottom w:val="single" w:sz="8" w:color="auto"/>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2,440</w:t>
            </w:r>
          </w:p>
        </w:tc>
        <w:tc>
          <w:tcPr>
            <w:tcW w:w="120" w:type="dxa"/>
            <w:vAlign w:val="bottom"/>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2,542</w:t>
            </w:r>
          </w:p>
        </w:tc>
        <w:tc>
          <w:tcPr>
            <w:tcW w:w="120" w:type="dxa"/>
            <w:vAlign w:val="bottom"/>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104.2%</w:t>
            </w:r>
          </w:p>
        </w:tc>
        <w:tc>
          <w:tcPr>
            <w:tcW w:w="120" w:type="dxa"/>
            <w:vAlign w:val="bottom"/>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2,627</w:t>
            </w:r>
          </w:p>
        </w:tc>
        <w:tc>
          <w:tcPr>
            <w:tcW w:w="120" w:type="dxa"/>
            <w:vAlign w:val="bottom"/>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3.55%</w:t>
            </w:r>
          </w:p>
        </w:tc>
        <w:tc>
          <w:tcPr>
            <w:tcW w:w="100" w:type="dxa"/>
            <w:vAlign w:val="bottom"/>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2.43%</w:t>
            </w:r>
          </w:p>
        </w:tc>
        <w:tc>
          <w:tcPr>
            <w:tcW w:w="120" w:type="dxa"/>
            <w:vAlign w:val="bottom"/>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9"/>
              </w:rPr>
              <w:t>17%</w:t>
            </w:r>
          </w:p>
        </w:tc>
        <w:tc>
          <w:tcPr>
            <w:tcW w:w="0" w:type="dxa"/>
            <w:vAlign w:val="bottom"/>
          </w:tcPr>
          <w:p>
            <w:pPr>
              <w:spacing w:after="0"/>
              <w:rPr>
                <w:sz w:val="1"/>
                <w:szCs w:val="1"/>
                <w:color w:val="auto"/>
              </w:rPr>
            </w:pPr>
          </w:p>
        </w:tc>
      </w:tr>
      <w:tr>
        <w:trPr>
          <w:trHeight w:val="258"/>
        </w:trPr>
        <w:tc>
          <w:tcPr>
            <w:tcW w:w="3660" w:type="dxa"/>
            <w:vAlign w:val="bottom"/>
            <w:gridSpan w:val="2"/>
          </w:tcPr>
          <w:p>
            <w:pPr>
              <w:ind w:left="540"/>
              <w:spacing w:after="0"/>
              <w:rPr>
                <w:sz w:val="20"/>
                <w:szCs w:val="20"/>
                <w:color w:val="auto"/>
              </w:rPr>
            </w:pPr>
            <w:r>
              <w:rPr>
                <w:rFonts w:ascii="Arial" w:cs="Arial" w:eastAsia="Arial" w:hAnsi="Arial"/>
                <w:sz w:val="14"/>
                <w:szCs w:val="14"/>
                <w:color w:val="auto"/>
              </w:rPr>
              <w:t>30-Year:</w:t>
            </w:r>
          </w:p>
        </w:tc>
        <w:tc>
          <w:tcPr>
            <w:tcW w:w="18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xml:space="preserve">Lower Loan Balance </w:t>
            </w:r>
            <w:r>
              <w:rPr>
                <w:rFonts w:ascii="Arial" w:cs="Arial" w:eastAsia="Arial" w:hAnsi="Arial"/>
                <w:sz w:val="8"/>
                <w:szCs w:val="8"/>
                <w:color w:val="auto"/>
              </w:rPr>
              <w:t>(3)</w:t>
            </w:r>
          </w:p>
        </w:tc>
        <w:tc>
          <w:tcPr>
            <w:tcW w:w="1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17,317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18,365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106.1%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19,004</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3.86%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2.85%</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10%</w:t>
            </w:r>
          </w:p>
        </w:tc>
        <w:tc>
          <w:tcPr>
            <w:tcW w:w="0" w:type="dxa"/>
            <w:vAlign w:val="bottom"/>
          </w:tcPr>
          <w:p>
            <w:pPr>
              <w:spacing w:after="0"/>
              <w:rPr>
                <w:sz w:val="1"/>
                <w:szCs w:val="1"/>
                <w:color w:val="auto"/>
              </w:rPr>
            </w:pPr>
          </w:p>
        </w:tc>
      </w:tr>
      <w:tr>
        <w:trPr>
          <w:trHeight w:val="264"/>
        </w:trPr>
        <w:tc>
          <w:tcPr>
            <w:tcW w:w="3660" w:type="dxa"/>
            <w:vAlign w:val="bottom"/>
            <w:gridSpan w:val="2"/>
          </w:tcPr>
          <w:p>
            <w:pPr>
              <w:ind w:left="380"/>
              <w:spacing w:after="0"/>
              <w:rPr>
                <w:sz w:val="20"/>
                <w:szCs w:val="20"/>
                <w:color w:val="auto"/>
              </w:rPr>
            </w:pPr>
            <w:r>
              <w:rPr>
                <w:rFonts w:ascii="Arial" w:cs="Arial" w:eastAsia="Arial" w:hAnsi="Arial"/>
                <w:sz w:val="14"/>
                <w:szCs w:val="14"/>
                <w:color w:val="auto"/>
              </w:rPr>
              <w:t xml:space="preserve">HARP </w:t>
            </w:r>
            <w:r>
              <w:rPr>
                <w:rFonts w:ascii="Arial" w:cs="Arial" w:eastAsia="Arial" w:hAnsi="Arial"/>
                <w:sz w:val="8"/>
                <w:szCs w:val="8"/>
                <w:color w:val="auto"/>
              </w:rPr>
              <w:t>(4)</w:t>
            </w:r>
          </w:p>
        </w:tc>
        <w:tc>
          <w:tcPr>
            <w:tcW w:w="18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23,271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24,674</w:t>
            </w:r>
          </w:p>
        </w:tc>
        <w:tc>
          <w:tcPr>
            <w:tcW w:w="12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106.0%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25,529</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3.87%</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95"/>
              </w:rPr>
              <w:t>2.80%</w:t>
            </w:r>
          </w:p>
        </w:tc>
        <w:tc>
          <w:tcPr>
            <w:tcW w:w="120" w:type="dxa"/>
            <w:vAlign w:val="bottom"/>
          </w:tcPr>
          <w:p>
            <w:pPr>
              <w:spacing w:after="0"/>
              <w:rPr>
                <w:sz w:val="22"/>
                <w:szCs w:val="22"/>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85"/>
              </w:rPr>
              <w:t>11%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xml:space="preserve">Other (2009-2012 Vintage) </w:t>
            </w:r>
            <w:r>
              <w:rPr>
                <w:rFonts w:ascii="Arial" w:cs="Arial" w:eastAsia="Arial" w:hAnsi="Arial"/>
                <w:sz w:val="8"/>
                <w:szCs w:val="8"/>
                <w:color w:val="auto"/>
              </w:rPr>
              <w:t>(5)</w:t>
            </w:r>
          </w:p>
        </w:tc>
        <w:tc>
          <w:tcPr>
            <w:tcW w:w="1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10,785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11,363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105.4%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11,590</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3.65%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15%</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xml:space="preserve">Other (Pre 2009 Vintage) </w:t>
            </w:r>
            <w:r>
              <w:rPr>
                <w:rFonts w:ascii="Arial" w:cs="Arial" w:eastAsia="Arial" w:hAnsi="Arial"/>
                <w:sz w:val="8"/>
                <w:szCs w:val="8"/>
                <w:color w:val="auto"/>
              </w:rPr>
              <w:t>(5)</w:t>
            </w:r>
          </w:p>
        </w:tc>
        <w:tc>
          <w:tcPr>
            <w:tcW w:w="1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455</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485</w:t>
            </w:r>
          </w:p>
        </w:tc>
        <w:tc>
          <w:tcPr>
            <w:tcW w:w="120" w:type="dxa"/>
            <w:vAlign w:val="bottom"/>
            <w:tcBorders>
              <w:bottom w:val="single" w:sz="8" w:color="CCEEFF"/>
            </w:tcBorders>
          </w:tcPr>
          <w:p>
            <w:pPr>
              <w:spacing w:after="0"/>
              <w:rPr>
                <w:sz w:val="22"/>
                <w:szCs w:val="22"/>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106.7%</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501</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5.60%</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3.55%</w:t>
            </w:r>
          </w:p>
        </w:tc>
        <w:tc>
          <w:tcPr>
            <w:tcW w:w="12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21%</w:t>
            </w:r>
          </w:p>
        </w:tc>
        <w:tc>
          <w:tcPr>
            <w:tcW w:w="0" w:type="dxa"/>
            <w:vAlign w:val="bottom"/>
          </w:tcPr>
          <w:p>
            <w:pPr>
              <w:spacing w:after="0"/>
              <w:rPr>
                <w:sz w:val="1"/>
                <w:szCs w:val="1"/>
                <w:color w:val="auto"/>
              </w:rPr>
            </w:pPr>
          </w:p>
        </w:tc>
      </w:tr>
      <w:tr>
        <w:trPr>
          <w:trHeight w:val="250"/>
        </w:trPr>
        <w:tc>
          <w:tcPr>
            <w:tcW w:w="366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30-Year</w:t>
            </w:r>
          </w:p>
        </w:tc>
        <w:tc>
          <w:tcPr>
            <w:tcW w:w="1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51,828</w:t>
            </w:r>
          </w:p>
        </w:tc>
        <w:tc>
          <w:tcPr>
            <w:tcW w:w="12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54,887</w:t>
            </w:r>
          </w:p>
        </w:tc>
        <w:tc>
          <w:tcPr>
            <w:tcW w:w="120" w:type="dxa"/>
            <w:vAlign w:val="bottom"/>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105.9%</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56,624</w:t>
            </w:r>
          </w:p>
        </w:tc>
        <w:tc>
          <w:tcPr>
            <w:tcW w:w="12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3.84%</w:t>
            </w:r>
          </w:p>
        </w:tc>
        <w:tc>
          <w:tcPr>
            <w:tcW w:w="100" w:type="dxa"/>
            <w:vAlign w:val="bottom"/>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2.76%</w:t>
            </w:r>
          </w:p>
        </w:tc>
        <w:tc>
          <w:tcPr>
            <w:tcW w:w="120" w:type="dxa"/>
            <w:vAlign w:val="bottom"/>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9"/>
              </w:rPr>
              <w:t>12%</w:t>
            </w:r>
          </w:p>
        </w:tc>
        <w:tc>
          <w:tcPr>
            <w:tcW w:w="0" w:type="dxa"/>
            <w:vAlign w:val="bottom"/>
          </w:tcPr>
          <w:p>
            <w:pPr>
              <w:spacing w:after="0"/>
              <w:rPr>
                <w:sz w:val="1"/>
                <w:szCs w:val="1"/>
                <w:color w:val="auto"/>
              </w:rPr>
            </w:pPr>
          </w:p>
        </w:tc>
      </w:tr>
      <w:tr>
        <w:trPr>
          <w:trHeight w:val="250"/>
        </w:trPr>
        <w:tc>
          <w:tcPr>
            <w:tcW w:w="3660" w:type="dxa"/>
            <w:vAlign w:val="bottom"/>
            <w:gridSpan w:val="2"/>
          </w:tcPr>
          <w:p>
            <w:pPr>
              <w:ind w:left="20"/>
              <w:spacing w:after="0"/>
              <w:rPr>
                <w:sz w:val="20"/>
                <w:szCs w:val="20"/>
                <w:color w:val="auto"/>
              </w:rPr>
            </w:pPr>
            <w:r>
              <w:rPr>
                <w:rFonts w:ascii="Arial" w:cs="Arial" w:eastAsia="Arial" w:hAnsi="Arial"/>
                <w:sz w:val="14"/>
                <w:szCs w:val="14"/>
                <w:color w:val="auto"/>
              </w:rPr>
              <w:t>Total Fixed-Rate</w:t>
            </w:r>
          </w:p>
        </w:tc>
        <w:tc>
          <w:tcPr>
            <w:tcW w:w="180" w:type="dxa"/>
            <w:vAlign w:val="bottom"/>
          </w:tcPr>
          <w:p>
            <w:pPr>
              <w:spacing w:after="0"/>
              <w:rPr>
                <w:sz w:val="21"/>
                <w:szCs w:val="21"/>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81,016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85,136</w:t>
            </w:r>
          </w:p>
        </w:tc>
        <w:tc>
          <w:tcPr>
            <w:tcW w:w="120" w:type="dxa"/>
            <w:vAlign w:val="bottom"/>
          </w:tcPr>
          <w:p>
            <w:pPr>
              <w:spacing w:after="0"/>
              <w:rPr>
                <w:sz w:val="21"/>
                <w:szCs w:val="21"/>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105.1%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87,882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3.66%</w:t>
            </w:r>
          </w:p>
        </w:tc>
        <w:tc>
          <w:tcPr>
            <w:tcW w:w="100" w:type="dxa"/>
            <w:vAlign w:val="bottom"/>
          </w:tcPr>
          <w:p>
            <w:pPr>
              <w:spacing w:after="0"/>
              <w:rPr>
                <w:sz w:val="21"/>
                <w:szCs w:val="21"/>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95"/>
              </w:rPr>
              <w:t>2.57%</w:t>
            </w:r>
          </w:p>
        </w:tc>
        <w:tc>
          <w:tcPr>
            <w:tcW w:w="120" w:type="dxa"/>
            <w:vAlign w:val="bottom"/>
          </w:tcPr>
          <w:p>
            <w:pPr>
              <w:spacing w:after="0"/>
              <w:rPr>
                <w:sz w:val="21"/>
                <w:szCs w:val="21"/>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9"/>
              </w:rPr>
              <w:t>14%</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Adjustable-Rate</w:t>
            </w:r>
          </w:p>
        </w:tc>
        <w:tc>
          <w:tcPr>
            <w:tcW w:w="1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928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960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103.5%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992</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4.18%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25%</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CMO</w:t>
            </w:r>
          </w:p>
        </w:tc>
        <w:tc>
          <w:tcPr>
            <w:tcW w:w="1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180</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186</w:t>
            </w:r>
          </w:p>
        </w:tc>
        <w:tc>
          <w:tcPr>
            <w:tcW w:w="120" w:type="dxa"/>
            <w:vAlign w:val="bottom"/>
            <w:tcBorders>
              <w:bottom w:val="single" w:sz="8" w:color="CCEEFF"/>
            </w:tcBorders>
          </w:tcPr>
          <w:p>
            <w:pPr>
              <w:spacing w:after="0"/>
              <w:rPr>
                <w:sz w:val="22"/>
                <w:szCs w:val="22"/>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103.1%</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191</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3.70%</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2.85%</w:t>
            </w:r>
          </w:p>
        </w:tc>
        <w:tc>
          <w:tcPr>
            <w:tcW w:w="12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16%</w:t>
            </w:r>
          </w:p>
        </w:tc>
        <w:tc>
          <w:tcPr>
            <w:tcW w:w="0" w:type="dxa"/>
            <w:vAlign w:val="bottom"/>
          </w:tcPr>
          <w:p>
            <w:pPr>
              <w:spacing w:after="0"/>
              <w:rPr>
                <w:sz w:val="1"/>
                <w:szCs w:val="1"/>
                <w:color w:val="auto"/>
              </w:rPr>
            </w:pPr>
          </w:p>
        </w:tc>
      </w:tr>
      <w:tr>
        <w:trPr>
          <w:trHeight w:val="243"/>
        </w:trPr>
        <w:tc>
          <w:tcPr>
            <w:tcW w:w="36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 Weighted Average</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82,124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86,282</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105.1%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89,065</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3.66%</w:t>
            </w: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2.57%</w:t>
            </w: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9"/>
              </w:rPr>
              <w:t>14%</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1" w:lineRule="exact"/>
        <w:rPr>
          <w:sz w:val="20"/>
          <w:szCs w:val="20"/>
          <w:color w:val="auto"/>
        </w:rPr>
      </w:pPr>
    </w:p>
    <w:tbl>
      <w:tblPr>
        <w:tblLayout w:type="fixed"/>
        <w:tblInd w:w="320" w:type="dxa"/>
        <w:tblCellMar>
          <w:top w:w="0" w:type="dxa"/>
          <w:left w:w="0" w:type="dxa"/>
          <w:bottom w:w="0" w:type="dxa"/>
          <w:right w:w="0" w:type="dxa"/>
        </w:tblCellMar>
      </w:tblPr>
      <w:tr>
        <w:trPr>
          <w:trHeight w:val="192"/>
        </w:trPr>
        <w:tc>
          <w:tcPr>
            <w:tcW w:w="368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September 30, 2012</w:t>
            </w: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5"/>
              </w:rPr>
              <w:t>Underlying</w:t>
            </w:r>
          </w:p>
        </w:tc>
        <w:tc>
          <w:tcPr>
            <w:tcW w:w="1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40" w:type="dxa"/>
            <w:vAlign w:val="bottom"/>
            <w:gridSpan w:val="3"/>
            <w:vMerge w:val="restart"/>
          </w:tcPr>
          <w:p>
            <w:pPr>
              <w:ind w:left="460"/>
              <w:spacing w:after="0"/>
              <w:rPr>
                <w:sz w:val="20"/>
                <w:szCs w:val="20"/>
                <w:color w:val="auto"/>
              </w:rPr>
            </w:pPr>
            <w:r>
              <w:rPr>
                <w:rFonts w:ascii="Arial" w:cs="Arial" w:eastAsia="Arial" w:hAnsi="Arial"/>
                <w:sz w:val="14"/>
                <w:szCs w:val="14"/>
                <w:b w:val="1"/>
                <w:bCs w:val="1"/>
                <w:color w:val="auto"/>
              </w:rPr>
              <w:t>Weighted Average</w:t>
            </w:r>
          </w:p>
        </w:tc>
        <w:tc>
          <w:tcPr>
            <w:tcW w:w="120" w:type="dxa"/>
            <w:vAlign w:val="bottom"/>
            <w:vMerge w:val="restart"/>
          </w:tcPr>
          <w:p>
            <w:pPr>
              <w:spacing w:after="0"/>
              <w:rPr>
                <w:sz w:val="13"/>
                <w:szCs w:val="13"/>
                <w:color w:val="auto"/>
              </w:rPr>
            </w:pPr>
          </w:p>
        </w:tc>
        <w:tc>
          <w:tcPr>
            <w:tcW w:w="1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4"/>
        </w:trPr>
        <w:tc>
          <w:tcPr>
            <w:tcW w:w="3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94"/>
              </w:rPr>
              <w:t>Unamortized</w:t>
            </w:r>
          </w:p>
        </w:tc>
        <w:tc>
          <w:tcPr>
            <w:tcW w:w="1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40" w:type="dxa"/>
            <w:vAlign w:val="bottom"/>
            <w:tcBorders>
              <w:bottom w:val="single" w:sz="8" w:color="auto"/>
            </w:tcBorders>
            <w:gridSpan w:val="3"/>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11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3"/>
              </w:rPr>
              <w:t>September 2012</w:t>
            </w:r>
          </w:p>
        </w:tc>
        <w:tc>
          <w:tcPr>
            <w:tcW w:w="0" w:type="dxa"/>
            <w:vAlign w:val="bottom"/>
          </w:tcPr>
          <w:p>
            <w:pPr>
              <w:spacing w:after="0"/>
              <w:rPr>
                <w:sz w:val="1"/>
                <w:szCs w:val="1"/>
                <w:color w:val="auto"/>
              </w:rPr>
            </w:pPr>
          </w:p>
        </w:tc>
      </w:tr>
      <w:tr>
        <w:trPr>
          <w:trHeight w:val="149"/>
        </w:trPr>
        <w:tc>
          <w:tcPr>
            <w:tcW w:w="3680" w:type="dxa"/>
            <w:vAlign w:val="bottom"/>
            <w:vMerge w:val="restart"/>
          </w:tcPr>
          <w:p>
            <w:pPr>
              <w:ind w:left="20"/>
              <w:spacing w:after="0"/>
              <w:rPr>
                <w:sz w:val="20"/>
                <w:szCs w:val="20"/>
                <w:color w:val="auto"/>
              </w:rPr>
            </w:pPr>
            <w:r>
              <w:rPr>
                <w:rFonts w:ascii="Arial" w:cs="Arial" w:eastAsia="Arial" w:hAnsi="Arial"/>
                <w:sz w:val="14"/>
                <w:szCs w:val="14"/>
                <w:b w:val="1"/>
                <w:bCs w:val="1"/>
                <w:color w:val="auto"/>
                <w:w w:val="94"/>
              </w:rPr>
              <w:t>Agency MBS Remeasured at Fair Value Through Earnings</w:t>
            </w:r>
          </w:p>
        </w:tc>
        <w:tc>
          <w:tcPr>
            <w:tcW w:w="160" w:type="dxa"/>
            <w:vAlign w:val="bottom"/>
          </w:tcPr>
          <w:p>
            <w:pPr>
              <w:spacing w:after="0"/>
              <w:rPr>
                <w:sz w:val="12"/>
                <w:szCs w:val="12"/>
                <w:color w:val="auto"/>
              </w:rPr>
            </w:pPr>
          </w:p>
        </w:tc>
        <w:tc>
          <w:tcPr>
            <w:tcW w:w="12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7"/>
              </w:rPr>
              <w:t>Principal</w:t>
            </w:r>
          </w:p>
        </w:tc>
        <w:tc>
          <w:tcPr>
            <w:tcW w:w="180" w:type="dxa"/>
            <w:vAlign w:val="bottom"/>
          </w:tcPr>
          <w:p>
            <w:pPr>
              <w:spacing w:after="0"/>
              <w:rPr>
                <w:sz w:val="12"/>
                <w:szCs w:val="12"/>
                <w:color w:val="auto"/>
              </w:rPr>
            </w:pPr>
          </w:p>
        </w:tc>
        <w:tc>
          <w:tcPr>
            <w:tcW w:w="11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6"/>
              </w:rPr>
              <w:t>Amortized</w:t>
            </w:r>
          </w:p>
        </w:tc>
        <w:tc>
          <w:tcPr>
            <w:tcW w:w="120" w:type="dxa"/>
            <w:vAlign w:val="bottom"/>
          </w:tcPr>
          <w:p>
            <w:pPr>
              <w:spacing w:after="0"/>
              <w:rPr>
                <w:sz w:val="12"/>
                <w:szCs w:val="12"/>
                <w:color w:val="auto"/>
              </w:rPr>
            </w:pPr>
          </w:p>
        </w:tc>
        <w:tc>
          <w:tcPr>
            <w:tcW w:w="9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108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Coupon</w:t>
            </w:r>
          </w:p>
        </w:tc>
        <w:tc>
          <w:tcPr>
            <w:tcW w:w="108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(1)</w:t>
            </w:r>
          </w:p>
        </w:tc>
        <w:tc>
          <w:tcPr>
            <w:tcW w:w="11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Projected Life</w:t>
            </w:r>
          </w:p>
        </w:tc>
        <w:tc>
          <w:tcPr>
            <w:tcW w:w="0" w:type="dxa"/>
            <w:vAlign w:val="bottom"/>
          </w:tcPr>
          <w:p>
            <w:pPr>
              <w:spacing w:after="0"/>
              <w:rPr>
                <w:sz w:val="1"/>
                <w:szCs w:val="1"/>
                <w:color w:val="auto"/>
              </w:rPr>
            </w:pPr>
          </w:p>
        </w:tc>
      </w:tr>
      <w:tr>
        <w:trPr>
          <w:trHeight w:val="198"/>
        </w:trPr>
        <w:tc>
          <w:tcPr>
            <w:tcW w:w="368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Balance</w:t>
            </w:r>
          </w:p>
        </w:tc>
        <w:tc>
          <w:tcPr>
            <w:tcW w:w="180" w:type="dxa"/>
            <w:vAlign w:val="bottom"/>
          </w:tcPr>
          <w:p>
            <w:pPr>
              <w:spacing w:after="0"/>
              <w:rPr>
                <w:sz w:val="17"/>
                <w:szCs w:val="17"/>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Cost</w:t>
            </w:r>
          </w:p>
        </w:tc>
        <w:tc>
          <w:tcPr>
            <w:tcW w:w="12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1080" w:type="dxa"/>
            <w:vAlign w:val="bottom"/>
            <w:gridSpan w:val="2"/>
            <w:vMerge w:val="continue"/>
          </w:tcPr>
          <w:p>
            <w:pPr>
              <w:spacing w:after="0"/>
              <w:rPr>
                <w:sz w:val="17"/>
                <w:szCs w:val="17"/>
                <w:color w:val="auto"/>
              </w:rPr>
            </w:pPr>
          </w:p>
        </w:tc>
        <w:tc>
          <w:tcPr>
            <w:tcW w:w="1080" w:type="dxa"/>
            <w:vAlign w:val="bottom"/>
            <w:gridSpan w:val="2"/>
            <w:vMerge w:val="continue"/>
          </w:tcPr>
          <w:p>
            <w:pPr>
              <w:spacing w:after="0"/>
              <w:rPr>
                <w:sz w:val="17"/>
                <w:szCs w:val="17"/>
                <w:color w:val="auto"/>
              </w:rPr>
            </w:pPr>
          </w:p>
        </w:tc>
        <w:tc>
          <w:tcPr>
            <w:tcW w:w="1180" w:type="dxa"/>
            <w:vAlign w:val="bottom"/>
          </w:tcPr>
          <w:p>
            <w:pPr>
              <w:jc w:val="center"/>
              <w:spacing w:after="0" w:line="199" w:lineRule="exact"/>
              <w:rPr>
                <w:sz w:val="20"/>
                <w:szCs w:val="20"/>
                <w:color w:val="auto"/>
              </w:rPr>
            </w:pPr>
            <w:r>
              <w:rPr>
                <w:rFonts w:ascii="Arial" w:cs="Arial" w:eastAsia="Arial" w:hAnsi="Arial"/>
                <w:sz w:val="22"/>
                <w:szCs w:val="22"/>
                <w:b w:val="1"/>
                <w:bCs w:val="1"/>
                <w:color w:val="auto"/>
                <w:vertAlign w:val="subscript"/>
              </w:rPr>
              <w:t>CPR</w:t>
            </w:r>
            <w:r>
              <w:rPr>
                <w:rFonts w:ascii="Arial" w:cs="Arial" w:eastAsia="Arial" w:hAnsi="Arial"/>
                <w:sz w:val="8"/>
                <w:szCs w:val="8"/>
                <w:b w:val="1"/>
                <w:bCs w:val="1"/>
                <w:color w:val="auto"/>
              </w:rPr>
              <w:t xml:space="preserve"> (2)</w:t>
            </w:r>
          </w:p>
        </w:tc>
        <w:tc>
          <w:tcPr>
            <w:tcW w:w="0" w:type="dxa"/>
            <w:vAlign w:val="bottom"/>
          </w:tcPr>
          <w:p>
            <w:pPr>
              <w:spacing w:after="0"/>
              <w:rPr>
                <w:sz w:val="1"/>
                <w:szCs w:val="1"/>
                <w:color w:val="auto"/>
              </w:rPr>
            </w:pPr>
          </w:p>
        </w:tc>
      </w:tr>
      <w:tr>
        <w:trPr>
          <w:trHeight w:val="264"/>
        </w:trPr>
        <w:tc>
          <w:tcPr>
            <w:tcW w:w="36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Interest-Only Strips</w:t>
            </w:r>
          </w:p>
        </w:tc>
        <w:tc>
          <w:tcPr>
            <w:tcW w:w="160" w:type="dxa"/>
            <w:vAlign w:val="bottom"/>
            <w:tcBorders>
              <w:top w:val="single" w:sz="8" w:color="auto"/>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84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1180" w:type="dxa"/>
            <w:vAlign w:val="bottom"/>
            <w:tcBorders>
              <w:top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3680" w:type="dxa"/>
            <w:vAlign w:val="bottom"/>
          </w:tcPr>
          <w:p>
            <w:pPr>
              <w:ind w:left="540"/>
              <w:spacing w:after="0"/>
              <w:rPr>
                <w:sz w:val="20"/>
                <w:szCs w:val="20"/>
                <w:color w:val="auto"/>
              </w:rPr>
            </w:pPr>
            <w:r>
              <w:rPr>
                <w:rFonts w:ascii="Arial" w:cs="Arial" w:eastAsia="Arial" w:hAnsi="Arial"/>
                <w:sz w:val="14"/>
                <w:szCs w:val="14"/>
                <w:color w:val="auto"/>
              </w:rPr>
              <w:t>Fannie Mae</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1,447</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258</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259</w:t>
            </w:r>
          </w:p>
        </w:tc>
        <w:tc>
          <w:tcPr>
            <w:tcW w:w="120" w:type="dxa"/>
            <w:vAlign w:val="bottom"/>
          </w:tcPr>
          <w:p>
            <w:pPr>
              <w:spacing w:after="0"/>
              <w:rPr>
                <w:sz w:val="22"/>
                <w:szCs w:val="22"/>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5"/>
              </w:rPr>
              <w:t>5.73%</w:t>
            </w:r>
          </w:p>
        </w:tc>
        <w:tc>
          <w:tcPr>
            <w:tcW w:w="120" w:type="dxa"/>
            <w:vAlign w:val="bottom"/>
          </w:tcPr>
          <w:p>
            <w:pPr>
              <w:spacing w:after="0"/>
              <w:rPr>
                <w:sz w:val="22"/>
                <w:szCs w:val="22"/>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5"/>
              </w:rPr>
              <w:t>6.97%</w:t>
            </w:r>
          </w:p>
        </w:tc>
        <w:tc>
          <w:tcPr>
            <w:tcW w:w="120" w:type="dxa"/>
            <w:vAlign w:val="bottom"/>
          </w:tcPr>
          <w:p>
            <w:pPr>
              <w:spacing w:after="0"/>
              <w:rPr>
                <w:sz w:val="22"/>
                <w:szCs w:val="22"/>
                <w:color w:val="auto"/>
              </w:rPr>
            </w:pPr>
          </w:p>
        </w:tc>
        <w:tc>
          <w:tcPr>
            <w:tcW w:w="1180" w:type="dxa"/>
            <w:vAlign w:val="bottom"/>
          </w:tcPr>
          <w:p>
            <w:pPr>
              <w:jc w:val="center"/>
              <w:spacing w:after="0"/>
              <w:rPr>
                <w:sz w:val="20"/>
                <w:szCs w:val="20"/>
                <w:color w:val="auto"/>
              </w:rPr>
            </w:pPr>
            <w:r>
              <w:rPr>
                <w:rFonts w:ascii="Arial" w:cs="Arial" w:eastAsia="Arial" w:hAnsi="Arial"/>
                <w:sz w:val="14"/>
                <w:szCs w:val="14"/>
                <w:color w:val="auto"/>
                <w:w w:val="92"/>
              </w:rPr>
              <w:t>18%</w:t>
            </w:r>
          </w:p>
        </w:tc>
        <w:tc>
          <w:tcPr>
            <w:tcW w:w="0" w:type="dxa"/>
            <w:vAlign w:val="bottom"/>
          </w:tcPr>
          <w:p>
            <w:pPr>
              <w:spacing w:after="0"/>
              <w:rPr>
                <w:sz w:val="1"/>
                <w:szCs w:val="1"/>
                <w:color w:val="auto"/>
              </w:rPr>
            </w:pPr>
          </w:p>
        </w:tc>
      </w:tr>
      <w:tr>
        <w:trPr>
          <w:trHeight w:val="276"/>
        </w:trPr>
        <w:tc>
          <w:tcPr>
            <w:tcW w:w="3680" w:type="dxa"/>
            <w:vAlign w:val="bottom"/>
            <w:shd w:val="clear" w:color="auto" w:fill="CCEEFF"/>
          </w:tcPr>
          <w:p>
            <w:pPr>
              <w:ind w:left="540"/>
              <w:spacing w:after="0"/>
              <w:rPr>
                <w:sz w:val="20"/>
                <w:szCs w:val="20"/>
                <w:color w:val="auto"/>
              </w:rPr>
            </w:pPr>
            <w:r>
              <w:rPr>
                <w:rFonts w:ascii="Arial" w:cs="Arial" w:eastAsia="Arial" w:hAnsi="Arial"/>
                <w:sz w:val="14"/>
                <w:szCs w:val="14"/>
                <w:color w:val="auto"/>
              </w:rPr>
              <w:t>Freddie Mac</w:t>
            </w:r>
          </w:p>
        </w:tc>
        <w:tc>
          <w:tcPr>
            <w:tcW w:w="1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48</w:t>
            </w:r>
          </w:p>
        </w:tc>
        <w:tc>
          <w:tcPr>
            <w:tcW w:w="120" w:type="dxa"/>
            <w:vAlign w:val="bottom"/>
            <w:shd w:val="clear" w:color="auto" w:fill="CCEEFF"/>
          </w:tcPr>
          <w:p>
            <w:pPr>
              <w:spacing w:after="0"/>
              <w:rPr>
                <w:sz w:val="24"/>
                <w:szCs w:val="24"/>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5.60%</w:t>
            </w:r>
          </w:p>
        </w:tc>
        <w:tc>
          <w:tcPr>
            <w:tcW w:w="120" w:type="dxa"/>
            <w:vAlign w:val="bottom"/>
            <w:shd w:val="clear" w:color="auto" w:fill="CCEEFF"/>
          </w:tcPr>
          <w:p>
            <w:pPr>
              <w:spacing w:after="0"/>
              <w:rPr>
                <w:sz w:val="24"/>
                <w:szCs w:val="24"/>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39.73%</w:t>
            </w:r>
          </w:p>
        </w:tc>
        <w:tc>
          <w:tcPr>
            <w:tcW w:w="120" w:type="dxa"/>
            <w:vAlign w:val="bottom"/>
            <w:shd w:val="clear" w:color="auto" w:fill="CCEEFF"/>
          </w:tcPr>
          <w:p>
            <w:pPr>
              <w:spacing w:after="0"/>
              <w:rPr>
                <w:sz w:val="24"/>
                <w:szCs w:val="24"/>
                <w:color w:val="auto"/>
              </w:rPr>
            </w:pP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20%</w:t>
            </w:r>
          </w:p>
        </w:tc>
        <w:tc>
          <w:tcPr>
            <w:tcW w:w="0" w:type="dxa"/>
            <w:vAlign w:val="bottom"/>
          </w:tcPr>
          <w:p>
            <w:pPr>
              <w:spacing w:after="0"/>
              <w:rPr>
                <w:sz w:val="1"/>
                <w:szCs w:val="1"/>
                <w:color w:val="auto"/>
              </w:rPr>
            </w:pPr>
          </w:p>
        </w:tc>
      </w:tr>
      <w:tr>
        <w:trPr>
          <w:trHeight w:val="264"/>
        </w:trPr>
        <w:tc>
          <w:tcPr>
            <w:tcW w:w="3680" w:type="dxa"/>
            <w:vAlign w:val="bottom"/>
          </w:tcPr>
          <w:p>
            <w:pPr>
              <w:ind w:left="20"/>
              <w:spacing w:after="0"/>
              <w:rPr>
                <w:sz w:val="20"/>
                <w:szCs w:val="20"/>
                <w:color w:val="auto"/>
              </w:rPr>
            </w:pPr>
            <w:r>
              <w:rPr>
                <w:rFonts w:ascii="Arial" w:cs="Arial" w:eastAsia="Arial" w:hAnsi="Arial"/>
                <w:sz w:val="14"/>
                <w:szCs w:val="14"/>
                <w:color w:val="auto"/>
              </w:rPr>
              <w:t>Principal-Only Strips</w:t>
            </w:r>
          </w:p>
        </w:tc>
        <w:tc>
          <w:tcPr>
            <w:tcW w:w="1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3680" w:type="dxa"/>
            <w:vAlign w:val="bottom"/>
            <w:shd w:val="clear" w:color="auto" w:fill="CCEEFF"/>
          </w:tcPr>
          <w:p>
            <w:pPr>
              <w:ind w:left="540"/>
              <w:spacing w:after="0"/>
              <w:rPr>
                <w:sz w:val="20"/>
                <w:szCs w:val="20"/>
                <w:color w:val="auto"/>
              </w:rPr>
            </w:pPr>
            <w:r>
              <w:rPr>
                <w:rFonts w:ascii="Arial" w:cs="Arial" w:eastAsia="Arial" w:hAnsi="Arial"/>
                <w:sz w:val="14"/>
                <w:szCs w:val="14"/>
                <w:color w:val="auto"/>
              </w:rPr>
              <w:t>Fannie Mae</w:t>
            </w:r>
          </w:p>
        </w:tc>
        <w:tc>
          <w:tcPr>
            <w:tcW w:w="1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309</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250</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268</w:t>
            </w:r>
          </w:p>
        </w:tc>
        <w:tc>
          <w:tcPr>
            <w:tcW w:w="12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8"/>
              </w:rPr>
              <w:t>—%</w:t>
            </w: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3.19%</w:t>
            </w:r>
          </w:p>
        </w:tc>
        <w:tc>
          <w:tcPr>
            <w:tcW w:w="120" w:type="dxa"/>
            <w:vAlign w:val="bottom"/>
            <w:shd w:val="clear" w:color="auto" w:fill="CCEEFF"/>
          </w:tcPr>
          <w:p>
            <w:pPr>
              <w:spacing w:after="0"/>
              <w:rPr>
                <w:sz w:val="23"/>
                <w:szCs w:val="23"/>
                <w:color w:val="auto"/>
              </w:rPr>
            </w:pP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43"/>
        </w:trPr>
        <w:tc>
          <w:tcPr>
            <w:tcW w:w="3680" w:type="dxa"/>
            <w:vAlign w:val="bottom"/>
          </w:tcPr>
          <w:p>
            <w:pPr>
              <w:ind w:left="20"/>
              <w:spacing w:after="0"/>
              <w:rPr>
                <w:sz w:val="20"/>
                <w:szCs w:val="20"/>
                <w:color w:val="auto"/>
              </w:rPr>
            </w:pPr>
            <w:r>
              <w:rPr>
                <w:rFonts w:ascii="Arial" w:cs="Arial" w:eastAsia="Arial" w:hAnsi="Arial"/>
                <w:sz w:val="14"/>
                <w:szCs w:val="14"/>
                <w:color w:val="auto"/>
              </w:rPr>
              <w:t>Total / Weighted Average</w:t>
            </w:r>
          </w:p>
        </w:tc>
        <w:tc>
          <w:tcPr>
            <w:tcW w:w="16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112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2,123</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10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568</w:t>
            </w:r>
          </w:p>
        </w:tc>
        <w:tc>
          <w:tcPr>
            <w:tcW w:w="12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575</w:t>
            </w:r>
          </w:p>
        </w:tc>
        <w:tc>
          <w:tcPr>
            <w:tcW w:w="120" w:type="dxa"/>
            <w:vAlign w:val="bottom"/>
          </w:tcPr>
          <w:p>
            <w:pPr>
              <w:spacing w:after="0"/>
              <w:rPr>
                <w:sz w:val="21"/>
                <w:szCs w:val="21"/>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5"/>
              </w:rPr>
              <w:t>4.87%</w:t>
            </w:r>
          </w:p>
        </w:tc>
        <w:tc>
          <w:tcPr>
            <w:tcW w:w="120" w:type="dxa"/>
            <w:vAlign w:val="bottom"/>
          </w:tcPr>
          <w:p>
            <w:pPr>
              <w:spacing w:after="0"/>
              <w:rPr>
                <w:sz w:val="21"/>
                <w:szCs w:val="21"/>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5"/>
              </w:rPr>
              <w:t>8.77%</w:t>
            </w:r>
          </w:p>
        </w:tc>
        <w:tc>
          <w:tcPr>
            <w:tcW w:w="120" w:type="dxa"/>
            <w:vAlign w:val="bottom"/>
          </w:tcPr>
          <w:p>
            <w:pPr>
              <w:spacing w:after="0"/>
              <w:rPr>
                <w:sz w:val="21"/>
                <w:szCs w:val="21"/>
                <w:color w:val="auto"/>
              </w:rPr>
            </w:pPr>
          </w:p>
        </w:tc>
        <w:tc>
          <w:tcPr>
            <w:tcW w:w="1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15%</w:t>
            </w:r>
          </w:p>
        </w:tc>
        <w:tc>
          <w:tcPr>
            <w:tcW w:w="0" w:type="dxa"/>
            <w:vAlign w:val="bottom"/>
          </w:tcPr>
          <w:p>
            <w:pPr>
              <w:spacing w:after="0"/>
              <w:rPr>
                <w:sz w:val="1"/>
                <w:szCs w:val="1"/>
                <w:color w:val="auto"/>
              </w:rPr>
            </w:pPr>
          </w:p>
        </w:tc>
      </w:tr>
      <w:tr>
        <w:trPr>
          <w:trHeight w:val="20"/>
        </w:trPr>
        <w:tc>
          <w:tcPr>
            <w:tcW w:w="36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w:t>
      </w:r>
    </w:p>
    <w:p>
      <w:pPr>
        <w:spacing w:after="0" w:line="2" w:lineRule="exact"/>
        <w:rPr>
          <w:sz w:val="20"/>
          <w:szCs w:val="20"/>
          <w:color w:val="auto"/>
        </w:rPr>
      </w:pPr>
    </w:p>
    <w:p>
      <w:pPr>
        <w:ind w:left="660" w:hanging="328"/>
        <w:spacing w:after="0" w:line="260" w:lineRule="auto"/>
        <w:tabs>
          <w:tab w:leader="none" w:pos="660" w:val="left"/>
        </w:tabs>
        <w:numPr>
          <w:ilvl w:val="0"/>
          <w:numId w:val="18"/>
        </w:numPr>
        <w:rPr>
          <w:rFonts w:ascii="Arial" w:cs="Arial" w:eastAsia="Arial" w:hAnsi="Arial"/>
          <w:sz w:val="13"/>
          <w:szCs w:val="13"/>
          <w:color w:val="auto"/>
        </w:rPr>
      </w:pPr>
      <w:r>
        <w:rPr>
          <w:rFonts w:ascii="Arial" w:cs="Arial" w:eastAsia="Arial" w:hAnsi="Arial"/>
          <w:sz w:val="13"/>
          <w:szCs w:val="13"/>
          <w:color w:val="auto"/>
        </w:rPr>
        <w:t>Portfolio yield incorporates a projected life CPR assumption as of September 30, 2012 and a weighted average reset rate for adjustable rate securities of 2.67%, which is equal to a weighted average underlying index rate of 0.96% based on the current spot rate in effect as of the date we acquired the securities and a weighted average margin of 1.71%.</w:t>
      </w:r>
    </w:p>
    <w:p>
      <w:pPr>
        <w:ind w:left="660" w:hanging="328"/>
        <w:spacing w:after="0"/>
        <w:tabs>
          <w:tab w:leader="none" w:pos="6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Weighted average projected life CPR based on forward rate assumptions as of September 30, 2012.</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 maximum original loan balance of up to $150,000. Our lower loan balance securities had a weighted average original loan balance of $98,000 and $101,000 for 15-year and 30-year securities, respectively, as of September 30, 2012.</w:t>
      </w:r>
    </w:p>
    <w:p>
      <w:pPr>
        <w:ind w:left="660" w:right="20" w:hanging="328"/>
        <w:spacing w:after="0" w:line="255" w:lineRule="auto"/>
        <w:tabs>
          <w:tab w:leader="none" w:pos="6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HARP securities are defined as pools backed by100% refinance loans with loan-to-values ("LTV") ≥ 80%. Our HARP securities had a weighted average LTV of 95% and 100% for 15-year and 30-year securities, respectively, as of September 30, 2012.</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968" w:right="23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192"/>
        </w:trPr>
        <w:tc>
          <w:tcPr>
            <w:tcW w:w="3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7"/>
          </w:tcPr>
          <w:p>
            <w:pPr>
              <w:spacing w:after="0"/>
              <w:rPr>
                <w:sz w:val="20"/>
                <w:szCs w:val="20"/>
                <w:color w:val="auto"/>
              </w:rPr>
            </w:pPr>
            <w:r>
              <w:rPr>
                <w:rFonts w:ascii="Arial" w:cs="Arial" w:eastAsia="Arial" w:hAnsi="Arial"/>
                <w:sz w:val="14"/>
                <w:szCs w:val="14"/>
                <w:b w:val="1"/>
                <w:bCs w:val="1"/>
                <w:color w:val="auto"/>
                <w:w w:val="95"/>
              </w:rPr>
              <w:t>December 31, 2011</w:t>
            </w: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40" w:type="dxa"/>
            <w:vAlign w:val="bottom"/>
            <w:gridSpan w:val="5"/>
          </w:tcPr>
          <w:p>
            <w:pPr>
              <w:ind w:left="120"/>
              <w:spacing w:after="0" w:line="153" w:lineRule="exact"/>
              <w:rPr>
                <w:sz w:val="20"/>
                <w:szCs w:val="20"/>
                <w:color w:val="auto"/>
              </w:rPr>
            </w:pPr>
            <w:r>
              <w:rPr>
                <w:rFonts w:ascii="Arial" w:cs="Arial" w:eastAsia="Arial" w:hAnsi="Arial"/>
                <w:sz w:val="14"/>
                <w:szCs w:val="14"/>
                <w:b w:val="1"/>
                <w:bCs w:val="1"/>
                <w:color w:val="auto"/>
              </w:rPr>
              <w:t>Weighted Average</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spacing w:after="0" w:line="153" w:lineRule="exact"/>
              <w:rPr>
                <w:sz w:val="20"/>
                <w:szCs w:val="20"/>
                <w:color w:val="auto"/>
              </w:rPr>
            </w:pPr>
            <w:r>
              <w:rPr>
                <w:rFonts w:ascii="Arial" w:cs="Arial" w:eastAsia="Arial" w:hAnsi="Arial"/>
                <w:sz w:val="14"/>
                <w:szCs w:val="14"/>
                <w:b w:val="1"/>
                <w:bCs w:val="1"/>
                <w:color w:val="auto"/>
                <w:w w:val="91"/>
              </w:rPr>
              <w:t>December 2011</w:t>
            </w:r>
          </w:p>
        </w:tc>
        <w:tc>
          <w:tcPr>
            <w:tcW w:w="0" w:type="dxa"/>
            <w:vAlign w:val="bottom"/>
          </w:tcPr>
          <w:p>
            <w:pPr>
              <w:spacing w:after="0"/>
              <w:rPr>
                <w:sz w:val="1"/>
                <w:szCs w:val="1"/>
                <w:color w:val="auto"/>
              </w:rPr>
            </w:pPr>
          </w:p>
        </w:tc>
      </w:tr>
      <w:tr>
        <w:trPr>
          <w:trHeight w:val="50"/>
        </w:trPr>
        <w:tc>
          <w:tcPr>
            <w:tcW w:w="3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vMerge w:val="restart"/>
          </w:tcPr>
          <w:p>
            <w:pPr>
              <w:spacing w:after="0"/>
              <w:rPr>
                <w:sz w:val="4"/>
                <w:szCs w:val="4"/>
                <w:color w:val="auto"/>
              </w:rPr>
            </w:pPr>
          </w:p>
        </w:tc>
        <w:tc>
          <w:tcPr>
            <w:tcW w:w="100" w:type="dxa"/>
            <w:vAlign w:val="bottom"/>
            <w:vMerge w:val="restart"/>
          </w:tcPr>
          <w:p>
            <w:pPr>
              <w:spacing w:after="0"/>
              <w:rPr>
                <w:sz w:val="4"/>
                <w:szCs w:val="4"/>
                <w:color w:val="auto"/>
              </w:rPr>
            </w:pPr>
          </w:p>
        </w:tc>
        <w:tc>
          <w:tcPr>
            <w:tcW w:w="1040" w:type="dxa"/>
            <w:vAlign w:val="bottom"/>
            <w:gridSpan w:val="3"/>
            <w:vMerge w:val="restart"/>
          </w:tcPr>
          <w:p>
            <w:pPr>
              <w:jc w:val="right"/>
              <w:ind w:right="320"/>
              <w:spacing w:after="0" w:line="149" w:lineRule="exact"/>
              <w:rPr>
                <w:sz w:val="20"/>
                <w:szCs w:val="20"/>
                <w:color w:val="auto"/>
              </w:rPr>
            </w:pPr>
            <w:r>
              <w:rPr>
                <w:rFonts w:ascii="Arial" w:cs="Arial" w:eastAsia="Arial" w:hAnsi="Arial"/>
                <w:sz w:val="14"/>
                <w:szCs w:val="14"/>
                <w:b w:val="1"/>
                <w:bCs w:val="1"/>
                <w:color w:val="auto"/>
              </w:rPr>
              <w:t>Amortized</w:t>
            </w:r>
          </w:p>
        </w:tc>
        <w:tc>
          <w:tcPr>
            <w:tcW w:w="40" w:type="dxa"/>
            <w:vAlign w:val="bottom"/>
            <w:vMerge w:val="restart"/>
          </w:tcPr>
          <w:p>
            <w:pPr>
              <w:spacing w:after="0"/>
              <w:rPr>
                <w:sz w:val="4"/>
                <w:szCs w:val="4"/>
                <w:color w:val="auto"/>
              </w:rPr>
            </w:pPr>
          </w:p>
        </w:tc>
        <w:tc>
          <w:tcPr>
            <w:tcW w:w="760" w:type="dxa"/>
            <w:vAlign w:val="bottom"/>
            <w:gridSpan w:val="2"/>
            <w:vMerge w:val="restart"/>
          </w:tcPr>
          <w:p>
            <w:pPr>
              <w:jc w:val="center"/>
              <w:ind w:left="8"/>
              <w:spacing w:after="0" w:line="149" w:lineRule="exact"/>
              <w:rPr>
                <w:sz w:val="20"/>
                <w:szCs w:val="20"/>
                <w:color w:val="auto"/>
              </w:rPr>
            </w:pPr>
            <w:r>
              <w:rPr>
                <w:rFonts w:ascii="Arial" w:cs="Arial" w:eastAsia="Arial" w:hAnsi="Arial"/>
                <w:sz w:val="14"/>
                <w:szCs w:val="14"/>
                <w:b w:val="1"/>
                <w:bCs w:val="1"/>
                <w:color w:val="auto"/>
                <w:w w:val="93"/>
              </w:rPr>
              <w:t>Amortized</w:t>
            </w: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140" w:type="dxa"/>
            <w:vAlign w:val="bottom"/>
            <w:gridSpan w:val="2"/>
            <w:vMerge w:val="restart"/>
          </w:tcPr>
          <w:p>
            <w:pPr>
              <w:jc w:val="center"/>
              <w:spacing w:after="0" w:line="149" w:lineRule="exact"/>
              <w:rPr>
                <w:sz w:val="20"/>
                <w:szCs w:val="20"/>
                <w:color w:val="auto"/>
              </w:rPr>
            </w:pPr>
            <w:r>
              <w:rPr>
                <w:rFonts w:ascii="Arial" w:cs="Arial" w:eastAsia="Arial" w:hAnsi="Arial"/>
                <w:sz w:val="14"/>
                <w:szCs w:val="14"/>
                <w:b w:val="1"/>
                <w:bCs w:val="1"/>
                <w:color w:val="auto"/>
                <w:w w:val="92"/>
              </w:rPr>
              <w:t>Projected Life</w:t>
            </w:r>
          </w:p>
        </w:tc>
        <w:tc>
          <w:tcPr>
            <w:tcW w:w="0" w:type="dxa"/>
            <w:vAlign w:val="bottom"/>
          </w:tcPr>
          <w:p>
            <w:pPr>
              <w:spacing w:after="0"/>
              <w:rPr>
                <w:sz w:val="1"/>
                <w:szCs w:val="1"/>
                <w:color w:val="auto"/>
              </w:rPr>
            </w:pPr>
          </w:p>
        </w:tc>
      </w:tr>
      <w:tr>
        <w:trPr>
          <w:trHeight w:val="79"/>
        </w:trPr>
        <w:tc>
          <w:tcPr>
            <w:tcW w:w="36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Agency MBS Classified as AFS</w:t>
            </w:r>
          </w:p>
        </w:tc>
        <w:tc>
          <w:tcPr>
            <w:tcW w:w="120" w:type="dxa"/>
            <w:vAlign w:val="bottom"/>
            <w:vMerge w:val="restart"/>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2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w w:val="97"/>
              </w:rPr>
              <w:t>Par Value</w:t>
            </w:r>
          </w:p>
        </w:tc>
        <w:tc>
          <w:tcPr>
            <w:tcW w:w="120" w:type="dxa"/>
            <w:vAlign w:val="bottom"/>
            <w:vMerge w:val="restart"/>
          </w:tcPr>
          <w:p>
            <w:pPr>
              <w:spacing w:after="0"/>
              <w:rPr>
                <w:sz w:val="6"/>
                <w:szCs w:val="6"/>
                <w:color w:val="auto"/>
              </w:rPr>
            </w:pPr>
          </w:p>
        </w:tc>
        <w:tc>
          <w:tcPr>
            <w:tcW w:w="20" w:type="dxa"/>
            <w:vAlign w:val="bottom"/>
            <w:vMerge w:val="continue"/>
          </w:tcPr>
          <w:p>
            <w:pPr>
              <w:spacing w:after="0"/>
              <w:rPr>
                <w:sz w:val="6"/>
                <w:szCs w:val="6"/>
                <w:color w:val="auto"/>
              </w:rPr>
            </w:pPr>
          </w:p>
        </w:tc>
        <w:tc>
          <w:tcPr>
            <w:tcW w:w="100" w:type="dxa"/>
            <w:vAlign w:val="bottom"/>
            <w:vMerge w:val="continue"/>
          </w:tcPr>
          <w:p>
            <w:pPr>
              <w:spacing w:after="0"/>
              <w:rPr>
                <w:sz w:val="6"/>
                <w:szCs w:val="6"/>
                <w:color w:val="auto"/>
              </w:rPr>
            </w:pPr>
          </w:p>
        </w:tc>
        <w:tc>
          <w:tcPr>
            <w:tcW w:w="1040" w:type="dxa"/>
            <w:vAlign w:val="bottom"/>
            <w:gridSpan w:val="3"/>
            <w:vMerge w:val="continue"/>
          </w:tcPr>
          <w:p>
            <w:pPr>
              <w:spacing w:after="0"/>
              <w:rPr>
                <w:sz w:val="6"/>
                <w:szCs w:val="6"/>
                <w:color w:val="auto"/>
              </w:rPr>
            </w:pPr>
          </w:p>
        </w:tc>
        <w:tc>
          <w:tcPr>
            <w:tcW w:w="4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780" w:type="dxa"/>
            <w:vAlign w:val="bottom"/>
            <w:gridSpan w:val="3"/>
            <w:vMerge w:val="restart"/>
          </w:tcPr>
          <w:p>
            <w:pPr>
              <w:jc w:val="right"/>
              <w:ind w:right="68"/>
              <w:spacing w:after="0"/>
              <w:rPr>
                <w:sz w:val="20"/>
                <w:szCs w:val="20"/>
                <w:color w:val="auto"/>
              </w:rPr>
            </w:pPr>
            <w:r>
              <w:rPr>
                <w:rFonts w:ascii="Arial" w:cs="Arial" w:eastAsia="Arial" w:hAnsi="Arial"/>
                <w:sz w:val="14"/>
                <w:szCs w:val="14"/>
                <w:b w:val="1"/>
                <w:bCs w:val="1"/>
                <w:color w:val="auto"/>
                <w:w w:val="92"/>
              </w:rPr>
              <w:t>Fair Value</w:t>
            </w:r>
          </w:p>
        </w:tc>
        <w:tc>
          <w:tcPr>
            <w:tcW w:w="100" w:type="dxa"/>
            <w:vAlign w:val="bottom"/>
            <w:vMerge w:val="restart"/>
          </w:tcPr>
          <w:p>
            <w:pPr>
              <w:spacing w:after="0"/>
              <w:rPr>
                <w:sz w:val="6"/>
                <w:szCs w:val="6"/>
                <w:color w:val="auto"/>
              </w:rPr>
            </w:pPr>
          </w:p>
        </w:tc>
        <w:tc>
          <w:tcPr>
            <w:tcW w:w="180" w:type="dxa"/>
            <w:vAlign w:val="bottom"/>
          </w:tcPr>
          <w:p>
            <w:pPr>
              <w:spacing w:after="0"/>
              <w:rPr>
                <w:sz w:val="6"/>
                <w:szCs w:val="6"/>
                <w:color w:val="auto"/>
              </w:rPr>
            </w:pPr>
          </w:p>
        </w:tc>
        <w:tc>
          <w:tcPr>
            <w:tcW w:w="720" w:type="dxa"/>
            <w:vAlign w:val="bottom"/>
            <w:gridSpan w:val="2"/>
            <w:vMerge w:val="restart"/>
          </w:tcPr>
          <w:p>
            <w:pPr>
              <w:jc w:val="center"/>
              <w:ind w:right="108"/>
              <w:spacing w:after="0"/>
              <w:rPr>
                <w:sz w:val="20"/>
                <w:szCs w:val="20"/>
                <w:color w:val="auto"/>
              </w:rPr>
            </w:pPr>
            <w:r>
              <w:rPr>
                <w:rFonts w:ascii="Arial" w:cs="Arial" w:eastAsia="Arial" w:hAnsi="Arial"/>
                <w:sz w:val="14"/>
                <w:szCs w:val="14"/>
                <w:b w:val="1"/>
                <w:bCs w:val="1"/>
                <w:color w:val="auto"/>
                <w:w w:val="94"/>
              </w:rPr>
              <w:t>Coupon</w:t>
            </w:r>
          </w:p>
        </w:tc>
        <w:tc>
          <w:tcPr>
            <w:tcW w:w="120" w:type="dxa"/>
            <w:vAlign w:val="bottom"/>
            <w:vMerge w:val="restart"/>
          </w:tcPr>
          <w:p>
            <w:pPr>
              <w:spacing w:after="0"/>
              <w:rPr>
                <w:sz w:val="6"/>
                <w:szCs w:val="6"/>
                <w:color w:val="auto"/>
              </w:rPr>
            </w:pPr>
          </w:p>
        </w:tc>
        <w:tc>
          <w:tcPr>
            <w:tcW w:w="700" w:type="dxa"/>
            <w:vAlign w:val="bottom"/>
            <w:gridSpan w:val="3"/>
            <w:vMerge w:val="restart"/>
          </w:tcPr>
          <w:p>
            <w:pPr>
              <w:jc w:val="center"/>
              <w:ind w:left="128"/>
              <w:spacing w:after="0"/>
              <w:rPr>
                <w:sz w:val="20"/>
                <w:szCs w:val="20"/>
                <w:color w:val="auto"/>
              </w:rPr>
            </w:pPr>
            <w:r>
              <w:rPr>
                <w:rFonts w:ascii="Arial" w:cs="Arial" w:eastAsia="Arial" w:hAnsi="Arial"/>
                <w:sz w:val="14"/>
                <w:szCs w:val="14"/>
                <w:b w:val="1"/>
                <w:bCs w:val="1"/>
                <w:color w:val="auto"/>
                <w:w w:val="97"/>
              </w:rPr>
              <w:t xml:space="preserve">Yield </w:t>
            </w:r>
            <w:r>
              <w:rPr>
                <w:rFonts w:ascii="Arial" w:cs="Arial" w:eastAsia="Arial" w:hAnsi="Arial"/>
                <w:sz w:val="8"/>
                <w:szCs w:val="8"/>
                <w:b w:val="1"/>
                <w:bCs w:val="1"/>
                <w:color w:val="auto"/>
                <w:w w:val="97"/>
              </w:rPr>
              <w:t>(1)</w:t>
            </w:r>
          </w:p>
        </w:tc>
        <w:tc>
          <w:tcPr>
            <w:tcW w:w="20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4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36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gridSpan w:val="2"/>
          </w:tcPr>
          <w:p>
            <w:pPr>
              <w:jc w:val="center"/>
              <w:ind w:left="8"/>
              <w:spacing w:after="0"/>
              <w:rPr>
                <w:sz w:val="20"/>
                <w:szCs w:val="20"/>
                <w:color w:val="auto"/>
              </w:rPr>
            </w:pPr>
            <w:r>
              <w:rPr>
                <w:rFonts w:ascii="Arial" w:cs="Arial" w:eastAsia="Arial" w:hAnsi="Arial"/>
                <w:sz w:val="14"/>
                <w:szCs w:val="14"/>
                <w:b w:val="1"/>
                <w:bCs w:val="1"/>
                <w:color w:val="auto"/>
                <w:w w:val="88"/>
              </w:rPr>
              <w:t>Cost Basis</w:t>
            </w: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gridSpan w:val="3"/>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700" w:type="dxa"/>
            <w:vAlign w:val="bottom"/>
            <w:tcBorders>
              <w:bottom w:val="single" w:sz="8" w:color="auto"/>
            </w:tcBorders>
            <w:gridSpan w:val="3"/>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(2)</w:t>
            </w:r>
          </w:p>
        </w:tc>
        <w:tc>
          <w:tcPr>
            <w:tcW w:w="0" w:type="dxa"/>
            <w:vAlign w:val="bottom"/>
          </w:tcPr>
          <w:p>
            <w:pPr>
              <w:spacing w:after="0"/>
              <w:rPr>
                <w:sz w:val="1"/>
                <w:szCs w:val="1"/>
                <w:color w:val="auto"/>
              </w:rPr>
            </w:pPr>
          </w:p>
        </w:tc>
      </w:tr>
      <w:tr>
        <w:trPr>
          <w:trHeight w:val="270"/>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AFS Investments By Issuer:</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5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780" w:type="dxa"/>
            <w:vAlign w:val="bottom"/>
            <w:gridSpan w:val="2"/>
          </w:tcPr>
          <w:p>
            <w:pPr>
              <w:ind w:left="540"/>
              <w:spacing w:after="0"/>
              <w:rPr>
                <w:sz w:val="20"/>
                <w:szCs w:val="20"/>
                <w:color w:val="auto"/>
              </w:rPr>
            </w:pPr>
            <w:r>
              <w:rPr>
                <w:rFonts w:ascii="Arial" w:cs="Arial" w:eastAsia="Arial" w:hAnsi="Arial"/>
                <w:sz w:val="14"/>
                <w:szCs w:val="14"/>
                <w:color w:val="auto"/>
              </w:rPr>
              <w:t>Fannie Mae</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37,232</w:t>
            </w:r>
          </w:p>
        </w:tc>
        <w:tc>
          <w:tcPr>
            <w:tcW w:w="120" w:type="dxa"/>
            <w:vAlign w:val="bottom"/>
          </w:tcPr>
          <w:p>
            <w:pPr>
              <w:spacing w:after="0"/>
              <w:rPr>
                <w:sz w:val="22"/>
                <w:szCs w:val="22"/>
                <w:color w:val="auto"/>
              </w:rPr>
            </w:pPr>
          </w:p>
        </w:tc>
        <w:tc>
          <w:tcPr>
            <w:tcW w:w="1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38,891</w:t>
            </w:r>
          </w:p>
        </w:tc>
        <w:tc>
          <w:tcPr>
            <w:tcW w:w="120" w:type="dxa"/>
            <w:vAlign w:val="bottom"/>
          </w:tcPr>
          <w:p>
            <w:pPr>
              <w:spacing w:after="0"/>
              <w:rPr>
                <w:sz w:val="22"/>
                <w:szCs w:val="22"/>
                <w:color w:val="auto"/>
              </w:rPr>
            </w:pPr>
          </w:p>
        </w:tc>
        <w:tc>
          <w:tcPr>
            <w:tcW w:w="800" w:type="dxa"/>
            <w:vAlign w:val="bottom"/>
            <w:gridSpan w:val="3"/>
          </w:tcPr>
          <w:p>
            <w:pPr>
              <w:jc w:val="center"/>
              <w:ind w:left="48"/>
              <w:spacing w:after="0"/>
              <w:rPr>
                <w:sz w:val="20"/>
                <w:szCs w:val="20"/>
                <w:color w:val="auto"/>
              </w:rPr>
            </w:pPr>
            <w:r>
              <w:rPr>
                <w:rFonts w:ascii="Arial" w:cs="Arial" w:eastAsia="Arial" w:hAnsi="Arial"/>
                <w:sz w:val="14"/>
                <w:szCs w:val="14"/>
                <w:color w:val="auto"/>
                <w:w w:val="92"/>
              </w:rPr>
              <w:t>104.5%</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780" w:type="dxa"/>
            <w:vAlign w:val="bottom"/>
            <w:gridSpan w:val="3"/>
          </w:tcPr>
          <w:p>
            <w:pPr>
              <w:jc w:val="right"/>
              <w:ind w:right="48"/>
              <w:spacing w:after="0"/>
              <w:rPr>
                <w:sz w:val="20"/>
                <w:szCs w:val="20"/>
                <w:color w:val="auto"/>
              </w:rPr>
            </w:pPr>
            <w:r>
              <w:rPr>
                <w:rFonts w:ascii="Arial" w:cs="Arial" w:eastAsia="Arial" w:hAnsi="Arial"/>
                <w:sz w:val="14"/>
                <w:szCs w:val="14"/>
                <w:color w:val="auto"/>
              </w:rPr>
              <w:t>39,567</w:t>
            </w:r>
          </w:p>
        </w:tc>
        <w:tc>
          <w:tcPr>
            <w:tcW w:w="100" w:type="dxa"/>
            <w:vAlign w:val="bottom"/>
          </w:tcPr>
          <w:p>
            <w:pPr>
              <w:spacing w:after="0"/>
              <w:rPr>
                <w:sz w:val="22"/>
                <w:szCs w:val="22"/>
                <w:color w:val="auto"/>
              </w:rPr>
            </w:pPr>
          </w:p>
        </w:tc>
        <w:tc>
          <w:tcPr>
            <w:tcW w:w="900" w:type="dxa"/>
            <w:vAlign w:val="bottom"/>
            <w:gridSpan w:val="3"/>
          </w:tcPr>
          <w:p>
            <w:pPr>
              <w:jc w:val="center"/>
              <w:spacing w:after="0"/>
              <w:rPr>
                <w:sz w:val="20"/>
                <w:szCs w:val="20"/>
                <w:color w:val="auto"/>
              </w:rPr>
            </w:pPr>
            <w:r>
              <w:rPr>
                <w:rFonts w:ascii="Arial" w:cs="Arial" w:eastAsia="Arial" w:hAnsi="Arial"/>
                <w:sz w:val="14"/>
                <w:szCs w:val="14"/>
                <w:color w:val="auto"/>
                <w:w w:val="95"/>
              </w:rPr>
              <w:t>4.07%</w:t>
            </w:r>
          </w:p>
        </w:tc>
        <w:tc>
          <w:tcPr>
            <w:tcW w:w="120" w:type="dxa"/>
            <w:vAlign w:val="bottom"/>
          </w:tcPr>
          <w:p>
            <w:pPr>
              <w:spacing w:after="0"/>
              <w:rPr>
                <w:sz w:val="22"/>
                <w:szCs w:val="22"/>
                <w:color w:val="auto"/>
              </w:rPr>
            </w:pPr>
          </w:p>
        </w:tc>
        <w:tc>
          <w:tcPr>
            <w:tcW w:w="700" w:type="dxa"/>
            <w:vAlign w:val="bottom"/>
            <w:gridSpan w:val="3"/>
          </w:tcPr>
          <w:p>
            <w:pPr>
              <w:jc w:val="center"/>
              <w:ind w:left="128"/>
              <w:spacing w:after="0"/>
              <w:rPr>
                <w:sz w:val="20"/>
                <w:szCs w:val="20"/>
                <w:color w:val="auto"/>
              </w:rPr>
            </w:pPr>
            <w:r>
              <w:rPr>
                <w:rFonts w:ascii="Arial" w:cs="Arial" w:eastAsia="Arial" w:hAnsi="Arial"/>
                <w:sz w:val="14"/>
                <w:szCs w:val="14"/>
                <w:color w:val="auto"/>
                <w:w w:val="95"/>
              </w:rPr>
              <w:t>3.02%</w:t>
            </w:r>
          </w:p>
        </w:tc>
        <w:tc>
          <w:tcPr>
            <w:tcW w:w="1440" w:type="dxa"/>
            <w:vAlign w:val="bottom"/>
            <w:gridSpan w:val="4"/>
          </w:tcPr>
          <w:p>
            <w:pPr>
              <w:jc w:val="center"/>
              <w:ind w:left="230"/>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76"/>
        </w:trPr>
        <w:tc>
          <w:tcPr>
            <w:tcW w:w="378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Freddie Mac</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13,736</w:t>
            </w: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14,342</w:t>
            </w:r>
          </w:p>
        </w:tc>
        <w:tc>
          <w:tcPr>
            <w:tcW w:w="120" w:type="dxa"/>
            <w:vAlign w:val="bottom"/>
            <w:shd w:val="clear" w:color="auto" w:fill="CCEEFF"/>
          </w:tcPr>
          <w:p>
            <w:pPr>
              <w:spacing w:after="0"/>
              <w:rPr>
                <w:sz w:val="24"/>
                <w:szCs w:val="24"/>
                <w:color w:val="auto"/>
              </w:rPr>
            </w:pPr>
          </w:p>
        </w:tc>
        <w:tc>
          <w:tcPr>
            <w:tcW w:w="800" w:type="dxa"/>
            <w:vAlign w:val="bottom"/>
            <w:gridSpan w:val="3"/>
            <w:shd w:val="clear" w:color="auto" w:fill="CCEEFF"/>
          </w:tcPr>
          <w:p>
            <w:pPr>
              <w:jc w:val="center"/>
              <w:ind w:left="48"/>
              <w:spacing w:after="0"/>
              <w:rPr>
                <w:sz w:val="20"/>
                <w:szCs w:val="20"/>
                <w:color w:val="auto"/>
              </w:rPr>
            </w:pPr>
            <w:r>
              <w:rPr>
                <w:rFonts w:ascii="Arial" w:cs="Arial" w:eastAsia="Arial" w:hAnsi="Arial"/>
                <w:sz w:val="14"/>
                <w:szCs w:val="14"/>
                <w:color w:val="auto"/>
                <w:w w:val="92"/>
              </w:rPr>
              <w:t>104.4%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14,664</w:t>
            </w:r>
          </w:p>
        </w:tc>
        <w:tc>
          <w:tcPr>
            <w:tcW w:w="100" w:type="dxa"/>
            <w:vAlign w:val="bottom"/>
            <w:shd w:val="clear" w:color="auto" w:fill="CCEEFF"/>
          </w:tcPr>
          <w:p>
            <w:pPr>
              <w:spacing w:after="0"/>
              <w:rPr>
                <w:sz w:val="24"/>
                <w:szCs w:val="24"/>
                <w:color w:val="auto"/>
              </w:rPr>
            </w:pPr>
          </w:p>
        </w:tc>
        <w:tc>
          <w:tcPr>
            <w:tcW w:w="900" w:type="dxa"/>
            <w:vAlign w:val="bottom"/>
            <w:gridSpan w:val="3"/>
            <w:shd w:val="clear" w:color="auto" w:fill="CCEEFF"/>
          </w:tcPr>
          <w:p>
            <w:pPr>
              <w:jc w:val="center"/>
              <w:spacing w:after="0"/>
              <w:rPr>
                <w:sz w:val="20"/>
                <w:szCs w:val="20"/>
                <w:color w:val="auto"/>
              </w:rPr>
            </w:pPr>
            <w:r>
              <w:rPr>
                <w:rFonts w:ascii="Arial" w:cs="Arial" w:eastAsia="Arial" w:hAnsi="Arial"/>
                <w:sz w:val="14"/>
                <w:szCs w:val="14"/>
                <w:color w:val="auto"/>
                <w:w w:val="95"/>
              </w:rPr>
              <w:t>4.21%</w:t>
            </w:r>
          </w:p>
        </w:tc>
        <w:tc>
          <w:tcPr>
            <w:tcW w:w="120" w:type="dxa"/>
            <w:vAlign w:val="bottom"/>
            <w:shd w:val="clear" w:color="auto" w:fill="CCEEFF"/>
          </w:tcPr>
          <w:p>
            <w:pPr>
              <w:spacing w:after="0"/>
              <w:rPr>
                <w:sz w:val="24"/>
                <w:szCs w:val="24"/>
                <w:color w:val="auto"/>
              </w:rPr>
            </w:pPr>
          </w:p>
        </w:tc>
        <w:tc>
          <w:tcPr>
            <w:tcW w:w="700" w:type="dxa"/>
            <w:vAlign w:val="bottom"/>
            <w:gridSpan w:val="3"/>
            <w:shd w:val="clear" w:color="auto" w:fill="CCEEFF"/>
          </w:tcPr>
          <w:p>
            <w:pPr>
              <w:jc w:val="center"/>
              <w:ind w:left="128"/>
              <w:spacing w:after="0"/>
              <w:rPr>
                <w:sz w:val="20"/>
                <w:szCs w:val="20"/>
                <w:color w:val="auto"/>
              </w:rPr>
            </w:pPr>
            <w:r>
              <w:rPr>
                <w:rFonts w:ascii="Arial" w:cs="Arial" w:eastAsia="Arial" w:hAnsi="Arial"/>
                <w:sz w:val="14"/>
                <w:szCs w:val="14"/>
                <w:color w:val="auto"/>
                <w:w w:val="95"/>
              </w:rPr>
              <w:t>3.16%</w:t>
            </w:r>
          </w:p>
        </w:tc>
        <w:tc>
          <w:tcPr>
            <w:tcW w:w="1440" w:type="dxa"/>
            <w:vAlign w:val="bottom"/>
            <w:gridSpan w:val="4"/>
            <w:shd w:val="clear" w:color="auto" w:fill="CCEEFF"/>
          </w:tcPr>
          <w:p>
            <w:pPr>
              <w:jc w:val="center"/>
              <w:ind w:left="230"/>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64"/>
        </w:trPr>
        <w:tc>
          <w:tcPr>
            <w:tcW w:w="3780" w:type="dxa"/>
            <w:vAlign w:val="bottom"/>
            <w:tcBorders>
              <w:bottom w:val="single" w:sz="8" w:color="CCEEFF"/>
            </w:tcBorders>
            <w:gridSpan w:val="2"/>
          </w:tcPr>
          <w:p>
            <w:pPr>
              <w:ind w:left="540"/>
              <w:spacing w:after="0"/>
              <w:rPr>
                <w:sz w:val="20"/>
                <w:szCs w:val="20"/>
                <w:color w:val="auto"/>
              </w:rPr>
            </w:pPr>
            <w:r>
              <w:rPr>
                <w:rFonts w:ascii="Arial" w:cs="Arial" w:eastAsia="Arial" w:hAnsi="Arial"/>
                <w:sz w:val="14"/>
                <w:szCs w:val="14"/>
                <w:color w:val="auto"/>
              </w:rPr>
              <w:t>Ginnie Mae</w:t>
            </w: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258</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270</w:t>
            </w:r>
          </w:p>
        </w:tc>
        <w:tc>
          <w:tcPr>
            <w:tcW w:w="12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gridSpan w:val="3"/>
          </w:tcPr>
          <w:p>
            <w:pPr>
              <w:jc w:val="center"/>
              <w:ind w:left="48"/>
              <w:spacing w:after="0"/>
              <w:rPr>
                <w:sz w:val="20"/>
                <w:szCs w:val="20"/>
                <w:color w:val="auto"/>
              </w:rPr>
            </w:pPr>
            <w:r>
              <w:rPr>
                <w:rFonts w:ascii="Arial" w:cs="Arial" w:eastAsia="Arial" w:hAnsi="Arial"/>
                <w:sz w:val="14"/>
                <w:szCs w:val="14"/>
                <w:color w:val="auto"/>
                <w:w w:val="92"/>
              </w:rPr>
              <w:t>104.7%</w:t>
            </w:r>
          </w:p>
        </w:tc>
        <w:tc>
          <w:tcPr>
            <w:tcW w:w="1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color w:val="auto"/>
              </w:rPr>
              <w:t>273</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color w:val="auto"/>
                <w:w w:val="95"/>
              </w:rPr>
              <w:t>3.74%</w:t>
            </w: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auto"/>
            </w:tcBorders>
            <w:gridSpan w:val="3"/>
          </w:tcPr>
          <w:p>
            <w:pPr>
              <w:jc w:val="center"/>
              <w:ind w:left="128"/>
              <w:spacing w:after="0"/>
              <w:rPr>
                <w:sz w:val="20"/>
                <w:szCs w:val="20"/>
                <w:color w:val="auto"/>
              </w:rPr>
            </w:pPr>
            <w:r>
              <w:rPr>
                <w:rFonts w:ascii="Arial" w:cs="Arial" w:eastAsia="Arial" w:hAnsi="Arial"/>
                <w:sz w:val="14"/>
                <w:szCs w:val="14"/>
                <w:color w:val="auto"/>
                <w:w w:val="95"/>
              </w:rPr>
              <w:t>1.71%</w:t>
            </w:r>
          </w:p>
        </w:tc>
        <w:tc>
          <w:tcPr>
            <w:tcW w:w="2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2"/>
              </w:rPr>
              <w:t>25%</w:t>
            </w:r>
          </w:p>
        </w:tc>
        <w:tc>
          <w:tcPr>
            <w:tcW w:w="0" w:type="dxa"/>
            <w:vAlign w:val="bottom"/>
          </w:tcPr>
          <w:p>
            <w:pPr>
              <w:spacing w:after="0"/>
              <w:rPr>
                <w:sz w:val="1"/>
                <w:szCs w:val="1"/>
                <w:color w:val="auto"/>
              </w:rPr>
            </w:pPr>
          </w:p>
        </w:tc>
      </w:tr>
      <w:tr>
        <w:trPr>
          <w:trHeight w:val="243"/>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 Weighted AFS Securities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51,226</w:t>
            </w:r>
          </w:p>
        </w:tc>
        <w:tc>
          <w:tcPr>
            <w:tcW w:w="12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1"/>
                <w:szCs w:val="21"/>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53,503</w:t>
            </w:r>
          </w:p>
        </w:tc>
        <w:tc>
          <w:tcPr>
            <w:tcW w:w="120" w:type="dxa"/>
            <w:vAlign w:val="bottom"/>
            <w:shd w:val="clear" w:color="auto" w:fill="CCEEFF"/>
          </w:tcPr>
          <w:p>
            <w:pPr>
              <w:spacing w:after="0"/>
              <w:rPr>
                <w:sz w:val="21"/>
                <w:szCs w:val="21"/>
                <w:color w:val="auto"/>
              </w:rPr>
            </w:pPr>
          </w:p>
        </w:tc>
        <w:tc>
          <w:tcPr>
            <w:tcW w:w="800" w:type="dxa"/>
            <w:vAlign w:val="bottom"/>
            <w:gridSpan w:val="3"/>
            <w:shd w:val="clear" w:color="auto" w:fill="CCEEFF"/>
          </w:tcPr>
          <w:p>
            <w:pPr>
              <w:jc w:val="center"/>
              <w:ind w:left="48"/>
              <w:spacing w:after="0"/>
              <w:rPr>
                <w:sz w:val="20"/>
                <w:szCs w:val="20"/>
                <w:color w:val="auto"/>
              </w:rPr>
            </w:pPr>
            <w:r>
              <w:rPr>
                <w:rFonts w:ascii="Arial" w:cs="Arial" w:eastAsia="Arial" w:hAnsi="Arial"/>
                <w:sz w:val="14"/>
                <w:szCs w:val="14"/>
                <w:color w:val="auto"/>
                <w:w w:val="92"/>
              </w:rPr>
              <w:t>104.4%</w:t>
            </w:r>
          </w:p>
        </w:tc>
        <w:tc>
          <w:tcPr>
            <w:tcW w:w="34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78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54,504</w:t>
            </w:r>
          </w:p>
        </w:tc>
        <w:tc>
          <w:tcPr>
            <w:tcW w:w="100" w:type="dxa"/>
            <w:vAlign w:val="bottom"/>
            <w:shd w:val="clear" w:color="auto" w:fill="CCEEFF"/>
          </w:tcPr>
          <w:p>
            <w:pPr>
              <w:spacing w:after="0"/>
              <w:rPr>
                <w:sz w:val="21"/>
                <w:szCs w:val="21"/>
                <w:color w:val="auto"/>
              </w:rPr>
            </w:pPr>
          </w:p>
        </w:tc>
        <w:tc>
          <w:tcPr>
            <w:tcW w:w="900" w:type="dxa"/>
            <w:vAlign w:val="bottom"/>
            <w:gridSpan w:val="3"/>
            <w:shd w:val="clear" w:color="auto" w:fill="CCEEFF"/>
          </w:tcPr>
          <w:p>
            <w:pPr>
              <w:jc w:val="center"/>
              <w:spacing w:after="0"/>
              <w:rPr>
                <w:sz w:val="20"/>
                <w:szCs w:val="20"/>
                <w:color w:val="auto"/>
              </w:rPr>
            </w:pPr>
            <w:r>
              <w:rPr>
                <w:rFonts w:ascii="Arial" w:cs="Arial" w:eastAsia="Arial" w:hAnsi="Arial"/>
                <w:sz w:val="14"/>
                <w:szCs w:val="14"/>
                <w:color w:val="auto"/>
                <w:w w:val="95"/>
              </w:rPr>
              <w:t>4.11%</w:t>
            </w:r>
          </w:p>
        </w:tc>
        <w:tc>
          <w:tcPr>
            <w:tcW w:w="120" w:type="dxa"/>
            <w:vAlign w:val="bottom"/>
            <w:shd w:val="clear" w:color="auto" w:fill="CCEEFF"/>
          </w:tcPr>
          <w:p>
            <w:pPr>
              <w:spacing w:after="0"/>
              <w:rPr>
                <w:sz w:val="21"/>
                <w:szCs w:val="21"/>
                <w:color w:val="auto"/>
              </w:rPr>
            </w:pPr>
          </w:p>
        </w:tc>
        <w:tc>
          <w:tcPr>
            <w:tcW w:w="700" w:type="dxa"/>
            <w:vAlign w:val="bottom"/>
            <w:gridSpan w:val="3"/>
            <w:shd w:val="clear" w:color="auto" w:fill="CCEEFF"/>
          </w:tcPr>
          <w:p>
            <w:pPr>
              <w:jc w:val="center"/>
              <w:ind w:left="128"/>
              <w:spacing w:after="0"/>
              <w:rPr>
                <w:sz w:val="20"/>
                <w:szCs w:val="20"/>
                <w:color w:val="auto"/>
              </w:rPr>
            </w:pPr>
            <w:r>
              <w:rPr>
                <w:rFonts w:ascii="Arial" w:cs="Arial" w:eastAsia="Arial" w:hAnsi="Arial"/>
                <w:sz w:val="14"/>
                <w:szCs w:val="14"/>
                <w:color w:val="auto"/>
                <w:w w:val="95"/>
              </w:rPr>
              <w:t>3.05%</w:t>
            </w:r>
          </w:p>
        </w:tc>
        <w:tc>
          <w:tcPr>
            <w:tcW w:w="1440" w:type="dxa"/>
            <w:vAlign w:val="bottom"/>
            <w:gridSpan w:val="4"/>
            <w:shd w:val="clear" w:color="auto" w:fill="CCEEFF"/>
          </w:tcPr>
          <w:p>
            <w:pPr>
              <w:jc w:val="center"/>
              <w:ind w:left="230"/>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0"/>
        </w:trPr>
        <w:tc>
          <w:tcPr>
            <w:tcW w:w="36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3780" w:type="dxa"/>
            <w:vAlign w:val="bottom"/>
            <w:gridSpan w:val="2"/>
            <w:shd w:val="clear" w:color="auto" w:fill="CCEEFF"/>
          </w:tcPr>
          <w:p>
            <w:pPr>
              <w:ind w:left="720"/>
              <w:spacing w:after="0"/>
              <w:rPr>
                <w:sz w:val="20"/>
                <w:szCs w:val="20"/>
                <w:color w:val="auto"/>
              </w:rPr>
            </w:pPr>
            <w:r>
              <w:rPr>
                <w:rFonts w:ascii="Arial" w:cs="Arial" w:eastAsia="Arial" w:hAnsi="Arial"/>
                <w:sz w:val="14"/>
                <w:szCs w:val="14"/>
                <w:b w:val="1"/>
                <w:bCs w:val="1"/>
                <w:color w:val="auto"/>
              </w:rPr>
              <w:t>AFS Investments By Security Type:</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5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780" w:type="dxa"/>
            <w:vAlign w:val="bottom"/>
            <w:gridSpan w:val="2"/>
          </w:tcPr>
          <w:p>
            <w:pPr>
              <w:ind w:left="720"/>
              <w:spacing w:after="0"/>
              <w:rPr>
                <w:sz w:val="20"/>
                <w:szCs w:val="20"/>
                <w:color w:val="auto"/>
              </w:rPr>
            </w:pPr>
            <w:r>
              <w:rPr>
                <w:rFonts w:ascii="Arial" w:cs="Arial" w:eastAsia="Arial" w:hAnsi="Arial"/>
                <w:sz w:val="14"/>
                <w:szCs w:val="14"/>
                <w:color w:val="auto"/>
              </w:rPr>
              <w:t>Fixed-Rate</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78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 15-Year:</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780" w:type="dxa"/>
            <w:vAlign w:val="bottom"/>
            <w:gridSpan w:val="2"/>
          </w:tcPr>
          <w:p>
            <w:pPr>
              <w:ind w:left="380"/>
              <w:spacing w:after="0"/>
              <w:rPr>
                <w:sz w:val="20"/>
                <w:szCs w:val="20"/>
                <w:color w:val="auto"/>
              </w:rPr>
            </w:pPr>
            <w:r>
              <w:rPr>
                <w:rFonts w:ascii="Arial" w:cs="Arial" w:eastAsia="Arial" w:hAnsi="Arial"/>
                <w:sz w:val="14"/>
                <w:szCs w:val="14"/>
                <w:color w:val="auto"/>
              </w:rPr>
              <w:t xml:space="preserve">Lower Loan Balance </w:t>
            </w:r>
            <w:r>
              <w:rPr>
                <w:rFonts w:ascii="Arial" w:cs="Arial" w:eastAsia="Arial" w:hAnsi="Arial"/>
                <w:sz w:val="8"/>
                <w:szCs w:val="8"/>
                <w:color w:val="auto"/>
              </w:rPr>
              <w:t>(3)</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16,033</w:t>
            </w:r>
          </w:p>
        </w:tc>
        <w:tc>
          <w:tcPr>
            <w:tcW w:w="120" w:type="dxa"/>
            <w:vAlign w:val="bottom"/>
          </w:tcPr>
          <w:p>
            <w:pPr>
              <w:spacing w:after="0"/>
              <w:rPr>
                <w:sz w:val="22"/>
                <w:szCs w:val="22"/>
                <w:color w:val="auto"/>
              </w:rPr>
            </w:pPr>
          </w:p>
        </w:tc>
        <w:tc>
          <w:tcPr>
            <w:tcW w:w="1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16,626</w:t>
            </w:r>
          </w:p>
        </w:tc>
        <w:tc>
          <w:tcPr>
            <w:tcW w:w="120" w:type="dxa"/>
            <w:vAlign w:val="bottom"/>
          </w:tcPr>
          <w:p>
            <w:pPr>
              <w:spacing w:after="0"/>
              <w:rPr>
                <w:sz w:val="22"/>
                <w:szCs w:val="22"/>
                <w:color w:val="auto"/>
              </w:rPr>
            </w:pPr>
          </w:p>
        </w:tc>
        <w:tc>
          <w:tcPr>
            <w:tcW w:w="800" w:type="dxa"/>
            <w:vAlign w:val="bottom"/>
            <w:gridSpan w:val="3"/>
          </w:tcPr>
          <w:p>
            <w:pPr>
              <w:jc w:val="center"/>
              <w:ind w:left="48"/>
              <w:spacing w:after="0"/>
              <w:rPr>
                <w:sz w:val="20"/>
                <w:szCs w:val="20"/>
                <w:color w:val="auto"/>
              </w:rPr>
            </w:pPr>
            <w:r>
              <w:rPr>
                <w:rFonts w:ascii="Arial" w:cs="Arial" w:eastAsia="Arial" w:hAnsi="Arial"/>
                <w:sz w:val="14"/>
                <w:szCs w:val="14"/>
                <w:color w:val="auto"/>
                <w:w w:val="92"/>
              </w:rPr>
              <w:t>103.7%</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780" w:type="dxa"/>
            <w:vAlign w:val="bottom"/>
            <w:gridSpan w:val="3"/>
          </w:tcPr>
          <w:p>
            <w:pPr>
              <w:jc w:val="right"/>
              <w:ind w:right="48"/>
              <w:spacing w:after="0"/>
              <w:rPr>
                <w:sz w:val="20"/>
                <w:szCs w:val="20"/>
                <w:color w:val="auto"/>
              </w:rPr>
            </w:pPr>
            <w:r>
              <w:rPr>
                <w:rFonts w:ascii="Arial" w:cs="Arial" w:eastAsia="Arial" w:hAnsi="Arial"/>
                <w:sz w:val="14"/>
                <w:szCs w:val="14"/>
                <w:color w:val="auto"/>
              </w:rPr>
              <w:t>17,027</w:t>
            </w:r>
          </w:p>
        </w:tc>
        <w:tc>
          <w:tcPr>
            <w:tcW w:w="100" w:type="dxa"/>
            <w:vAlign w:val="bottom"/>
          </w:tcPr>
          <w:p>
            <w:pPr>
              <w:spacing w:after="0"/>
              <w:rPr>
                <w:sz w:val="22"/>
                <w:szCs w:val="22"/>
                <w:color w:val="auto"/>
              </w:rPr>
            </w:pPr>
          </w:p>
        </w:tc>
        <w:tc>
          <w:tcPr>
            <w:tcW w:w="900" w:type="dxa"/>
            <w:vAlign w:val="bottom"/>
            <w:gridSpan w:val="3"/>
          </w:tcPr>
          <w:p>
            <w:pPr>
              <w:jc w:val="center"/>
              <w:spacing w:after="0"/>
              <w:rPr>
                <w:sz w:val="20"/>
                <w:szCs w:val="20"/>
                <w:color w:val="auto"/>
              </w:rPr>
            </w:pPr>
            <w:r>
              <w:rPr>
                <w:rFonts w:ascii="Arial" w:cs="Arial" w:eastAsia="Arial" w:hAnsi="Arial"/>
                <w:sz w:val="14"/>
                <w:szCs w:val="14"/>
                <w:color w:val="auto"/>
                <w:w w:val="95"/>
              </w:rPr>
              <w:t>3.81%</w:t>
            </w:r>
          </w:p>
        </w:tc>
        <w:tc>
          <w:tcPr>
            <w:tcW w:w="120" w:type="dxa"/>
            <w:vAlign w:val="bottom"/>
          </w:tcPr>
          <w:p>
            <w:pPr>
              <w:spacing w:after="0"/>
              <w:rPr>
                <w:sz w:val="22"/>
                <w:szCs w:val="22"/>
                <w:color w:val="auto"/>
              </w:rPr>
            </w:pPr>
          </w:p>
        </w:tc>
        <w:tc>
          <w:tcPr>
            <w:tcW w:w="700" w:type="dxa"/>
            <w:vAlign w:val="bottom"/>
            <w:gridSpan w:val="3"/>
          </w:tcPr>
          <w:p>
            <w:pPr>
              <w:jc w:val="center"/>
              <w:ind w:left="128"/>
              <w:spacing w:after="0"/>
              <w:rPr>
                <w:sz w:val="20"/>
                <w:szCs w:val="20"/>
                <w:color w:val="auto"/>
              </w:rPr>
            </w:pPr>
            <w:r>
              <w:rPr>
                <w:rFonts w:ascii="Arial" w:cs="Arial" w:eastAsia="Arial" w:hAnsi="Arial"/>
                <w:sz w:val="14"/>
                <w:szCs w:val="14"/>
                <w:color w:val="auto"/>
                <w:w w:val="95"/>
              </w:rPr>
              <w:t>2.84%</w:t>
            </w:r>
          </w:p>
        </w:tc>
        <w:tc>
          <w:tcPr>
            <w:tcW w:w="1440" w:type="dxa"/>
            <w:vAlign w:val="bottom"/>
            <w:gridSpan w:val="4"/>
          </w:tcPr>
          <w:p>
            <w:pPr>
              <w:jc w:val="center"/>
              <w:ind w:left="230"/>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76"/>
        </w:trPr>
        <w:tc>
          <w:tcPr>
            <w:tcW w:w="37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xml:space="preserve">HARP </w:t>
            </w:r>
            <w:r>
              <w:rPr>
                <w:rFonts w:ascii="Arial" w:cs="Arial" w:eastAsia="Arial" w:hAnsi="Arial"/>
                <w:sz w:val="8"/>
                <w:szCs w:val="8"/>
                <w:color w:val="auto"/>
              </w:rPr>
              <w:t>(4)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1,160</w:t>
            </w: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1,208</w:t>
            </w:r>
          </w:p>
        </w:tc>
        <w:tc>
          <w:tcPr>
            <w:tcW w:w="120" w:type="dxa"/>
            <w:vAlign w:val="bottom"/>
            <w:shd w:val="clear" w:color="auto" w:fill="CCEEFF"/>
          </w:tcPr>
          <w:p>
            <w:pPr>
              <w:spacing w:after="0"/>
              <w:rPr>
                <w:sz w:val="24"/>
                <w:szCs w:val="24"/>
                <w:color w:val="auto"/>
              </w:rPr>
            </w:pPr>
          </w:p>
        </w:tc>
        <w:tc>
          <w:tcPr>
            <w:tcW w:w="800" w:type="dxa"/>
            <w:vAlign w:val="bottom"/>
            <w:gridSpan w:val="3"/>
            <w:shd w:val="clear" w:color="auto" w:fill="CCEEFF"/>
          </w:tcPr>
          <w:p>
            <w:pPr>
              <w:jc w:val="center"/>
              <w:ind w:left="48"/>
              <w:spacing w:after="0"/>
              <w:rPr>
                <w:sz w:val="20"/>
                <w:szCs w:val="20"/>
                <w:color w:val="auto"/>
              </w:rPr>
            </w:pPr>
            <w:r>
              <w:rPr>
                <w:rFonts w:ascii="Arial" w:cs="Arial" w:eastAsia="Arial" w:hAnsi="Arial"/>
                <w:sz w:val="14"/>
                <w:szCs w:val="14"/>
                <w:color w:val="auto"/>
                <w:w w:val="92"/>
              </w:rPr>
              <w:t>104.2%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1,235</w:t>
            </w:r>
          </w:p>
        </w:tc>
        <w:tc>
          <w:tcPr>
            <w:tcW w:w="100" w:type="dxa"/>
            <w:vAlign w:val="bottom"/>
            <w:shd w:val="clear" w:color="auto" w:fill="CCEEFF"/>
          </w:tcPr>
          <w:p>
            <w:pPr>
              <w:spacing w:after="0"/>
              <w:rPr>
                <w:sz w:val="24"/>
                <w:szCs w:val="24"/>
                <w:color w:val="auto"/>
              </w:rPr>
            </w:pPr>
          </w:p>
        </w:tc>
        <w:tc>
          <w:tcPr>
            <w:tcW w:w="900" w:type="dxa"/>
            <w:vAlign w:val="bottom"/>
            <w:gridSpan w:val="3"/>
            <w:shd w:val="clear" w:color="auto" w:fill="CCEEFF"/>
          </w:tcPr>
          <w:p>
            <w:pPr>
              <w:jc w:val="center"/>
              <w:spacing w:after="0"/>
              <w:rPr>
                <w:sz w:val="20"/>
                <w:szCs w:val="20"/>
                <w:color w:val="auto"/>
              </w:rPr>
            </w:pPr>
            <w:r>
              <w:rPr>
                <w:rFonts w:ascii="Arial" w:cs="Arial" w:eastAsia="Arial" w:hAnsi="Arial"/>
                <w:sz w:val="14"/>
                <w:szCs w:val="14"/>
                <w:color w:val="auto"/>
                <w:w w:val="95"/>
              </w:rPr>
              <w:t>3.93%</w:t>
            </w:r>
          </w:p>
        </w:tc>
        <w:tc>
          <w:tcPr>
            <w:tcW w:w="120" w:type="dxa"/>
            <w:vAlign w:val="bottom"/>
            <w:shd w:val="clear" w:color="auto" w:fill="CCEEFF"/>
          </w:tcPr>
          <w:p>
            <w:pPr>
              <w:spacing w:after="0"/>
              <w:rPr>
                <w:sz w:val="24"/>
                <w:szCs w:val="24"/>
                <w:color w:val="auto"/>
              </w:rPr>
            </w:pPr>
          </w:p>
        </w:tc>
        <w:tc>
          <w:tcPr>
            <w:tcW w:w="700" w:type="dxa"/>
            <w:vAlign w:val="bottom"/>
            <w:gridSpan w:val="3"/>
            <w:shd w:val="clear" w:color="auto" w:fill="CCEEFF"/>
          </w:tcPr>
          <w:p>
            <w:pPr>
              <w:jc w:val="center"/>
              <w:ind w:left="128"/>
              <w:spacing w:after="0"/>
              <w:rPr>
                <w:sz w:val="20"/>
                <w:szCs w:val="20"/>
                <w:color w:val="auto"/>
              </w:rPr>
            </w:pPr>
            <w:r>
              <w:rPr>
                <w:rFonts w:ascii="Arial" w:cs="Arial" w:eastAsia="Arial" w:hAnsi="Arial"/>
                <w:sz w:val="14"/>
                <w:szCs w:val="14"/>
                <w:color w:val="auto"/>
                <w:w w:val="95"/>
              </w:rPr>
              <w:t>2.87%</w:t>
            </w:r>
          </w:p>
        </w:tc>
        <w:tc>
          <w:tcPr>
            <w:tcW w:w="1440" w:type="dxa"/>
            <w:vAlign w:val="bottom"/>
            <w:gridSpan w:val="4"/>
            <w:shd w:val="clear" w:color="auto" w:fill="CCEEFF"/>
          </w:tcPr>
          <w:p>
            <w:pPr>
              <w:jc w:val="center"/>
              <w:ind w:left="230"/>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378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xml:space="preserve">Other </w:t>
            </w:r>
            <w:r>
              <w:rPr>
                <w:rFonts w:ascii="Arial" w:cs="Arial" w:eastAsia="Arial" w:hAnsi="Arial"/>
                <w:sz w:val="8"/>
                <w:szCs w:val="8"/>
                <w:color w:val="auto"/>
              </w:rPr>
              <w:t>(5)</w:t>
            </w: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1,814</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1,873</w:t>
            </w:r>
          </w:p>
        </w:tc>
        <w:tc>
          <w:tcPr>
            <w:tcW w:w="12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gridSpan w:val="3"/>
          </w:tcPr>
          <w:p>
            <w:pPr>
              <w:jc w:val="center"/>
              <w:ind w:left="48"/>
              <w:spacing w:after="0"/>
              <w:rPr>
                <w:sz w:val="20"/>
                <w:szCs w:val="20"/>
                <w:color w:val="auto"/>
              </w:rPr>
            </w:pPr>
            <w:r>
              <w:rPr>
                <w:rFonts w:ascii="Arial" w:cs="Arial" w:eastAsia="Arial" w:hAnsi="Arial"/>
                <w:sz w:val="14"/>
                <w:szCs w:val="14"/>
                <w:color w:val="auto"/>
                <w:w w:val="92"/>
              </w:rPr>
              <w:t>103.2%</w:t>
            </w:r>
          </w:p>
        </w:tc>
        <w:tc>
          <w:tcPr>
            <w:tcW w:w="1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color w:val="auto"/>
              </w:rPr>
              <w:t>1,898</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color w:val="auto"/>
                <w:w w:val="95"/>
              </w:rPr>
              <w:t>3.54%</w:t>
            </w: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auto"/>
            </w:tcBorders>
            <w:gridSpan w:val="3"/>
          </w:tcPr>
          <w:p>
            <w:pPr>
              <w:jc w:val="center"/>
              <w:ind w:left="128"/>
              <w:spacing w:after="0"/>
              <w:rPr>
                <w:sz w:val="20"/>
                <w:szCs w:val="20"/>
                <w:color w:val="auto"/>
              </w:rPr>
            </w:pPr>
            <w:r>
              <w:rPr>
                <w:rFonts w:ascii="Arial" w:cs="Arial" w:eastAsia="Arial" w:hAnsi="Arial"/>
                <w:sz w:val="14"/>
                <w:szCs w:val="14"/>
                <w:color w:val="auto"/>
                <w:w w:val="95"/>
              </w:rPr>
              <w:t>2.58%</w:t>
            </w:r>
          </w:p>
        </w:tc>
        <w:tc>
          <w:tcPr>
            <w:tcW w:w="2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2"/>
              </w:rPr>
              <w:t>15%</w:t>
            </w:r>
          </w:p>
        </w:tc>
        <w:tc>
          <w:tcPr>
            <w:tcW w:w="0" w:type="dxa"/>
            <w:vAlign w:val="bottom"/>
          </w:tcPr>
          <w:p>
            <w:pPr>
              <w:spacing w:after="0"/>
              <w:rPr>
                <w:sz w:val="1"/>
                <w:szCs w:val="1"/>
                <w:color w:val="auto"/>
              </w:rPr>
            </w:pPr>
          </w:p>
        </w:tc>
      </w:tr>
      <w:tr>
        <w:trPr>
          <w:trHeight w:val="250"/>
        </w:trPr>
        <w:tc>
          <w:tcPr>
            <w:tcW w:w="378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 15-Year</w:t>
            </w:r>
          </w:p>
        </w:tc>
        <w:tc>
          <w:tcPr>
            <w:tcW w:w="1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19,007</w:t>
            </w:r>
          </w:p>
        </w:tc>
        <w:tc>
          <w:tcPr>
            <w:tcW w:w="120" w:type="dxa"/>
            <w:vAlign w:val="bottom"/>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19,707</w:t>
            </w:r>
          </w:p>
        </w:tc>
        <w:tc>
          <w:tcPr>
            <w:tcW w:w="120" w:type="dxa"/>
            <w:vAlign w:val="bottom"/>
            <w:shd w:val="clear" w:color="auto" w:fill="CCEEFF"/>
          </w:tcPr>
          <w:p>
            <w:pPr>
              <w:spacing w:after="0"/>
              <w:rPr>
                <w:sz w:val="21"/>
                <w:szCs w:val="21"/>
                <w:color w:val="auto"/>
              </w:rPr>
            </w:pPr>
          </w:p>
        </w:tc>
        <w:tc>
          <w:tcPr>
            <w:tcW w:w="800" w:type="dxa"/>
            <w:vAlign w:val="bottom"/>
            <w:tcBorders>
              <w:bottom w:val="single" w:sz="8" w:color="auto"/>
            </w:tcBorders>
            <w:gridSpan w:val="3"/>
            <w:shd w:val="clear" w:color="auto" w:fill="CCEEFF"/>
          </w:tcPr>
          <w:p>
            <w:pPr>
              <w:jc w:val="center"/>
              <w:ind w:left="48"/>
              <w:spacing w:after="0"/>
              <w:rPr>
                <w:sz w:val="20"/>
                <w:szCs w:val="20"/>
                <w:color w:val="auto"/>
              </w:rPr>
            </w:pPr>
            <w:r>
              <w:rPr>
                <w:rFonts w:ascii="Arial" w:cs="Arial" w:eastAsia="Arial" w:hAnsi="Arial"/>
                <w:sz w:val="14"/>
                <w:szCs w:val="14"/>
                <w:color w:val="auto"/>
                <w:w w:val="92"/>
              </w:rPr>
              <w:t>103.7%</w:t>
            </w:r>
          </w:p>
        </w:tc>
        <w:tc>
          <w:tcPr>
            <w:tcW w:w="12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20,160</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gridSpan w:val="3"/>
            <w:shd w:val="clear" w:color="auto" w:fill="CCEEFF"/>
          </w:tcPr>
          <w:p>
            <w:pPr>
              <w:jc w:val="center"/>
              <w:spacing w:after="0"/>
              <w:rPr>
                <w:sz w:val="20"/>
                <w:szCs w:val="20"/>
                <w:color w:val="auto"/>
              </w:rPr>
            </w:pPr>
            <w:r>
              <w:rPr>
                <w:rFonts w:ascii="Arial" w:cs="Arial" w:eastAsia="Arial" w:hAnsi="Arial"/>
                <w:sz w:val="14"/>
                <w:szCs w:val="14"/>
                <w:color w:val="auto"/>
                <w:w w:val="95"/>
              </w:rPr>
              <w:t>3.79%</w:t>
            </w:r>
          </w:p>
        </w:tc>
        <w:tc>
          <w:tcPr>
            <w:tcW w:w="120" w:type="dxa"/>
            <w:vAlign w:val="bottom"/>
            <w:shd w:val="clear" w:color="auto" w:fill="CCEEFF"/>
          </w:tcPr>
          <w:p>
            <w:pPr>
              <w:spacing w:after="0"/>
              <w:rPr>
                <w:sz w:val="21"/>
                <w:szCs w:val="21"/>
                <w:color w:val="auto"/>
              </w:rPr>
            </w:pPr>
          </w:p>
        </w:tc>
        <w:tc>
          <w:tcPr>
            <w:tcW w:w="700" w:type="dxa"/>
            <w:vAlign w:val="bottom"/>
            <w:tcBorders>
              <w:bottom w:val="single" w:sz="8" w:color="auto"/>
            </w:tcBorders>
            <w:gridSpan w:val="3"/>
            <w:shd w:val="clear" w:color="auto" w:fill="CCEEFF"/>
          </w:tcPr>
          <w:p>
            <w:pPr>
              <w:jc w:val="center"/>
              <w:ind w:left="128"/>
              <w:spacing w:after="0"/>
              <w:rPr>
                <w:sz w:val="20"/>
                <w:szCs w:val="20"/>
                <w:color w:val="auto"/>
              </w:rPr>
            </w:pPr>
            <w:r>
              <w:rPr>
                <w:rFonts w:ascii="Arial" w:cs="Arial" w:eastAsia="Arial" w:hAnsi="Arial"/>
                <w:sz w:val="14"/>
                <w:szCs w:val="14"/>
                <w:color w:val="auto"/>
                <w:w w:val="95"/>
              </w:rPr>
              <w:t>2.82%</w:t>
            </w:r>
          </w:p>
        </w:tc>
        <w:tc>
          <w:tcPr>
            <w:tcW w:w="20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14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50"/>
        </w:trPr>
        <w:tc>
          <w:tcPr>
            <w:tcW w:w="3780" w:type="dxa"/>
            <w:vAlign w:val="bottom"/>
            <w:gridSpan w:val="2"/>
          </w:tcPr>
          <w:p>
            <w:pPr>
              <w:ind w:left="540"/>
              <w:spacing w:after="0"/>
              <w:rPr>
                <w:sz w:val="20"/>
                <w:szCs w:val="20"/>
                <w:color w:val="auto"/>
              </w:rPr>
            </w:pPr>
            <w:r>
              <w:rPr>
                <w:rFonts w:ascii="Arial" w:cs="Arial" w:eastAsia="Arial" w:hAnsi="Arial"/>
                <w:sz w:val="14"/>
                <w:szCs w:val="14"/>
                <w:color w:val="auto"/>
              </w:rPr>
              <w:t>Total 20-Year:</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5,462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5,659</w:t>
            </w:r>
          </w:p>
        </w:tc>
        <w:tc>
          <w:tcPr>
            <w:tcW w:w="120" w:type="dxa"/>
            <w:vAlign w:val="bottom"/>
          </w:tcPr>
          <w:p>
            <w:pPr>
              <w:spacing w:after="0"/>
              <w:rPr>
                <w:sz w:val="21"/>
                <w:szCs w:val="21"/>
                <w:color w:val="auto"/>
              </w:rPr>
            </w:pPr>
          </w:p>
        </w:tc>
        <w:tc>
          <w:tcPr>
            <w:tcW w:w="800" w:type="dxa"/>
            <w:vAlign w:val="bottom"/>
            <w:gridSpan w:val="3"/>
          </w:tcPr>
          <w:p>
            <w:pPr>
              <w:jc w:val="center"/>
              <w:ind w:left="48"/>
              <w:spacing w:after="0"/>
              <w:rPr>
                <w:sz w:val="20"/>
                <w:szCs w:val="20"/>
                <w:color w:val="auto"/>
              </w:rPr>
            </w:pPr>
            <w:r>
              <w:rPr>
                <w:rFonts w:ascii="Arial" w:cs="Arial" w:eastAsia="Arial" w:hAnsi="Arial"/>
                <w:sz w:val="14"/>
                <w:szCs w:val="14"/>
                <w:color w:val="auto"/>
                <w:w w:val="92"/>
              </w:rPr>
              <w:t>103.6%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gridSpan w:val="3"/>
          </w:tcPr>
          <w:p>
            <w:pPr>
              <w:jc w:val="right"/>
              <w:ind w:right="48"/>
              <w:spacing w:after="0"/>
              <w:rPr>
                <w:sz w:val="20"/>
                <w:szCs w:val="20"/>
                <w:color w:val="auto"/>
              </w:rPr>
            </w:pPr>
            <w:r>
              <w:rPr>
                <w:rFonts w:ascii="Arial" w:cs="Arial" w:eastAsia="Arial" w:hAnsi="Arial"/>
                <w:sz w:val="14"/>
                <w:szCs w:val="14"/>
                <w:color w:val="auto"/>
              </w:rPr>
              <w:t>5,710</w:t>
            </w:r>
          </w:p>
        </w:tc>
        <w:tc>
          <w:tcPr>
            <w:tcW w:w="100" w:type="dxa"/>
            <w:vAlign w:val="bottom"/>
          </w:tcPr>
          <w:p>
            <w:pPr>
              <w:spacing w:after="0"/>
              <w:rPr>
                <w:sz w:val="21"/>
                <w:szCs w:val="21"/>
                <w:color w:val="auto"/>
              </w:rPr>
            </w:pPr>
          </w:p>
        </w:tc>
        <w:tc>
          <w:tcPr>
            <w:tcW w:w="900" w:type="dxa"/>
            <w:vAlign w:val="bottom"/>
            <w:gridSpan w:val="3"/>
          </w:tcPr>
          <w:p>
            <w:pPr>
              <w:jc w:val="center"/>
              <w:spacing w:after="0"/>
              <w:rPr>
                <w:sz w:val="20"/>
                <w:szCs w:val="20"/>
                <w:color w:val="auto"/>
              </w:rPr>
            </w:pPr>
            <w:r>
              <w:rPr>
                <w:rFonts w:ascii="Arial" w:cs="Arial" w:eastAsia="Arial" w:hAnsi="Arial"/>
                <w:sz w:val="14"/>
                <w:szCs w:val="14"/>
                <w:color w:val="auto"/>
                <w:w w:val="95"/>
              </w:rPr>
              <w:t>3.71%</w:t>
            </w:r>
          </w:p>
        </w:tc>
        <w:tc>
          <w:tcPr>
            <w:tcW w:w="120" w:type="dxa"/>
            <w:vAlign w:val="bottom"/>
          </w:tcPr>
          <w:p>
            <w:pPr>
              <w:spacing w:after="0"/>
              <w:rPr>
                <w:sz w:val="21"/>
                <w:szCs w:val="21"/>
                <w:color w:val="auto"/>
              </w:rPr>
            </w:pPr>
          </w:p>
        </w:tc>
        <w:tc>
          <w:tcPr>
            <w:tcW w:w="700" w:type="dxa"/>
            <w:vAlign w:val="bottom"/>
            <w:gridSpan w:val="3"/>
          </w:tcPr>
          <w:p>
            <w:pPr>
              <w:jc w:val="center"/>
              <w:ind w:left="128"/>
              <w:spacing w:after="0"/>
              <w:rPr>
                <w:sz w:val="20"/>
                <w:szCs w:val="20"/>
                <w:color w:val="auto"/>
              </w:rPr>
            </w:pPr>
            <w:r>
              <w:rPr>
                <w:rFonts w:ascii="Arial" w:cs="Arial" w:eastAsia="Arial" w:hAnsi="Arial"/>
                <w:sz w:val="14"/>
                <w:szCs w:val="14"/>
                <w:color w:val="auto"/>
                <w:w w:val="95"/>
              </w:rPr>
              <w:t>2.72%</w:t>
            </w:r>
          </w:p>
        </w:tc>
        <w:tc>
          <w:tcPr>
            <w:tcW w:w="1440" w:type="dxa"/>
            <w:vAlign w:val="bottom"/>
            <w:gridSpan w:val="4"/>
          </w:tcPr>
          <w:p>
            <w:pPr>
              <w:jc w:val="center"/>
              <w:ind w:left="230"/>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270"/>
        </w:trPr>
        <w:tc>
          <w:tcPr>
            <w:tcW w:w="3780" w:type="dxa"/>
            <w:vAlign w:val="bottom"/>
            <w:tcBorders>
              <w:top w:val="single" w:sz="8" w:color="CCEEFF"/>
            </w:tcBorders>
            <w:gridSpan w:val="2"/>
            <w:shd w:val="clear" w:color="auto" w:fill="CCEEFF"/>
          </w:tcPr>
          <w:p>
            <w:pPr>
              <w:ind w:left="540"/>
              <w:spacing w:after="0"/>
              <w:rPr>
                <w:sz w:val="20"/>
                <w:szCs w:val="20"/>
                <w:color w:val="auto"/>
              </w:rPr>
            </w:pPr>
            <w:r>
              <w:rPr>
                <w:rFonts w:ascii="Arial" w:cs="Arial" w:eastAsia="Arial" w:hAnsi="Arial"/>
                <w:sz w:val="14"/>
                <w:szCs w:val="14"/>
                <w:color w:val="auto"/>
              </w:rPr>
              <w:t>30-Year:</w:t>
            </w:r>
          </w:p>
        </w:tc>
        <w:tc>
          <w:tcPr>
            <w:tcW w:w="120" w:type="dxa"/>
            <w:vAlign w:val="bottom"/>
            <w:tcBorders>
              <w:top w:val="single" w:sz="8" w:color="auto"/>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6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5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6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360" w:type="dxa"/>
            <w:vAlign w:val="bottom"/>
            <w:tcBorders>
              <w:top w:val="single" w:sz="8" w:color="auto"/>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54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780" w:type="dxa"/>
            <w:vAlign w:val="bottom"/>
            <w:gridSpan w:val="2"/>
          </w:tcPr>
          <w:p>
            <w:pPr>
              <w:ind w:left="380"/>
              <w:spacing w:after="0"/>
              <w:rPr>
                <w:sz w:val="20"/>
                <w:szCs w:val="20"/>
                <w:color w:val="auto"/>
              </w:rPr>
            </w:pPr>
            <w:r>
              <w:rPr>
                <w:rFonts w:ascii="Arial" w:cs="Arial" w:eastAsia="Arial" w:hAnsi="Arial"/>
                <w:sz w:val="14"/>
                <w:szCs w:val="14"/>
                <w:color w:val="auto"/>
              </w:rPr>
              <w:t xml:space="preserve">Lower Loan Balance </w:t>
            </w:r>
            <w:r>
              <w:rPr>
                <w:rFonts w:ascii="Arial" w:cs="Arial" w:eastAsia="Arial" w:hAnsi="Arial"/>
                <w:sz w:val="8"/>
                <w:szCs w:val="8"/>
                <w:color w:val="auto"/>
              </w:rPr>
              <w:t>(3)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4,577</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4,847</w:t>
            </w:r>
          </w:p>
        </w:tc>
        <w:tc>
          <w:tcPr>
            <w:tcW w:w="120" w:type="dxa"/>
            <w:vAlign w:val="bottom"/>
          </w:tcPr>
          <w:p>
            <w:pPr>
              <w:spacing w:after="0"/>
              <w:rPr>
                <w:sz w:val="22"/>
                <w:szCs w:val="22"/>
                <w:color w:val="auto"/>
              </w:rPr>
            </w:pPr>
          </w:p>
        </w:tc>
        <w:tc>
          <w:tcPr>
            <w:tcW w:w="800" w:type="dxa"/>
            <w:vAlign w:val="bottom"/>
            <w:gridSpan w:val="3"/>
          </w:tcPr>
          <w:p>
            <w:pPr>
              <w:jc w:val="center"/>
              <w:ind w:left="48"/>
              <w:spacing w:after="0"/>
              <w:rPr>
                <w:sz w:val="20"/>
                <w:szCs w:val="20"/>
                <w:color w:val="auto"/>
              </w:rPr>
            </w:pPr>
            <w:r>
              <w:rPr>
                <w:rFonts w:ascii="Arial" w:cs="Arial" w:eastAsia="Arial" w:hAnsi="Arial"/>
                <w:sz w:val="14"/>
                <w:szCs w:val="14"/>
                <w:color w:val="auto"/>
                <w:w w:val="92"/>
              </w:rPr>
              <w:t>105.9%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gridSpan w:val="3"/>
          </w:tcPr>
          <w:p>
            <w:pPr>
              <w:jc w:val="right"/>
              <w:ind w:right="48"/>
              <w:spacing w:after="0"/>
              <w:rPr>
                <w:sz w:val="20"/>
                <w:szCs w:val="20"/>
                <w:color w:val="auto"/>
              </w:rPr>
            </w:pPr>
            <w:r>
              <w:rPr>
                <w:rFonts w:ascii="Arial" w:cs="Arial" w:eastAsia="Arial" w:hAnsi="Arial"/>
                <w:sz w:val="14"/>
                <w:szCs w:val="14"/>
                <w:color w:val="auto"/>
              </w:rPr>
              <w:t>4,927</w:t>
            </w:r>
          </w:p>
        </w:tc>
        <w:tc>
          <w:tcPr>
            <w:tcW w:w="100" w:type="dxa"/>
            <w:vAlign w:val="bottom"/>
          </w:tcPr>
          <w:p>
            <w:pPr>
              <w:spacing w:after="0"/>
              <w:rPr>
                <w:sz w:val="22"/>
                <w:szCs w:val="22"/>
                <w:color w:val="auto"/>
              </w:rPr>
            </w:pPr>
          </w:p>
        </w:tc>
        <w:tc>
          <w:tcPr>
            <w:tcW w:w="900" w:type="dxa"/>
            <w:vAlign w:val="bottom"/>
            <w:gridSpan w:val="3"/>
          </w:tcPr>
          <w:p>
            <w:pPr>
              <w:jc w:val="center"/>
              <w:spacing w:after="0"/>
              <w:rPr>
                <w:sz w:val="20"/>
                <w:szCs w:val="20"/>
                <w:color w:val="auto"/>
              </w:rPr>
            </w:pPr>
            <w:r>
              <w:rPr>
                <w:rFonts w:ascii="Arial" w:cs="Arial" w:eastAsia="Arial" w:hAnsi="Arial"/>
                <w:sz w:val="14"/>
                <w:szCs w:val="14"/>
                <w:color w:val="auto"/>
                <w:w w:val="95"/>
              </w:rPr>
              <w:t>4.48%</w:t>
            </w:r>
          </w:p>
        </w:tc>
        <w:tc>
          <w:tcPr>
            <w:tcW w:w="120" w:type="dxa"/>
            <w:vAlign w:val="bottom"/>
          </w:tcPr>
          <w:p>
            <w:pPr>
              <w:spacing w:after="0"/>
              <w:rPr>
                <w:sz w:val="22"/>
                <w:szCs w:val="22"/>
                <w:color w:val="auto"/>
              </w:rPr>
            </w:pPr>
          </w:p>
        </w:tc>
        <w:tc>
          <w:tcPr>
            <w:tcW w:w="700" w:type="dxa"/>
            <w:vAlign w:val="bottom"/>
            <w:gridSpan w:val="3"/>
          </w:tcPr>
          <w:p>
            <w:pPr>
              <w:jc w:val="center"/>
              <w:ind w:left="128"/>
              <w:spacing w:after="0"/>
              <w:rPr>
                <w:sz w:val="20"/>
                <w:szCs w:val="20"/>
                <w:color w:val="auto"/>
              </w:rPr>
            </w:pPr>
            <w:r>
              <w:rPr>
                <w:rFonts w:ascii="Arial" w:cs="Arial" w:eastAsia="Arial" w:hAnsi="Arial"/>
                <w:sz w:val="14"/>
                <w:szCs w:val="14"/>
                <w:color w:val="auto"/>
                <w:w w:val="95"/>
              </w:rPr>
              <w:t>3.40%</w:t>
            </w:r>
          </w:p>
        </w:tc>
        <w:tc>
          <w:tcPr>
            <w:tcW w:w="1440" w:type="dxa"/>
            <w:vAlign w:val="bottom"/>
            <w:gridSpan w:val="4"/>
          </w:tcPr>
          <w:p>
            <w:pPr>
              <w:jc w:val="center"/>
              <w:ind w:left="230"/>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37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xml:space="preserve">HARP </w:t>
            </w:r>
            <w:r>
              <w:rPr>
                <w:rFonts w:ascii="Arial" w:cs="Arial" w:eastAsia="Arial" w:hAnsi="Arial"/>
                <w:sz w:val="8"/>
                <w:szCs w:val="8"/>
                <w:color w:val="auto"/>
              </w:rPr>
              <w:t>(4)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11,676</w:t>
            </w: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12,318</w:t>
            </w:r>
          </w:p>
        </w:tc>
        <w:tc>
          <w:tcPr>
            <w:tcW w:w="120" w:type="dxa"/>
            <w:vAlign w:val="bottom"/>
            <w:shd w:val="clear" w:color="auto" w:fill="CCEEFF"/>
          </w:tcPr>
          <w:p>
            <w:pPr>
              <w:spacing w:after="0"/>
              <w:rPr>
                <w:sz w:val="24"/>
                <w:szCs w:val="24"/>
                <w:color w:val="auto"/>
              </w:rPr>
            </w:pPr>
          </w:p>
        </w:tc>
        <w:tc>
          <w:tcPr>
            <w:tcW w:w="800" w:type="dxa"/>
            <w:vAlign w:val="bottom"/>
            <w:gridSpan w:val="3"/>
            <w:shd w:val="clear" w:color="auto" w:fill="CCEEFF"/>
          </w:tcPr>
          <w:p>
            <w:pPr>
              <w:jc w:val="center"/>
              <w:ind w:left="48"/>
              <w:spacing w:after="0"/>
              <w:rPr>
                <w:sz w:val="20"/>
                <w:szCs w:val="20"/>
                <w:color w:val="auto"/>
              </w:rPr>
            </w:pPr>
            <w:r>
              <w:rPr>
                <w:rFonts w:ascii="Arial" w:cs="Arial" w:eastAsia="Arial" w:hAnsi="Arial"/>
                <w:sz w:val="14"/>
                <w:szCs w:val="14"/>
                <w:color w:val="auto"/>
                <w:w w:val="92"/>
              </w:rPr>
              <w:t>105.5%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12,591</w:t>
            </w:r>
          </w:p>
        </w:tc>
        <w:tc>
          <w:tcPr>
            <w:tcW w:w="100" w:type="dxa"/>
            <w:vAlign w:val="bottom"/>
            <w:shd w:val="clear" w:color="auto" w:fill="CCEEFF"/>
          </w:tcPr>
          <w:p>
            <w:pPr>
              <w:spacing w:after="0"/>
              <w:rPr>
                <w:sz w:val="24"/>
                <w:szCs w:val="24"/>
                <w:color w:val="auto"/>
              </w:rPr>
            </w:pPr>
          </w:p>
        </w:tc>
        <w:tc>
          <w:tcPr>
            <w:tcW w:w="900" w:type="dxa"/>
            <w:vAlign w:val="bottom"/>
            <w:gridSpan w:val="3"/>
            <w:shd w:val="clear" w:color="auto" w:fill="CCEEFF"/>
          </w:tcPr>
          <w:p>
            <w:pPr>
              <w:jc w:val="center"/>
              <w:spacing w:after="0"/>
              <w:rPr>
                <w:sz w:val="20"/>
                <w:szCs w:val="20"/>
                <w:color w:val="auto"/>
              </w:rPr>
            </w:pPr>
            <w:r>
              <w:rPr>
                <w:rFonts w:ascii="Arial" w:cs="Arial" w:eastAsia="Arial" w:hAnsi="Arial"/>
                <w:sz w:val="14"/>
                <w:szCs w:val="14"/>
                <w:color w:val="auto"/>
                <w:w w:val="95"/>
              </w:rPr>
              <w:t>4.48%</w:t>
            </w:r>
          </w:p>
        </w:tc>
        <w:tc>
          <w:tcPr>
            <w:tcW w:w="120" w:type="dxa"/>
            <w:vAlign w:val="bottom"/>
            <w:shd w:val="clear" w:color="auto" w:fill="CCEEFF"/>
          </w:tcPr>
          <w:p>
            <w:pPr>
              <w:spacing w:after="0"/>
              <w:rPr>
                <w:sz w:val="24"/>
                <w:szCs w:val="24"/>
                <w:color w:val="auto"/>
              </w:rPr>
            </w:pPr>
          </w:p>
        </w:tc>
        <w:tc>
          <w:tcPr>
            <w:tcW w:w="700" w:type="dxa"/>
            <w:vAlign w:val="bottom"/>
            <w:gridSpan w:val="3"/>
            <w:shd w:val="clear" w:color="auto" w:fill="CCEEFF"/>
          </w:tcPr>
          <w:p>
            <w:pPr>
              <w:jc w:val="center"/>
              <w:ind w:left="128"/>
              <w:spacing w:after="0"/>
              <w:rPr>
                <w:sz w:val="20"/>
                <w:szCs w:val="20"/>
                <w:color w:val="auto"/>
              </w:rPr>
            </w:pPr>
            <w:r>
              <w:rPr>
                <w:rFonts w:ascii="Arial" w:cs="Arial" w:eastAsia="Arial" w:hAnsi="Arial"/>
                <w:sz w:val="14"/>
                <w:szCs w:val="14"/>
                <w:color w:val="auto"/>
                <w:w w:val="95"/>
              </w:rPr>
              <w:t>3.50%</w:t>
            </w:r>
          </w:p>
        </w:tc>
        <w:tc>
          <w:tcPr>
            <w:tcW w:w="1440" w:type="dxa"/>
            <w:vAlign w:val="bottom"/>
            <w:gridSpan w:val="4"/>
            <w:shd w:val="clear" w:color="auto" w:fill="CCEEFF"/>
          </w:tcPr>
          <w:p>
            <w:pPr>
              <w:jc w:val="center"/>
              <w:ind w:left="230"/>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3780" w:type="dxa"/>
            <w:vAlign w:val="bottom"/>
            <w:gridSpan w:val="2"/>
          </w:tcPr>
          <w:p>
            <w:pPr>
              <w:ind w:left="380"/>
              <w:spacing w:after="0"/>
              <w:rPr>
                <w:sz w:val="20"/>
                <w:szCs w:val="20"/>
                <w:color w:val="auto"/>
              </w:rPr>
            </w:pPr>
            <w:r>
              <w:rPr>
                <w:rFonts w:ascii="Arial" w:cs="Arial" w:eastAsia="Arial" w:hAnsi="Arial"/>
                <w:sz w:val="14"/>
                <w:szCs w:val="14"/>
                <w:color w:val="auto"/>
              </w:rPr>
              <w:t>Other (2009-2011 Vintage)</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6,987</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7,307</w:t>
            </w:r>
          </w:p>
        </w:tc>
        <w:tc>
          <w:tcPr>
            <w:tcW w:w="120" w:type="dxa"/>
            <w:vAlign w:val="bottom"/>
          </w:tcPr>
          <w:p>
            <w:pPr>
              <w:spacing w:after="0"/>
              <w:rPr>
                <w:sz w:val="22"/>
                <w:szCs w:val="22"/>
                <w:color w:val="auto"/>
              </w:rPr>
            </w:pPr>
          </w:p>
        </w:tc>
        <w:tc>
          <w:tcPr>
            <w:tcW w:w="800" w:type="dxa"/>
            <w:vAlign w:val="bottom"/>
            <w:gridSpan w:val="3"/>
          </w:tcPr>
          <w:p>
            <w:pPr>
              <w:jc w:val="center"/>
              <w:ind w:left="48"/>
              <w:spacing w:after="0"/>
              <w:rPr>
                <w:sz w:val="20"/>
                <w:szCs w:val="20"/>
                <w:color w:val="auto"/>
              </w:rPr>
            </w:pPr>
            <w:r>
              <w:rPr>
                <w:rFonts w:ascii="Arial" w:cs="Arial" w:eastAsia="Arial" w:hAnsi="Arial"/>
                <w:sz w:val="14"/>
                <w:szCs w:val="14"/>
                <w:color w:val="auto"/>
                <w:w w:val="92"/>
              </w:rPr>
              <w:t>104.6%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gridSpan w:val="3"/>
          </w:tcPr>
          <w:p>
            <w:pPr>
              <w:jc w:val="right"/>
              <w:ind w:right="48"/>
              <w:spacing w:after="0"/>
              <w:rPr>
                <w:sz w:val="20"/>
                <w:szCs w:val="20"/>
                <w:color w:val="auto"/>
              </w:rPr>
            </w:pPr>
            <w:r>
              <w:rPr>
                <w:rFonts w:ascii="Arial" w:cs="Arial" w:eastAsia="Arial" w:hAnsi="Arial"/>
                <w:sz w:val="14"/>
                <w:szCs w:val="14"/>
                <w:color w:val="auto"/>
              </w:rPr>
              <w:t>7,380</w:t>
            </w:r>
          </w:p>
        </w:tc>
        <w:tc>
          <w:tcPr>
            <w:tcW w:w="100" w:type="dxa"/>
            <w:vAlign w:val="bottom"/>
          </w:tcPr>
          <w:p>
            <w:pPr>
              <w:spacing w:after="0"/>
              <w:rPr>
                <w:sz w:val="22"/>
                <w:szCs w:val="22"/>
                <w:color w:val="auto"/>
              </w:rPr>
            </w:pPr>
          </w:p>
        </w:tc>
        <w:tc>
          <w:tcPr>
            <w:tcW w:w="900" w:type="dxa"/>
            <w:vAlign w:val="bottom"/>
            <w:gridSpan w:val="3"/>
          </w:tcPr>
          <w:p>
            <w:pPr>
              <w:jc w:val="center"/>
              <w:spacing w:after="0"/>
              <w:rPr>
                <w:sz w:val="20"/>
                <w:szCs w:val="20"/>
                <w:color w:val="auto"/>
              </w:rPr>
            </w:pPr>
            <w:r>
              <w:rPr>
                <w:rFonts w:ascii="Arial" w:cs="Arial" w:eastAsia="Arial" w:hAnsi="Arial"/>
                <w:sz w:val="14"/>
                <w:szCs w:val="14"/>
                <w:color w:val="auto"/>
                <w:w w:val="95"/>
              </w:rPr>
              <w:t>4.24%</w:t>
            </w:r>
          </w:p>
        </w:tc>
        <w:tc>
          <w:tcPr>
            <w:tcW w:w="120" w:type="dxa"/>
            <w:vAlign w:val="bottom"/>
          </w:tcPr>
          <w:p>
            <w:pPr>
              <w:spacing w:after="0"/>
              <w:rPr>
                <w:sz w:val="22"/>
                <w:szCs w:val="22"/>
                <w:color w:val="auto"/>
              </w:rPr>
            </w:pPr>
          </w:p>
        </w:tc>
        <w:tc>
          <w:tcPr>
            <w:tcW w:w="700" w:type="dxa"/>
            <w:vAlign w:val="bottom"/>
            <w:gridSpan w:val="3"/>
          </w:tcPr>
          <w:p>
            <w:pPr>
              <w:jc w:val="center"/>
              <w:ind w:left="128"/>
              <w:spacing w:after="0"/>
              <w:rPr>
                <w:sz w:val="20"/>
                <w:szCs w:val="20"/>
                <w:color w:val="auto"/>
              </w:rPr>
            </w:pPr>
            <w:r>
              <w:rPr>
                <w:rFonts w:ascii="Arial" w:cs="Arial" w:eastAsia="Arial" w:hAnsi="Arial"/>
                <w:sz w:val="14"/>
                <w:szCs w:val="14"/>
                <w:color w:val="auto"/>
                <w:w w:val="95"/>
              </w:rPr>
              <w:t>3.17%</w:t>
            </w:r>
          </w:p>
        </w:tc>
        <w:tc>
          <w:tcPr>
            <w:tcW w:w="1440" w:type="dxa"/>
            <w:vAlign w:val="bottom"/>
            <w:gridSpan w:val="4"/>
          </w:tcPr>
          <w:p>
            <w:pPr>
              <w:jc w:val="center"/>
              <w:ind w:left="230"/>
              <w:spacing w:after="0"/>
              <w:rPr>
                <w:sz w:val="20"/>
                <w:szCs w:val="20"/>
                <w:color w:val="auto"/>
              </w:rPr>
            </w:pPr>
            <w:r>
              <w:rPr>
                <w:rFonts w:ascii="Arial" w:cs="Arial" w:eastAsia="Arial" w:hAnsi="Arial"/>
                <w:sz w:val="14"/>
                <w:szCs w:val="14"/>
                <w:color w:val="auto"/>
                <w:w w:val="92"/>
              </w:rPr>
              <w:t>15%</w:t>
            </w:r>
          </w:p>
        </w:tc>
        <w:tc>
          <w:tcPr>
            <w:tcW w:w="0" w:type="dxa"/>
            <w:vAlign w:val="bottom"/>
          </w:tcPr>
          <w:p>
            <w:pPr>
              <w:spacing w:after="0"/>
              <w:rPr>
                <w:sz w:val="1"/>
                <w:szCs w:val="1"/>
                <w:color w:val="auto"/>
              </w:rPr>
            </w:pPr>
          </w:p>
        </w:tc>
      </w:tr>
      <w:tr>
        <w:trPr>
          <w:trHeight w:val="270"/>
        </w:trPr>
        <w:tc>
          <w:tcPr>
            <w:tcW w:w="37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(Pre 2009 Vintage)</w:t>
            </w:r>
          </w:p>
        </w:tc>
        <w:tc>
          <w:tcPr>
            <w:tcW w:w="12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655</w:t>
            </w:r>
          </w:p>
        </w:tc>
        <w:tc>
          <w:tcPr>
            <w:tcW w:w="12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697</w:t>
            </w:r>
          </w:p>
        </w:tc>
        <w:tc>
          <w:tcPr>
            <w:tcW w:w="120" w:type="dxa"/>
            <w:vAlign w:val="bottom"/>
            <w:shd w:val="clear" w:color="auto" w:fill="CCEEFF"/>
          </w:tcPr>
          <w:p>
            <w:pPr>
              <w:spacing w:after="0"/>
              <w:rPr>
                <w:sz w:val="23"/>
                <w:szCs w:val="23"/>
                <w:color w:val="auto"/>
              </w:rPr>
            </w:pPr>
          </w:p>
        </w:tc>
        <w:tc>
          <w:tcPr>
            <w:tcW w:w="800" w:type="dxa"/>
            <w:vAlign w:val="bottom"/>
            <w:tcBorders>
              <w:bottom w:val="single" w:sz="8" w:color="auto"/>
            </w:tcBorders>
            <w:gridSpan w:val="3"/>
            <w:shd w:val="clear" w:color="auto" w:fill="CCEEFF"/>
          </w:tcPr>
          <w:p>
            <w:pPr>
              <w:jc w:val="center"/>
              <w:ind w:left="48"/>
              <w:spacing w:after="0"/>
              <w:rPr>
                <w:sz w:val="20"/>
                <w:szCs w:val="20"/>
                <w:color w:val="auto"/>
              </w:rPr>
            </w:pPr>
            <w:r>
              <w:rPr>
                <w:rFonts w:ascii="Arial" w:cs="Arial" w:eastAsia="Arial" w:hAnsi="Arial"/>
                <w:sz w:val="14"/>
                <w:szCs w:val="14"/>
                <w:color w:val="auto"/>
                <w:w w:val="92"/>
              </w:rPr>
              <w:t>106.3%</w:t>
            </w:r>
          </w:p>
        </w:tc>
        <w:tc>
          <w:tcPr>
            <w:tcW w:w="1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715</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gridSpan w:val="3"/>
            <w:shd w:val="clear" w:color="auto" w:fill="CCEEFF"/>
          </w:tcPr>
          <w:p>
            <w:pPr>
              <w:jc w:val="center"/>
              <w:spacing w:after="0"/>
              <w:rPr>
                <w:sz w:val="20"/>
                <w:szCs w:val="20"/>
                <w:color w:val="auto"/>
              </w:rPr>
            </w:pPr>
            <w:r>
              <w:rPr>
                <w:rFonts w:ascii="Arial" w:cs="Arial" w:eastAsia="Arial" w:hAnsi="Arial"/>
                <w:sz w:val="14"/>
                <w:szCs w:val="14"/>
                <w:color w:val="auto"/>
                <w:w w:val="95"/>
              </w:rPr>
              <w:t>5.59%</w:t>
            </w:r>
          </w:p>
        </w:tc>
        <w:tc>
          <w:tcPr>
            <w:tcW w:w="120" w:type="dxa"/>
            <w:vAlign w:val="bottom"/>
            <w:shd w:val="clear" w:color="auto" w:fill="CCEEFF"/>
          </w:tcPr>
          <w:p>
            <w:pPr>
              <w:spacing w:after="0"/>
              <w:rPr>
                <w:sz w:val="23"/>
                <w:szCs w:val="23"/>
                <w:color w:val="auto"/>
              </w:rPr>
            </w:pPr>
          </w:p>
        </w:tc>
        <w:tc>
          <w:tcPr>
            <w:tcW w:w="700" w:type="dxa"/>
            <w:vAlign w:val="bottom"/>
            <w:tcBorders>
              <w:bottom w:val="single" w:sz="8" w:color="auto"/>
            </w:tcBorders>
            <w:gridSpan w:val="3"/>
            <w:shd w:val="clear" w:color="auto" w:fill="CCEEFF"/>
          </w:tcPr>
          <w:p>
            <w:pPr>
              <w:jc w:val="center"/>
              <w:ind w:left="128"/>
              <w:spacing w:after="0"/>
              <w:rPr>
                <w:sz w:val="20"/>
                <w:szCs w:val="20"/>
                <w:color w:val="auto"/>
              </w:rPr>
            </w:pPr>
            <w:r>
              <w:rPr>
                <w:rFonts w:ascii="Arial" w:cs="Arial" w:eastAsia="Arial" w:hAnsi="Arial"/>
                <w:sz w:val="14"/>
                <w:szCs w:val="14"/>
                <w:color w:val="auto"/>
                <w:w w:val="95"/>
              </w:rPr>
              <w:t>3.37%</w:t>
            </w:r>
          </w:p>
        </w:tc>
        <w:tc>
          <w:tcPr>
            <w:tcW w:w="20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4"/>
                <w:szCs w:val="14"/>
                <w:color w:val="auto"/>
                <w:w w:val="92"/>
              </w:rPr>
              <w:t>25%</w:t>
            </w:r>
          </w:p>
        </w:tc>
        <w:tc>
          <w:tcPr>
            <w:tcW w:w="0" w:type="dxa"/>
            <w:vAlign w:val="bottom"/>
          </w:tcPr>
          <w:p>
            <w:pPr>
              <w:spacing w:after="0"/>
              <w:rPr>
                <w:sz w:val="1"/>
                <w:szCs w:val="1"/>
                <w:color w:val="auto"/>
              </w:rPr>
            </w:pPr>
          </w:p>
        </w:tc>
      </w:tr>
      <w:tr>
        <w:trPr>
          <w:trHeight w:val="250"/>
        </w:trPr>
        <w:tc>
          <w:tcPr>
            <w:tcW w:w="3780" w:type="dxa"/>
            <w:vAlign w:val="bottom"/>
            <w:tcBorders>
              <w:bottom w:val="single" w:sz="8" w:color="CCEEFF"/>
            </w:tcBorders>
            <w:gridSpan w:val="2"/>
          </w:tcPr>
          <w:p>
            <w:pPr>
              <w:ind w:left="540"/>
              <w:spacing w:after="0"/>
              <w:rPr>
                <w:sz w:val="20"/>
                <w:szCs w:val="20"/>
                <w:color w:val="auto"/>
              </w:rPr>
            </w:pPr>
            <w:r>
              <w:rPr>
                <w:rFonts w:ascii="Arial" w:cs="Arial" w:eastAsia="Arial" w:hAnsi="Arial"/>
                <w:sz w:val="14"/>
                <w:szCs w:val="14"/>
                <w:color w:val="auto"/>
              </w:rPr>
              <w:t>Total 30-Year</w:t>
            </w:r>
          </w:p>
        </w:tc>
        <w:tc>
          <w:tcPr>
            <w:tcW w:w="12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23,895</w:t>
            </w:r>
          </w:p>
        </w:tc>
        <w:tc>
          <w:tcPr>
            <w:tcW w:w="120" w:type="dxa"/>
            <w:vAlign w:val="bottom"/>
            <w:tcBorders>
              <w:bottom w:val="single" w:sz="8" w:color="CCEEFF"/>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25,169</w:t>
            </w:r>
          </w:p>
        </w:tc>
        <w:tc>
          <w:tcPr>
            <w:tcW w:w="120" w:type="dxa"/>
            <w:vAlign w:val="bottom"/>
            <w:tcBorders>
              <w:bottom w:val="single" w:sz="8" w:color="CCEEFF"/>
            </w:tcBorders>
          </w:tcPr>
          <w:p>
            <w:pPr>
              <w:spacing w:after="0"/>
              <w:rPr>
                <w:sz w:val="21"/>
                <w:szCs w:val="21"/>
                <w:color w:val="auto"/>
              </w:rPr>
            </w:pPr>
          </w:p>
        </w:tc>
        <w:tc>
          <w:tcPr>
            <w:tcW w:w="800" w:type="dxa"/>
            <w:vAlign w:val="bottom"/>
            <w:tcBorders>
              <w:bottom w:val="single" w:sz="8" w:color="auto"/>
            </w:tcBorders>
            <w:gridSpan w:val="3"/>
          </w:tcPr>
          <w:p>
            <w:pPr>
              <w:jc w:val="center"/>
              <w:ind w:left="48"/>
              <w:spacing w:after="0"/>
              <w:rPr>
                <w:sz w:val="20"/>
                <w:szCs w:val="20"/>
                <w:color w:val="auto"/>
              </w:rPr>
            </w:pPr>
            <w:r>
              <w:rPr>
                <w:rFonts w:ascii="Arial" w:cs="Arial" w:eastAsia="Arial" w:hAnsi="Arial"/>
                <w:sz w:val="14"/>
                <w:szCs w:val="14"/>
                <w:color w:val="auto"/>
                <w:w w:val="92"/>
              </w:rPr>
              <w:t>105.3%</w:t>
            </w:r>
          </w:p>
        </w:tc>
        <w:tc>
          <w:tcPr>
            <w:tcW w:w="12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color w:val="auto"/>
              </w:rPr>
              <w:t>25,613</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color w:val="auto"/>
                <w:w w:val="95"/>
              </w:rPr>
              <w:t>4.44%</w:t>
            </w:r>
          </w:p>
        </w:tc>
        <w:tc>
          <w:tcPr>
            <w:tcW w:w="120" w:type="dxa"/>
            <w:vAlign w:val="bottom"/>
            <w:tcBorders>
              <w:bottom w:val="single" w:sz="8" w:color="CCEEFF"/>
            </w:tcBorders>
          </w:tcPr>
          <w:p>
            <w:pPr>
              <w:spacing w:after="0"/>
              <w:rPr>
                <w:sz w:val="21"/>
                <w:szCs w:val="21"/>
                <w:color w:val="auto"/>
              </w:rPr>
            </w:pPr>
          </w:p>
        </w:tc>
        <w:tc>
          <w:tcPr>
            <w:tcW w:w="700" w:type="dxa"/>
            <w:vAlign w:val="bottom"/>
            <w:tcBorders>
              <w:bottom w:val="single" w:sz="8" w:color="auto"/>
            </w:tcBorders>
            <w:gridSpan w:val="3"/>
          </w:tcPr>
          <w:p>
            <w:pPr>
              <w:jc w:val="center"/>
              <w:ind w:left="128"/>
              <w:spacing w:after="0"/>
              <w:rPr>
                <w:sz w:val="20"/>
                <w:szCs w:val="20"/>
                <w:color w:val="auto"/>
              </w:rPr>
            </w:pPr>
            <w:r>
              <w:rPr>
                <w:rFonts w:ascii="Arial" w:cs="Arial" w:eastAsia="Arial" w:hAnsi="Arial"/>
                <w:sz w:val="14"/>
                <w:szCs w:val="14"/>
                <w:color w:val="auto"/>
                <w:w w:val="95"/>
              </w:rPr>
              <w:t>3.38%</w:t>
            </w:r>
          </w:p>
        </w:tc>
        <w:tc>
          <w:tcPr>
            <w:tcW w:w="20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56"/>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Fixed-Rate</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48,364</w:t>
            </w:r>
          </w:p>
        </w:tc>
        <w:tc>
          <w:tcPr>
            <w:tcW w:w="12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50,535</w:t>
            </w:r>
          </w:p>
        </w:tc>
        <w:tc>
          <w:tcPr>
            <w:tcW w:w="120" w:type="dxa"/>
            <w:vAlign w:val="bottom"/>
            <w:shd w:val="clear" w:color="auto" w:fill="CCEEFF"/>
          </w:tcPr>
          <w:p>
            <w:pPr>
              <w:spacing w:after="0"/>
              <w:rPr>
                <w:sz w:val="22"/>
                <w:szCs w:val="22"/>
                <w:color w:val="auto"/>
              </w:rPr>
            </w:pPr>
          </w:p>
        </w:tc>
        <w:tc>
          <w:tcPr>
            <w:tcW w:w="800" w:type="dxa"/>
            <w:vAlign w:val="bottom"/>
            <w:gridSpan w:val="3"/>
            <w:shd w:val="clear" w:color="auto" w:fill="CCEEFF"/>
          </w:tcPr>
          <w:p>
            <w:pPr>
              <w:jc w:val="center"/>
              <w:ind w:left="48"/>
              <w:spacing w:after="0"/>
              <w:rPr>
                <w:sz w:val="20"/>
                <w:szCs w:val="20"/>
                <w:color w:val="auto"/>
              </w:rPr>
            </w:pPr>
            <w:r>
              <w:rPr>
                <w:rFonts w:ascii="Arial" w:cs="Arial" w:eastAsia="Arial" w:hAnsi="Arial"/>
                <w:sz w:val="14"/>
                <w:szCs w:val="14"/>
                <w:color w:val="auto"/>
                <w:w w:val="92"/>
              </w:rPr>
              <w:t>104.5%</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51,483</w:t>
            </w:r>
          </w:p>
        </w:tc>
        <w:tc>
          <w:tcPr>
            <w:tcW w:w="100" w:type="dxa"/>
            <w:vAlign w:val="bottom"/>
            <w:shd w:val="clear" w:color="auto" w:fill="CCEEFF"/>
          </w:tcPr>
          <w:p>
            <w:pPr>
              <w:spacing w:after="0"/>
              <w:rPr>
                <w:sz w:val="22"/>
                <w:szCs w:val="22"/>
                <w:color w:val="auto"/>
              </w:rPr>
            </w:pPr>
          </w:p>
        </w:tc>
        <w:tc>
          <w:tcPr>
            <w:tcW w:w="900" w:type="dxa"/>
            <w:vAlign w:val="bottom"/>
            <w:gridSpan w:val="3"/>
            <w:shd w:val="clear" w:color="auto" w:fill="CCEEFF"/>
          </w:tcPr>
          <w:p>
            <w:pPr>
              <w:jc w:val="center"/>
              <w:spacing w:after="0"/>
              <w:rPr>
                <w:sz w:val="20"/>
                <w:szCs w:val="20"/>
                <w:color w:val="auto"/>
              </w:rPr>
            </w:pPr>
            <w:r>
              <w:rPr>
                <w:rFonts w:ascii="Arial" w:cs="Arial" w:eastAsia="Arial" w:hAnsi="Arial"/>
                <w:sz w:val="14"/>
                <w:szCs w:val="14"/>
                <w:color w:val="auto"/>
                <w:w w:val="95"/>
              </w:rPr>
              <w:t>4.10%</w:t>
            </w:r>
          </w:p>
        </w:tc>
        <w:tc>
          <w:tcPr>
            <w:tcW w:w="120" w:type="dxa"/>
            <w:vAlign w:val="bottom"/>
            <w:shd w:val="clear" w:color="auto" w:fill="CCEEFF"/>
          </w:tcPr>
          <w:p>
            <w:pPr>
              <w:spacing w:after="0"/>
              <w:rPr>
                <w:sz w:val="22"/>
                <w:szCs w:val="22"/>
                <w:color w:val="auto"/>
              </w:rPr>
            </w:pPr>
          </w:p>
        </w:tc>
        <w:tc>
          <w:tcPr>
            <w:tcW w:w="700" w:type="dxa"/>
            <w:vAlign w:val="bottom"/>
            <w:gridSpan w:val="3"/>
            <w:shd w:val="clear" w:color="auto" w:fill="CCEEFF"/>
          </w:tcPr>
          <w:p>
            <w:pPr>
              <w:jc w:val="center"/>
              <w:ind w:left="128"/>
              <w:spacing w:after="0"/>
              <w:rPr>
                <w:sz w:val="20"/>
                <w:szCs w:val="20"/>
                <w:color w:val="auto"/>
              </w:rPr>
            </w:pPr>
            <w:r>
              <w:rPr>
                <w:rFonts w:ascii="Arial" w:cs="Arial" w:eastAsia="Arial" w:hAnsi="Arial"/>
                <w:sz w:val="14"/>
                <w:szCs w:val="14"/>
                <w:color w:val="auto"/>
                <w:w w:val="95"/>
              </w:rPr>
              <w:t>3.09%</w:t>
            </w:r>
          </w:p>
        </w:tc>
        <w:tc>
          <w:tcPr>
            <w:tcW w:w="1440" w:type="dxa"/>
            <w:vAlign w:val="bottom"/>
            <w:gridSpan w:val="4"/>
            <w:shd w:val="clear" w:color="auto" w:fill="CCEEFF"/>
          </w:tcPr>
          <w:p>
            <w:pPr>
              <w:jc w:val="center"/>
              <w:ind w:left="230"/>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64"/>
        </w:trPr>
        <w:tc>
          <w:tcPr>
            <w:tcW w:w="3780" w:type="dxa"/>
            <w:vAlign w:val="bottom"/>
            <w:gridSpan w:val="2"/>
          </w:tcPr>
          <w:p>
            <w:pPr>
              <w:ind w:left="40"/>
              <w:spacing w:after="0"/>
              <w:rPr>
                <w:sz w:val="20"/>
                <w:szCs w:val="20"/>
                <w:color w:val="auto"/>
              </w:rPr>
            </w:pPr>
            <w:r>
              <w:rPr>
                <w:rFonts w:ascii="Arial" w:cs="Arial" w:eastAsia="Arial" w:hAnsi="Arial"/>
                <w:sz w:val="14"/>
                <w:szCs w:val="14"/>
                <w:color w:val="auto"/>
              </w:rPr>
              <w:t>Adjustable-Rate</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2,627</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2,725</w:t>
            </w:r>
          </w:p>
        </w:tc>
        <w:tc>
          <w:tcPr>
            <w:tcW w:w="120" w:type="dxa"/>
            <w:vAlign w:val="bottom"/>
          </w:tcPr>
          <w:p>
            <w:pPr>
              <w:spacing w:after="0"/>
              <w:rPr>
                <w:sz w:val="22"/>
                <w:szCs w:val="22"/>
                <w:color w:val="auto"/>
              </w:rPr>
            </w:pPr>
          </w:p>
        </w:tc>
        <w:tc>
          <w:tcPr>
            <w:tcW w:w="800" w:type="dxa"/>
            <w:vAlign w:val="bottom"/>
            <w:gridSpan w:val="3"/>
          </w:tcPr>
          <w:p>
            <w:pPr>
              <w:jc w:val="center"/>
              <w:ind w:left="48"/>
              <w:spacing w:after="0"/>
              <w:rPr>
                <w:sz w:val="20"/>
                <w:szCs w:val="20"/>
                <w:color w:val="auto"/>
              </w:rPr>
            </w:pPr>
            <w:r>
              <w:rPr>
                <w:rFonts w:ascii="Arial" w:cs="Arial" w:eastAsia="Arial" w:hAnsi="Arial"/>
                <w:sz w:val="14"/>
                <w:szCs w:val="14"/>
                <w:color w:val="auto"/>
                <w:w w:val="92"/>
              </w:rPr>
              <w:t>103.7%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gridSpan w:val="3"/>
          </w:tcPr>
          <w:p>
            <w:pPr>
              <w:jc w:val="right"/>
              <w:ind w:right="48"/>
              <w:spacing w:after="0"/>
              <w:rPr>
                <w:sz w:val="20"/>
                <w:szCs w:val="20"/>
                <w:color w:val="auto"/>
              </w:rPr>
            </w:pPr>
            <w:r>
              <w:rPr>
                <w:rFonts w:ascii="Arial" w:cs="Arial" w:eastAsia="Arial" w:hAnsi="Arial"/>
                <w:sz w:val="14"/>
                <w:szCs w:val="14"/>
                <w:color w:val="auto"/>
              </w:rPr>
              <w:t>2,774</w:t>
            </w:r>
          </w:p>
        </w:tc>
        <w:tc>
          <w:tcPr>
            <w:tcW w:w="100" w:type="dxa"/>
            <w:vAlign w:val="bottom"/>
          </w:tcPr>
          <w:p>
            <w:pPr>
              <w:spacing w:after="0"/>
              <w:rPr>
                <w:sz w:val="22"/>
                <w:szCs w:val="22"/>
                <w:color w:val="auto"/>
              </w:rPr>
            </w:pPr>
          </w:p>
        </w:tc>
        <w:tc>
          <w:tcPr>
            <w:tcW w:w="900" w:type="dxa"/>
            <w:vAlign w:val="bottom"/>
            <w:gridSpan w:val="3"/>
          </w:tcPr>
          <w:p>
            <w:pPr>
              <w:jc w:val="center"/>
              <w:spacing w:after="0"/>
              <w:rPr>
                <w:sz w:val="20"/>
                <w:szCs w:val="20"/>
                <w:color w:val="auto"/>
              </w:rPr>
            </w:pPr>
            <w:r>
              <w:rPr>
                <w:rFonts w:ascii="Arial" w:cs="Arial" w:eastAsia="Arial" w:hAnsi="Arial"/>
                <w:sz w:val="14"/>
                <w:szCs w:val="14"/>
                <w:color w:val="auto"/>
                <w:w w:val="95"/>
              </w:rPr>
              <w:t>4.29%</w:t>
            </w:r>
          </w:p>
        </w:tc>
        <w:tc>
          <w:tcPr>
            <w:tcW w:w="120" w:type="dxa"/>
            <w:vAlign w:val="bottom"/>
          </w:tcPr>
          <w:p>
            <w:pPr>
              <w:spacing w:after="0"/>
              <w:rPr>
                <w:sz w:val="22"/>
                <w:szCs w:val="22"/>
                <w:color w:val="auto"/>
              </w:rPr>
            </w:pPr>
          </w:p>
        </w:tc>
        <w:tc>
          <w:tcPr>
            <w:tcW w:w="700" w:type="dxa"/>
            <w:vAlign w:val="bottom"/>
            <w:gridSpan w:val="3"/>
          </w:tcPr>
          <w:p>
            <w:pPr>
              <w:jc w:val="center"/>
              <w:ind w:left="128"/>
              <w:spacing w:after="0"/>
              <w:rPr>
                <w:sz w:val="20"/>
                <w:szCs w:val="20"/>
                <w:color w:val="auto"/>
              </w:rPr>
            </w:pPr>
            <w:r>
              <w:rPr>
                <w:rFonts w:ascii="Arial" w:cs="Arial" w:eastAsia="Arial" w:hAnsi="Arial"/>
                <w:sz w:val="14"/>
                <w:szCs w:val="14"/>
                <w:color w:val="auto"/>
                <w:w w:val="95"/>
              </w:rPr>
              <w:t>2.58%</w:t>
            </w:r>
          </w:p>
        </w:tc>
        <w:tc>
          <w:tcPr>
            <w:tcW w:w="1440" w:type="dxa"/>
            <w:vAlign w:val="bottom"/>
            <w:gridSpan w:val="4"/>
          </w:tcPr>
          <w:p>
            <w:pPr>
              <w:jc w:val="center"/>
              <w:ind w:left="230"/>
              <w:spacing w:after="0"/>
              <w:rPr>
                <w:sz w:val="20"/>
                <w:szCs w:val="20"/>
                <w:color w:val="auto"/>
              </w:rPr>
            </w:pPr>
            <w:r>
              <w:rPr>
                <w:rFonts w:ascii="Arial" w:cs="Arial" w:eastAsia="Arial" w:hAnsi="Arial"/>
                <w:sz w:val="14"/>
                <w:szCs w:val="14"/>
                <w:color w:val="auto"/>
                <w:w w:val="92"/>
              </w:rPr>
              <w:t>32%</w:t>
            </w:r>
          </w:p>
        </w:tc>
        <w:tc>
          <w:tcPr>
            <w:tcW w:w="0" w:type="dxa"/>
            <w:vAlign w:val="bottom"/>
          </w:tcPr>
          <w:p>
            <w:pPr>
              <w:spacing w:after="0"/>
              <w:rPr>
                <w:sz w:val="1"/>
                <w:szCs w:val="1"/>
                <w:color w:val="auto"/>
              </w:rPr>
            </w:pPr>
          </w:p>
        </w:tc>
      </w:tr>
      <w:tr>
        <w:trPr>
          <w:trHeight w:val="270"/>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CMO</w:t>
            </w:r>
          </w:p>
        </w:tc>
        <w:tc>
          <w:tcPr>
            <w:tcW w:w="12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235</w:t>
            </w:r>
          </w:p>
        </w:tc>
        <w:tc>
          <w:tcPr>
            <w:tcW w:w="12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243</w:t>
            </w:r>
          </w:p>
        </w:tc>
        <w:tc>
          <w:tcPr>
            <w:tcW w:w="120" w:type="dxa"/>
            <w:vAlign w:val="bottom"/>
            <w:shd w:val="clear" w:color="auto" w:fill="CCEEFF"/>
          </w:tcPr>
          <w:p>
            <w:pPr>
              <w:spacing w:after="0"/>
              <w:rPr>
                <w:sz w:val="23"/>
                <w:szCs w:val="23"/>
                <w:color w:val="auto"/>
              </w:rPr>
            </w:pPr>
          </w:p>
        </w:tc>
        <w:tc>
          <w:tcPr>
            <w:tcW w:w="800" w:type="dxa"/>
            <w:vAlign w:val="bottom"/>
            <w:tcBorders>
              <w:bottom w:val="single" w:sz="8" w:color="auto"/>
            </w:tcBorders>
            <w:gridSpan w:val="3"/>
            <w:shd w:val="clear" w:color="auto" w:fill="CCEEFF"/>
          </w:tcPr>
          <w:p>
            <w:pPr>
              <w:jc w:val="center"/>
              <w:ind w:left="48"/>
              <w:spacing w:after="0"/>
              <w:rPr>
                <w:sz w:val="20"/>
                <w:szCs w:val="20"/>
                <w:color w:val="auto"/>
              </w:rPr>
            </w:pPr>
            <w:r>
              <w:rPr>
                <w:rFonts w:ascii="Arial" w:cs="Arial" w:eastAsia="Arial" w:hAnsi="Arial"/>
                <w:sz w:val="14"/>
                <w:szCs w:val="14"/>
                <w:color w:val="auto"/>
                <w:w w:val="92"/>
              </w:rPr>
              <w:t>103.1%</w:t>
            </w:r>
          </w:p>
        </w:tc>
        <w:tc>
          <w:tcPr>
            <w:tcW w:w="1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247</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gridSpan w:val="3"/>
            <w:shd w:val="clear" w:color="auto" w:fill="CCEEFF"/>
          </w:tcPr>
          <w:p>
            <w:pPr>
              <w:jc w:val="center"/>
              <w:spacing w:after="0"/>
              <w:rPr>
                <w:sz w:val="20"/>
                <w:szCs w:val="20"/>
                <w:color w:val="auto"/>
              </w:rPr>
            </w:pPr>
            <w:r>
              <w:rPr>
                <w:rFonts w:ascii="Arial" w:cs="Arial" w:eastAsia="Arial" w:hAnsi="Arial"/>
                <w:sz w:val="14"/>
                <w:szCs w:val="14"/>
                <w:color w:val="auto"/>
                <w:w w:val="95"/>
              </w:rPr>
              <w:t>3.74%</w:t>
            </w:r>
          </w:p>
        </w:tc>
        <w:tc>
          <w:tcPr>
            <w:tcW w:w="120" w:type="dxa"/>
            <w:vAlign w:val="bottom"/>
            <w:shd w:val="clear" w:color="auto" w:fill="CCEEFF"/>
          </w:tcPr>
          <w:p>
            <w:pPr>
              <w:spacing w:after="0"/>
              <w:rPr>
                <w:sz w:val="23"/>
                <w:szCs w:val="23"/>
                <w:color w:val="auto"/>
              </w:rPr>
            </w:pPr>
          </w:p>
        </w:tc>
        <w:tc>
          <w:tcPr>
            <w:tcW w:w="700" w:type="dxa"/>
            <w:vAlign w:val="bottom"/>
            <w:tcBorders>
              <w:bottom w:val="single" w:sz="8" w:color="auto"/>
            </w:tcBorders>
            <w:gridSpan w:val="3"/>
            <w:shd w:val="clear" w:color="auto" w:fill="CCEEFF"/>
          </w:tcPr>
          <w:p>
            <w:pPr>
              <w:jc w:val="center"/>
              <w:ind w:left="128"/>
              <w:spacing w:after="0"/>
              <w:rPr>
                <w:sz w:val="20"/>
                <w:szCs w:val="20"/>
                <w:color w:val="auto"/>
              </w:rPr>
            </w:pPr>
            <w:r>
              <w:rPr>
                <w:rFonts w:ascii="Arial" w:cs="Arial" w:eastAsia="Arial" w:hAnsi="Arial"/>
                <w:sz w:val="14"/>
                <w:szCs w:val="14"/>
                <w:color w:val="auto"/>
                <w:w w:val="95"/>
              </w:rPr>
              <w:t>1.69%</w:t>
            </w:r>
          </w:p>
        </w:tc>
        <w:tc>
          <w:tcPr>
            <w:tcW w:w="20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4"/>
                <w:szCs w:val="14"/>
                <w:color w:val="auto"/>
                <w:w w:val="92"/>
              </w:rPr>
              <w:t>29%</w:t>
            </w:r>
          </w:p>
        </w:tc>
        <w:tc>
          <w:tcPr>
            <w:tcW w:w="0" w:type="dxa"/>
            <w:vAlign w:val="bottom"/>
          </w:tcPr>
          <w:p>
            <w:pPr>
              <w:spacing w:after="0"/>
              <w:rPr>
                <w:sz w:val="1"/>
                <w:szCs w:val="1"/>
                <w:color w:val="auto"/>
              </w:rPr>
            </w:pPr>
          </w:p>
        </w:tc>
      </w:tr>
      <w:tr>
        <w:trPr>
          <w:trHeight w:val="243"/>
        </w:trPr>
        <w:tc>
          <w:tcPr>
            <w:tcW w:w="3780" w:type="dxa"/>
            <w:vAlign w:val="bottom"/>
            <w:gridSpan w:val="2"/>
          </w:tcPr>
          <w:p>
            <w:pPr>
              <w:ind w:left="40"/>
              <w:spacing w:after="0"/>
              <w:rPr>
                <w:sz w:val="20"/>
                <w:szCs w:val="20"/>
                <w:color w:val="auto"/>
              </w:rPr>
            </w:pPr>
            <w:r>
              <w:rPr>
                <w:rFonts w:ascii="Arial" w:cs="Arial" w:eastAsia="Arial" w:hAnsi="Arial"/>
                <w:sz w:val="14"/>
                <w:szCs w:val="14"/>
                <w:color w:val="auto"/>
              </w:rPr>
              <w:t>Total / Weighted Average</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51,226</w:t>
            </w:r>
          </w:p>
        </w:tc>
        <w:tc>
          <w:tcPr>
            <w:tcW w:w="120" w:type="dxa"/>
            <w:vAlign w:val="bottom"/>
          </w:tcPr>
          <w:p>
            <w:pPr>
              <w:spacing w:after="0"/>
              <w:rPr>
                <w:sz w:val="21"/>
                <w:szCs w:val="21"/>
                <w:color w:val="auto"/>
              </w:rPr>
            </w:pPr>
          </w:p>
        </w:tc>
        <w:tc>
          <w:tcPr>
            <w:tcW w:w="1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53,503</w:t>
            </w:r>
          </w:p>
        </w:tc>
        <w:tc>
          <w:tcPr>
            <w:tcW w:w="120" w:type="dxa"/>
            <w:vAlign w:val="bottom"/>
          </w:tcPr>
          <w:p>
            <w:pPr>
              <w:spacing w:after="0"/>
              <w:rPr>
                <w:sz w:val="21"/>
                <w:szCs w:val="21"/>
                <w:color w:val="auto"/>
              </w:rPr>
            </w:pPr>
          </w:p>
        </w:tc>
        <w:tc>
          <w:tcPr>
            <w:tcW w:w="800" w:type="dxa"/>
            <w:vAlign w:val="bottom"/>
            <w:gridSpan w:val="3"/>
          </w:tcPr>
          <w:p>
            <w:pPr>
              <w:jc w:val="center"/>
              <w:ind w:left="48"/>
              <w:spacing w:after="0"/>
              <w:rPr>
                <w:sz w:val="20"/>
                <w:szCs w:val="20"/>
                <w:color w:val="auto"/>
              </w:rPr>
            </w:pPr>
            <w:r>
              <w:rPr>
                <w:rFonts w:ascii="Arial" w:cs="Arial" w:eastAsia="Arial" w:hAnsi="Arial"/>
                <w:sz w:val="14"/>
                <w:szCs w:val="14"/>
                <w:color w:val="auto"/>
                <w:w w:val="92"/>
              </w:rPr>
              <w:t>104.4%</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780" w:type="dxa"/>
            <w:vAlign w:val="bottom"/>
            <w:gridSpan w:val="3"/>
          </w:tcPr>
          <w:p>
            <w:pPr>
              <w:jc w:val="right"/>
              <w:ind w:right="48"/>
              <w:spacing w:after="0"/>
              <w:rPr>
                <w:sz w:val="20"/>
                <w:szCs w:val="20"/>
                <w:color w:val="auto"/>
              </w:rPr>
            </w:pPr>
            <w:r>
              <w:rPr>
                <w:rFonts w:ascii="Arial" w:cs="Arial" w:eastAsia="Arial" w:hAnsi="Arial"/>
                <w:sz w:val="14"/>
                <w:szCs w:val="14"/>
                <w:color w:val="auto"/>
              </w:rPr>
              <w:t>54,504</w:t>
            </w:r>
          </w:p>
        </w:tc>
        <w:tc>
          <w:tcPr>
            <w:tcW w:w="100" w:type="dxa"/>
            <w:vAlign w:val="bottom"/>
          </w:tcPr>
          <w:p>
            <w:pPr>
              <w:spacing w:after="0"/>
              <w:rPr>
                <w:sz w:val="21"/>
                <w:szCs w:val="21"/>
                <w:color w:val="auto"/>
              </w:rPr>
            </w:pPr>
          </w:p>
        </w:tc>
        <w:tc>
          <w:tcPr>
            <w:tcW w:w="900" w:type="dxa"/>
            <w:vAlign w:val="bottom"/>
            <w:gridSpan w:val="3"/>
          </w:tcPr>
          <w:p>
            <w:pPr>
              <w:jc w:val="center"/>
              <w:spacing w:after="0"/>
              <w:rPr>
                <w:sz w:val="20"/>
                <w:szCs w:val="20"/>
                <w:color w:val="auto"/>
              </w:rPr>
            </w:pPr>
            <w:r>
              <w:rPr>
                <w:rFonts w:ascii="Arial" w:cs="Arial" w:eastAsia="Arial" w:hAnsi="Arial"/>
                <w:sz w:val="14"/>
                <w:szCs w:val="14"/>
                <w:color w:val="auto"/>
                <w:w w:val="95"/>
              </w:rPr>
              <w:t>4.11%</w:t>
            </w:r>
          </w:p>
        </w:tc>
        <w:tc>
          <w:tcPr>
            <w:tcW w:w="120" w:type="dxa"/>
            <w:vAlign w:val="bottom"/>
          </w:tcPr>
          <w:p>
            <w:pPr>
              <w:spacing w:after="0"/>
              <w:rPr>
                <w:sz w:val="21"/>
                <w:szCs w:val="21"/>
                <w:color w:val="auto"/>
              </w:rPr>
            </w:pPr>
          </w:p>
        </w:tc>
        <w:tc>
          <w:tcPr>
            <w:tcW w:w="700" w:type="dxa"/>
            <w:vAlign w:val="bottom"/>
            <w:gridSpan w:val="3"/>
          </w:tcPr>
          <w:p>
            <w:pPr>
              <w:jc w:val="center"/>
              <w:ind w:left="128"/>
              <w:spacing w:after="0"/>
              <w:rPr>
                <w:sz w:val="20"/>
                <w:szCs w:val="20"/>
                <w:color w:val="auto"/>
              </w:rPr>
            </w:pPr>
            <w:r>
              <w:rPr>
                <w:rFonts w:ascii="Arial" w:cs="Arial" w:eastAsia="Arial" w:hAnsi="Arial"/>
                <w:sz w:val="14"/>
                <w:szCs w:val="14"/>
                <w:color w:val="auto"/>
                <w:w w:val="95"/>
              </w:rPr>
              <w:t>3.05%</w:t>
            </w:r>
          </w:p>
        </w:tc>
        <w:tc>
          <w:tcPr>
            <w:tcW w:w="1440" w:type="dxa"/>
            <w:vAlign w:val="bottom"/>
            <w:gridSpan w:val="4"/>
          </w:tcPr>
          <w:p>
            <w:pPr>
              <w:jc w:val="center"/>
              <w:ind w:left="230"/>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4"/>
        </w:trPr>
        <w:tc>
          <w:tcPr>
            <w:tcW w:w="3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gridSpan w:val="8"/>
          </w:tcPr>
          <w:p>
            <w:pPr>
              <w:ind w:left="420"/>
              <w:spacing w:after="0"/>
              <w:rPr>
                <w:sz w:val="20"/>
                <w:szCs w:val="20"/>
                <w:color w:val="auto"/>
              </w:rPr>
            </w:pPr>
            <w:r>
              <w:rPr>
                <w:rFonts w:ascii="Arial" w:cs="Arial" w:eastAsia="Arial" w:hAnsi="Arial"/>
                <w:sz w:val="14"/>
                <w:szCs w:val="14"/>
                <w:b w:val="1"/>
                <w:bCs w:val="1"/>
                <w:color w:val="auto"/>
              </w:rPr>
              <w:t>December 31, 2011</w:t>
            </w: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5"/>
              </w:rPr>
              <w:t>Underlying</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00" w:type="dxa"/>
            <w:vAlign w:val="bottom"/>
            <w:gridSpan w:val="6"/>
            <w:vMerge w:val="restart"/>
          </w:tcPr>
          <w:p>
            <w:pPr>
              <w:ind w:left="400"/>
              <w:spacing w:after="0"/>
              <w:rPr>
                <w:sz w:val="20"/>
                <w:szCs w:val="20"/>
                <w:color w:val="auto"/>
              </w:rPr>
            </w:pPr>
            <w:r>
              <w:rPr>
                <w:rFonts w:ascii="Arial" w:cs="Arial" w:eastAsia="Arial" w:hAnsi="Arial"/>
                <w:sz w:val="14"/>
                <w:szCs w:val="14"/>
                <w:b w:val="1"/>
                <w:bCs w:val="1"/>
                <w:color w:val="auto"/>
              </w:rPr>
              <w:t>Weighted Average</w:t>
            </w: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3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gridSpan w:val="2"/>
          </w:tcPr>
          <w:p>
            <w:pPr>
              <w:jc w:val="center"/>
              <w:ind w:right="140"/>
              <w:spacing w:after="0" w:line="129" w:lineRule="exact"/>
              <w:rPr>
                <w:sz w:val="20"/>
                <w:szCs w:val="20"/>
                <w:color w:val="auto"/>
              </w:rPr>
            </w:pPr>
            <w:r>
              <w:rPr>
                <w:rFonts w:ascii="Arial" w:cs="Arial" w:eastAsia="Arial" w:hAnsi="Arial"/>
                <w:sz w:val="14"/>
                <w:szCs w:val="14"/>
                <w:b w:val="1"/>
                <w:bCs w:val="1"/>
                <w:color w:val="auto"/>
                <w:w w:val="96"/>
              </w:rPr>
              <w:t>Unamortized</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700" w:type="dxa"/>
            <w:vAlign w:val="bottom"/>
            <w:tcBorders>
              <w:bottom w:val="single" w:sz="8" w:color="auto"/>
            </w:tcBorders>
            <w:gridSpan w:val="6"/>
            <w:vMerge w:val="continue"/>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800" w:type="dxa"/>
            <w:vAlign w:val="bottom"/>
            <w:gridSpan w:val="5"/>
          </w:tcPr>
          <w:p>
            <w:pPr>
              <w:jc w:val="center"/>
              <w:ind w:right="620"/>
              <w:spacing w:after="0" w:line="129" w:lineRule="exact"/>
              <w:rPr>
                <w:sz w:val="20"/>
                <w:szCs w:val="20"/>
                <w:color w:val="auto"/>
              </w:rPr>
            </w:pPr>
            <w:r>
              <w:rPr>
                <w:rFonts w:ascii="Arial" w:cs="Arial" w:eastAsia="Arial" w:hAnsi="Arial"/>
                <w:sz w:val="14"/>
                <w:szCs w:val="14"/>
                <w:b w:val="1"/>
                <w:bCs w:val="1"/>
                <w:color w:val="auto"/>
                <w:w w:val="91"/>
              </w:rPr>
              <w:t>December 2011</w:t>
            </w:r>
          </w:p>
        </w:tc>
        <w:tc>
          <w:tcPr>
            <w:tcW w:w="0" w:type="dxa"/>
            <w:vAlign w:val="bottom"/>
          </w:tcPr>
          <w:p>
            <w:pPr>
              <w:spacing w:after="0"/>
              <w:rPr>
                <w:sz w:val="1"/>
                <w:szCs w:val="1"/>
                <w:color w:val="auto"/>
              </w:rPr>
            </w:pPr>
          </w:p>
        </w:tc>
      </w:tr>
      <w:tr>
        <w:trPr>
          <w:trHeight w:val="149"/>
        </w:trPr>
        <w:tc>
          <w:tcPr>
            <w:tcW w:w="37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96"/>
              </w:rPr>
              <w:t>Agency MBS Remeasured at Fair Value Through Earnings</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7"/>
              </w:rPr>
              <w:t>Principal</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Amortized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4"/>
            <w:vMerge w:val="restart"/>
          </w:tcPr>
          <w:p>
            <w:pPr>
              <w:jc w:val="right"/>
              <w:ind w:right="140"/>
              <w:spacing w:after="0"/>
              <w:rPr>
                <w:sz w:val="20"/>
                <w:szCs w:val="20"/>
                <w:color w:val="auto"/>
              </w:rPr>
            </w:pPr>
            <w:r>
              <w:rPr>
                <w:rFonts w:ascii="Arial" w:cs="Arial" w:eastAsia="Arial" w:hAnsi="Arial"/>
                <w:sz w:val="14"/>
                <w:szCs w:val="14"/>
                <w:b w:val="1"/>
                <w:bCs w:val="1"/>
                <w:color w:val="auto"/>
              </w:rPr>
              <w:t>Fair Value</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w w:val="90"/>
              </w:rPr>
              <w:t>Coupon</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vMerge w:val="restart"/>
          </w:tcPr>
          <w:p>
            <w:pPr>
              <w:ind w:left="260"/>
              <w:spacing w:after="0"/>
              <w:rPr>
                <w:sz w:val="20"/>
                <w:szCs w:val="20"/>
                <w:color w:val="auto"/>
              </w:rPr>
            </w:pPr>
            <w:r>
              <w:rPr>
                <w:rFonts w:ascii="Arial" w:cs="Arial" w:eastAsia="Arial" w:hAnsi="Arial"/>
                <w:sz w:val="14"/>
                <w:szCs w:val="14"/>
                <w:b w:val="1"/>
                <w:bCs w:val="1"/>
                <w:color w:val="auto"/>
                <w:w w:val="97"/>
              </w:rPr>
              <w:t xml:space="preserve">Yield </w:t>
            </w:r>
            <w:r>
              <w:rPr>
                <w:rFonts w:ascii="Arial" w:cs="Arial" w:eastAsia="Arial" w:hAnsi="Arial"/>
                <w:sz w:val="8"/>
                <w:szCs w:val="8"/>
                <w:b w:val="1"/>
                <w:bCs w:val="1"/>
                <w:color w:val="auto"/>
                <w:w w:val="97"/>
              </w:rPr>
              <w:t>(1)</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0" w:type="dxa"/>
            <w:vAlign w:val="bottom"/>
            <w:gridSpan w:val="5"/>
          </w:tcPr>
          <w:p>
            <w:pPr>
              <w:jc w:val="center"/>
              <w:ind w:right="600"/>
              <w:spacing w:after="0" w:line="149" w:lineRule="exact"/>
              <w:rPr>
                <w:sz w:val="20"/>
                <w:szCs w:val="20"/>
                <w:color w:val="auto"/>
              </w:rPr>
            </w:pPr>
            <w:r>
              <w:rPr>
                <w:rFonts w:ascii="Arial" w:cs="Arial" w:eastAsia="Arial" w:hAnsi="Arial"/>
                <w:sz w:val="14"/>
                <w:szCs w:val="14"/>
                <w:b w:val="1"/>
                <w:bCs w:val="1"/>
                <w:color w:val="auto"/>
                <w:w w:val="94"/>
              </w:rPr>
              <w:t>Projected Life</w:t>
            </w:r>
          </w:p>
        </w:tc>
        <w:tc>
          <w:tcPr>
            <w:tcW w:w="0" w:type="dxa"/>
            <w:vAlign w:val="bottom"/>
          </w:tcPr>
          <w:p>
            <w:pPr>
              <w:spacing w:after="0"/>
              <w:rPr>
                <w:sz w:val="1"/>
                <w:szCs w:val="1"/>
                <w:color w:val="auto"/>
              </w:rPr>
            </w:pPr>
          </w:p>
        </w:tc>
      </w:tr>
      <w:tr>
        <w:trPr>
          <w:trHeight w:val="198"/>
        </w:trPr>
        <w:tc>
          <w:tcPr>
            <w:tcW w:w="378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3"/>
              </w:rPr>
              <w:t>Balance</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Cost</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gridSpan w:val="4"/>
            <w:vMerge w:val="continue"/>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40" w:type="dxa"/>
            <w:vAlign w:val="bottom"/>
            <w:gridSpan w:val="4"/>
          </w:tcPr>
          <w:p>
            <w:pPr>
              <w:jc w:val="center"/>
              <w:ind w:right="960"/>
              <w:spacing w:after="0" w:line="199" w:lineRule="exact"/>
              <w:rPr>
                <w:sz w:val="20"/>
                <w:szCs w:val="20"/>
                <w:color w:val="auto"/>
              </w:rPr>
            </w:pPr>
            <w:r>
              <w:rPr>
                <w:rFonts w:ascii="Arial" w:cs="Arial" w:eastAsia="Arial" w:hAnsi="Arial"/>
                <w:sz w:val="22"/>
                <w:szCs w:val="22"/>
                <w:b w:val="1"/>
                <w:bCs w:val="1"/>
                <w:color w:val="auto"/>
                <w:vertAlign w:val="subscript"/>
              </w:rPr>
              <w:t>CPR</w:t>
            </w:r>
            <w:r>
              <w:rPr>
                <w:rFonts w:ascii="Arial" w:cs="Arial" w:eastAsia="Arial" w:hAnsi="Arial"/>
                <w:sz w:val="8"/>
                <w:szCs w:val="8"/>
                <w:b w:val="1"/>
                <w:bCs w:val="1"/>
                <w:color w:val="auto"/>
              </w:rPr>
              <w:t xml:space="preserve"> (2)</w:t>
            </w:r>
          </w:p>
        </w:tc>
        <w:tc>
          <w:tcPr>
            <w:tcW w:w="0" w:type="dxa"/>
            <w:vAlign w:val="bottom"/>
          </w:tcPr>
          <w:p>
            <w:pPr>
              <w:spacing w:after="0"/>
              <w:rPr>
                <w:sz w:val="1"/>
                <w:szCs w:val="1"/>
                <w:color w:val="auto"/>
              </w:rPr>
            </w:pPr>
          </w:p>
        </w:tc>
      </w:tr>
      <w:tr>
        <w:trPr>
          <w:trHeight w:val="264"/>
        </w:trPr>
        <w:tc>
          <w:tcPr>
            <w:tcW w:w="3780" w:type="dxa"/>
            <w:vAlign w:val="bottom"/>
            <w:tcBorders>
              <w:top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Interest-Only Strips</w:t>
            </w:r>
          </w:p>
        </w:tc>
        <w:tc>
          <w:tcPr>
            <w:tcW w:w="12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8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58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360" w:type="dxa"/>
            <w:vAlign w:val="bottom"/>
            <w:tcBorders>
              <w:top w:val="single" w:sz="8" w:color="auto"/>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40" w:type="dxa"/>
            <w:vAlign w:val="bottom"/>
            <w:tcBorders>
              <w:top w:val="single" w:sz="8" w:color="auto"/>
            </w:tcBorders>
            <w:shd w:val="clear" w:color="auto" w:fill="CCEEFF"/>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3780" w:type="dxa"/>
            <w:vAlign w:val="bottom"/>
            <w:gridSpan w:val="2"/>
          </w:tcPr>
          <w:p>
            <w:pPr>
              <w:ind w:left="540"/>
              <w:spacing w:after="0"/>
              <w:rPr>
                <w:sz w:val="20"/>
                <w:szCs w:val="20"/>
                <w:color w:val="auto"/>
              </w:rPr>
            </w:pPr>
            <w:r>
              <w:rPr>
                <w:rFonts w:ascii="Arial" w:cs="Arial" w:eastAsia="Arial" w:hAnsi="Arial"/>
                <w:sz w:val="14"/>
                <w:szCs w:val="14"/>
                <w:color w:val="auto"/>
              </w:rPr>
              <w:t>Fannie Mae</w:t>
            </w:r>
          </w:p>
        </w:tc>
        <w:tc>
          <w:tcPr>
            <w:tcW w:w="26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4"/>
                <w:szCs w:val="14"/>
                <w:color w:val="auto"/>
              </w:rPr>
              <w:t>687</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80"/>
              <w:spacing w:after="0"/>
              <w:rPr>
                <w:sz w:val="20"/>
                <w:szCs w:val="20"/>
                <w:color w:val="auto"/>
              </w:rPr>
            </w:pPr>
            <w:r>
              <w:rPr>
                <w:rFonts w:ascii="Arial" w:cs="Arial" w:eastAsia="Arial" w:hAnsi="Arial"/>
                <w:sz w:val="14"/>
                <w:szCs w:val="14"/>
                <w:color w:val="auto"/>
              </w:rPr>
              <w:t>90</w:t>
            </w:r>
          </w:p>
        </w:tc>
        <w:tc>
          <w:tcPr>
            <w:tcW w:w="800" w:type="dxa"/>
            <w:vAlign w:val="bottom"/>
            <w:gridSpan w:val="3"/>
          </w:tcPr>
          <w:p>
            <w:pPr>
              <w:jc w:val="right"/>
              <w:ind w:right="488"/>
              <w:spacing w:after="0"/>
              <w:rPr>
                <w:sz w:val="20"/>
                <w:szCs w:val="20"/>
                <w:color w:val="auto"/>
              </w:rPr>
            </w:pPr>
            <w:r>
              <w:rPr>
                <w:rFonts w:ascii="Arial" w:cs="Arial" w:eastAsia="Arial" w:hAnsi="Arial"/>
                <w:sz w:val="14"/>
                <w:szCs w:val="14"/>
                <w:color w:val="auto"/>
              </w:rPr>
              <w:t>$</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86</w:t>
            </w:r>
          </w:p>
        </w:tc>
        <w:tc>
          <w:tcPr>
            <w:tcW w:w="880" w:type="dxa"/>
            <w:vAlign w:val="bottom"/>
            <w:gridSpan w:val="4"/>
          </w:tcPr>
          <w:p>
            <w:pPr>
              <w:jc w:val="center"/>
              <w:ind w:left="288"/>
              <w:spacing w:after="0"/>
              <w:rPr>
                <w:sz w:val="20"/>
                <w:szCs w:val="20"/>
                <w:color w:val="auto"/>
              </w:rPr>
            </w:pPr>
            <w:r>
              <w:rPr>
                <w:rFonts w:ascii="Arial" w:cs="Arial" w:eastAsia="Arial" w:hAnsi="Arial"/>
                <w:sz w:val="14"/>
                <w:szCs w:val="14"/>
                <w:color w:val="auto"/>
                <w:w w:val="90"/>
              </w:rPr>
              <w:t>5.55%</w:t>
            </w:r>
          </w:p>
        </w:tc>
        <w:tc>
          <w:tcPr>
            <w:tcW w:w="1020" w:type="dxa"/>
            <w:vAlign w:val="bottom"/>
            <w:gridSpan w:val="4"/>
          </w:tcPr>
          <w:p>
            <w:pPr>
              <w:jc w:val="center"/>
              <w:ind w:left="448"/>
              <w:spacing w:after="0"/>
              <w:rPr>
                <w:sz w:val="20"/>
                <w:szCs w:val="20"/>
                <w:color w:val="auto"/>
              </w:rPr>
            </w:pPr>
            <w:r>
              <w:rPr>
                <w:rFonts w:ascii="Arial" w:cs="Arial" w:eastAsia="Arial" w:hAnsi="Arial"/>
                <w:sz w:val="14"/>
                <w:szCs w:val="14"/>
                <w:color w:val="auto"/>
                <w:w w:val="95"/>
              </w:rPr>
              <w:t>6.62%</w:t>
            </w: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40" w:type="dxa"/>
            <w:vAlign w:val="bottom"/>
            <w:gridSpan w:val="3"/>
          </w:tcPr>
          <w:p>
            <w:pPr>
              <w:jc w:val="center"/>
              <w:ind w:right="288"/>
              <w:spacing w:after="0"/>
              <w:rPr>
                <w:sz w:val="20"/>
                <w:szCs w:val="20"/>
                <w:color w:val="auto"/>
              </w:rPr>
            </w:pPr>
            <w:r>
              <w:rPr>
                <w:rFonts w:ascii="Arial" w:cs="Arial" w:eastAsia="Arial" w:hAnsi="Arial"/>
                <w:sz w:val="14"/>
                <w:szCs w:val="14"/>
                <w:color w:val="auto"/>
                <w:w w:val="99"/>
              </w:rPr>
              <w:t>31%</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78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Freddie Mac</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453</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66</w:t>
            </w: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56</w:t>
            </w:r>
          </w:p>
        </w:tc>
        <w:tc>
          <w:tcPr>
            <w:tcW w:w="880" w:type="dxa"/>
            <w:vAlign w:val="bottom"/>
            <w:gridSpan w:val="4"/>
            <w:shd w:val="clear" w:color="auto" w:fill="CCEEFF"/>
          </w:tcPr>
          <w:p>
            <w:pPr>
              <w:jc w:val="center"/>
              <w:ind w:left="288"/>
              <w:spacing w:after="0"/>
              <w:rPr>
                <w:sz w:val="20"/>
                <w:szCs w:val="20"/>
                <w:color w:val="auto"/>
              </w:rPr>
            </w:pPr>
            <w:r>
              <w:rPr>
                <w:rFonts w:ascii="Arial" w:cs="Arial" w:eastAsia="Arial" w:hAnsi="Arial"/>
                <w:sz w:val="14"/>
                <w:szCs w:val="14"/>
                <w:color w:val="auto"/>
                <w:w w:val="90"/>
              </w:rPr>
              <w:t>5.48%</w:t>
            </w:r>
          </w:p>
        </w:tc>
        <w:tc>
          <w:tcPr>
            <w:tcW w:w="1020" w:type="dxa"/>
            <w:vAlign w:val="bottom"/>
            <w:gridSpan w:val="4"/>
            <w:shd w:val="clear" w:color="auto" w:fill="CCEEFF"/>
          </w:tcPr>
          <w:p>
            <w:pPr>
              <w:jc w:val="center"/>
              <w:ind w:left="448"/>
              <w:spacing w:after="0"/>
              <w:rPr>
                <w:sz w:val="20"/>
                <w:szCs w:val="20"/>
                <w:color w:val="auto"/>
              </w:rPr>
            </w:pPr>
            <w:r>
              <w:rPr>
                <w:rFonts w:ascii="Arial" w:cs="Arial" w:eastAsia="Arial" w:hAnsi="Arial"/>
                <w:sz w:val="14"/>
                <w:szCs w:val="14"/>
                <w:color w:val="auto"/>
                <w:w w:val="96"/>
              </w:rPr>
              <w:t>10.35%</w:t>
            </w: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40" w:type="dxa"/>
            <w:vAlign w:val="bottom"/>
            <w:gridSpan w:val="3"/>
            <w:shd w:val="clear" w:color="auto" w:fill="CCEEFF"/>
          </w:tcPr>
          <w:p>
            <w:pPr>
              <w:jc w:val="center"/>
              <w:ind w:right="288"/>
              <w:spacing w:after="0"/>
              <w:rPr>
                <w:sz w:val="20"/>
                <w:szCs w:val="20"/>
                <w:color w:val="auto"/>
              </w:rPr>
            </w:pPr>
            <w:r>
              <w:rPr>
                <w:rFonts w:ascii="Arial" w:cs="Arial" w:eastAsia="Arial" w:hAnsi="Arial"/>
                <w:sz w:val="14"/>
                <w:szCs w:val="14"/>
                <w:color w:val="auto"/>
                <w:w w:val="99"/>
              </w:rPr>
              <w:t>25%</w:t>
            </w: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780" w:type="dxa"/>
            <w:vAlign w:val="bottom"/>
            <w:gridSpan w:val="2"/>
          </w:tcPr>
          <w:p>
            <w:pPr>
              <w:ind w:left="40"/>
              <w:spacing w:after="0"/>
              <w:rPr>
                <w:sz w:val="20"/>
                <w:szCs w:val="20"/>
                <w:color w:val="auto"/>
              </w:rPr>
            </w:pPr>
            <w:r>
              <w:rPr>
                <w:rFonts w:ascii="Arial" w:cs="Arial" w:eastAsia="Arial" w:hAnsi="Arial"/>
                <w:sz w:val="14"/>
                <w:szCs w:val="14"/>
                <w:color w:val="auto"/>
              </w:rPr>
              <w:t>Principal-Only Strips</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Fannie Mae</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40</w:t>
            </w: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35</w:t>
            </w:r>
          </w:p>
        </w:tc>
        <w:tc>
          <w:tcPr>
            <w:tcW w:w="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spacing w:after="0"/>
              <w:rPr>
                <w:sz w:val="23"/>
                <w:szCs w:val="23"/>
                <w:color w:val="auto"/>
              </w:rPr>
            </w:pPr>
          </w:p>
        </w:tc>
        <w:tc>
          <w:tcPr>
            <w:tcW w:w="340" w:type="dxa"/>
            <w:vAlign w:val="bottom"/>
            <w:tcBorders>
              <w:bottom w:val="single" w:sz="8" w:color="auto"/>
            </w:tcBorders>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37</w:t>
            </w:r>
          </w:p>
        </w:tc>
        <w:tc>
          <w:tcPr>
            <w:tcW w:w="8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80" w:type="dxa"/>
            <w:vAlign w:val="bottom"/>
            <w:tcBorders>
              <w:bottom w:val="single" w:sz="8" w:color="auto"/>
            </w:tcBorders>
            <w:gridSpan w:val="2"/>
            <w:shd w:val="clear" w:color="auto" w:fill="CCEEFF"/>
          </w:tcPr>
          <w:p>
            <w:pPr>
              <w:jc w:val="center"/>
              <w:ind w:left="108"/>
              <w:spacing w:after="0"/>
              <w:rPr>
                <w:sz w:val="20"/>
                <w:szCs w:val="20"/>
                <w:color w:val="auto"/>
              </w:rPr>
            </w:pPr>
            <w:r>
              <w:rPr>
                <w:rFonts w:ascii="Arial" w:cs="Arial" w:eastAsia="Arial" w:hAnsi="Arial"/>
                <w:sz w:val="14"/>
                <w:szCs w:val="14"/>
                <w:color w:val="auto"/>
                <w:w w:val="98"/>
              </w:rPr>
              <w:t>—%</w:t>
            </w:r>
          </w:p>
        </w:tc>
        <w:tc>
          <w:tcPr>
            <w:tcW w:w="18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40" w:type="dxa"/>
            <w:vAlign w:val="bottom"/>
            <w:tcBorders>
              <w:bottom w:val="single" w:sz="8" w:color="auto"/>
            </w:tcBorders>
            <w:gridSpan w:val="2"/>
            <w:shd w:val="clear" w:color="auto" w:fill="CCEEFF"/>
          </w:tcPr>
          <w:p>
            <w:pPr>
              <w:jc w:val="center"/>
              <w:ind w:left="168"/>
              <w:spacing w:after="0"/>
              <w:rPr>
                <w:sz w:val="20"/>
                <w:szCs w:val="20"/>
                <w:color w:val="auto"/>
              </w:rPr>
            </w:pPr>
            <w:r>
              <w:rPr>
                <w:rFonts w:ascii="Arial" w:cs="Arial" w:eastAsia="Arial" w:hAnsi="Arial"/>
                <w:sz w:val="14"/>
                <w:szCs w:val="14"/>
                <w:color w:val="auto"/>
                <w:w w:val="95"/>
              </w:rPr>
              <w:t>5.40%</w:t>
            </w:r>
          </w:p>
        </w:tc>
        <w:tc>
          <w:tcPr>
            <w:tcW w:w="2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gridSpan w:val="3"/>
            <w:shd w:val="clear" w:color="auto" w:fill="CCEEFF"/>
          </w:tcPr>
          <w:p>
            <w:pPr>
              <w:jc w:val="center"/>
              <w:ind w:right="288"/>
              <w:spacing w:after="0"/>
              <w:rPr>
                <w:sz w:val="20"/>
                <w:szCs w:val="20"/>
                <w:color w:val="auto"/>
              </w:rPr>
            </w:pPr>
            <w:r>
              <w:rPr>
                <w:rFonts w:ascii="Arial" w:cs="Arial" w:eastAsia="Arial" w:hAnsi="Arial"/>
                <w:sz w:val="14"/>
                <w:szCs w:val="14"/>
                <w:color w:val="auto"/>
                <w:w w:val="99"/>
              </w:rPr>
              <w:t>31%</w:t>
            </w:r>
          </w:p>
        </w:tc>
        <w:tc>
          <w:tcPr>
            <w:tcW w:w="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3780" w:type="dxa"/>
            <w:vAlign w:val="bottom"/>
            <w:gridSpan w:val="2"/>
          </w:tcPr>
          <w:p>
            <w:pPr>
              <w:ind w:left="40"/>
              <w:spacing w:after="0"/>
              <w:rPr>
                <w:sz w:val="20"/>
                <w:szCs w:val="20"/>
                <w:color w:val="auto"/>
              </w:rPr>
            </w:pPr>
            <w:r>
              <w:rPr>
                <w:rFonts w:ascii="Arial" w:cs="Arial" w:eastAsia="Arial" w:hAnsi="Arial"/>
                <w:sz w:val="14"/>
                <w:szCs w:val="14"/>
                <w:color w:val="auto"/>
              </w:rPr>
              <w:t>Total / Weighted Average</w:t>
            </w:r>
          </w:p>
        </w:tc>
        <w:tc>
          <w:tcPr>
            <w:tcW w:w="26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4"/>
                <w:szCs w:val="14"/>
                <w:color w:val="auto"/>
              </w:rPr>
              <w:t>1,180</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80"/>
              <w:spacing w:after="0"/>
              <w:rPr>
                <w:sz w:val="20"/>
                <w:szCs w:val="20"/>
                <w:color w:val="auto"/>
              </w:rPr>
            </w:pPr>
            <w:r>
              <w:rPr>
                <w:rFonts w:ascii="Arial" w:cs="Arial" w:eastAsia="Arial" w:hAnsi="Arial"/>
                <w:sz w:val="14"/>
                <w:szCs w:val="14"/>
                <w:color w:val="auto"/>
              </w:rPr>
              <w:t>191</w:t>
            </w:r>
          </w:p>
        </w:tc>
        <w:tc>
          <w:tcPr>
            <w:tcW w:w="800" w:type="dxa"/>
            <w:vAlign w:val="bottom"/>
            <w:gridSpan w:val="3"/>
          </w:tcPr>
          <w:p>
            <w:pPr>
              <w:jc w:val="right"/>
              <w:ind w:right="488"/>
              <w:spacing w:after="0"/>
              <w:rPr>
                <w:sz w:val="20"/>
                <w:szCs w:val="20"/>
                <w:color w:val="auto"/>
              </w:rPr>
            </w:pPr>
            <w:r>
              <w:rPr>
                <w:rFonts w:ascii="Arial" w:cs="Arial" w:eastAsia="Arial" w:hAnsi="Arial"/>
                <w:sz w:val="14"/>
                <w:szCs w:val="14"/>
                <w:color w:val="auto"/>
              </w:rPr>
              <w:t>$</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179</w:t>
            </w:r>
          </w:p>
        </w:tc>
        <w:tc>
          <w:tcPr>
            <w:tcW w:w="880" w:type="dxa"/>
            <w:vAlign w:val="bottom"/>
            <w:gridSpan w:val="4"/>
          </w:tcPr>
          <w:p>
            <w:pPr>
              <w:jc w:val="center"/>
              <w:ind w:left="288"/>
              <w:spacing w:after="0"/>
              <w:rPr>
                <w:sz w:val="20"/>
                <w:szCs w:val="20"/>
                <w:color w:val="auto"/>
              </w:rPr>
            </w:pPr>
            <w:r>
              <w:rPr>
                <w:rFonts w:ascii="Arial" w:cs="Arial" w:eastAsia="Arial" w:hAnsi="Arial"/>
                <w:sz w:val="14"/>
                <w:szCs w:val="14"/>
                <w:color w:val="auto"/>
                <w:w w:val="90"/>
              </w:rPr>
              <w:t>5.33%</w:t>
            </w:r>
          </w:p>
        </w:tc>
        <w:tc>
          <w:tcPr>
            <w:tcW w:w="1020" w:type="dxa"/>
            <w:vAlign w:val="bottom"/>
            <w:gridSpan w:val="4"/>
          </w:tcPr>
          <w:p>
            <w:pPr>
              <w:jc w:val="center"/>
              <w:ind w:left="448"/>
              <w:spacing w:after="0"/>
              <w:rPr>
                <w:sz w:val="20"/>
                <w:szCs w:val="20"/>
                <w:color w:val="auto"/>
              </w:rPr>
            </w:pPr>
            <w:r>
              <w:rPr>
                <w:rFonts w:ascii="Arial" w:cs="Arial" w:eastAsia="Arial" w:hAnsi="Arial"/>
                <w:sz w:val="14"/>
                <w:szCs w:val="14"/>
                <w:color w:val="auto"/>
                <w:w w:val="95"/>
              </w:rPr>
              <w:t>7.70%</w:t>
            </w: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40" w:type="dxa"/>
            <w:vAlign w:val="bottom"/>
            <w:gridSpan w:val="3"/>
          </w:tcPr>
          <w:p>
            <w:pPr>
              <w:jc w:val="center"/>
              <w:ind w:right="288"/>
              <w:spacing w:after="0"/>
              <w:rPr>
                <w:sz w:val="20"/>
                <w:szCs w:val="20"/>
                <w:color w:val="auto"/>
              </w:rPr>
            </w:pPr>
            <w:r>
              <w:rPr>
                <w:rFonts w:ascii="Arial" w:cs="Arial" w:eastAsia="Arial" w:hAnsi="Arial"/>
                <w:sz w:val="14"/>
                <w:szCs w:val="14"/>
                <w:color w:val="auto"/>
                <w:w w:val="99"/>
              </w:rPr>
              <w:t>29%</w:t>
            </w:r>
          </w:p>
        </w:tc>
        <w:tc>
          <w:tcPr>
            <w:tcW w:w="6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660" w:type="dxa"/>
            <w:vAlign w:val="bottom"/>
            <w:vMerge w:val="restart"/>
          </w:tcPr>
          <w:p>
            <w:pPr>
              <w:spacing w:after="0"/>
              <w:rPr>
                <w:sz w:val="20"/>
                <w:szCs w:val="20"/>
                <w:color w:val="auto"/>
              </w:rPr>
            </w:pPr>
            <w:r>
              <w:rPr>
                <w:rFonts w:ascii="Arial" w:cs="Arial" w:eastAsia="Arial" w:hAnsi="Arial"/>
                <w:sz w:val="18"/>
                <w:szCs w:val="18"/>
                <w:color w:val="auto"/>
              </w:rPr>
              <w:t>______________________</w:t>
            </w: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66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line="260" w:lineRule="auto"/>
        <w:tabs>
          <w:tab w:leader="none" w:pos="660" w:val="left"/>
        </w:tabs>
        <w:numPr>
          <w:ilvl w:val="0"/>
          <w:numId w:val="19"/>
        </w:numPr>
        <w:rPr>
          <w:rFonts w:ascii="Arial" w:cs="Arial" w:eastAsia="Arial" w:hAnsi="Arial"/>
          <w:sz w:val="13"/>
          <w:szCs w:val="13"/>
          <w:color w:val="auto"/>
        </w:rPr>
      </w:pPr>
      <w:r>
        <w:rPr>
          <w:rFonts w:ascii="Arial" w:cs="Arial" w:eastAsia="Arial" w:hAnsi="Arial"/>
          <w:sz w:val="13"/>
          <w:szCs w:val="13"/>
          <w:color w:val="auto"/>
        </w:rPr>
        <w:t>Portfolio yield incorporates a projected life CPR assumption as of December 31, 2011 and a weighted average reset rate for adjustable rate securities of 2.71%, which is equal to a weighted average underlying index rate of 0.94% based on the current spot rate in effect as of the date we acquired the securities and an weighted average margin of 1.77%.</w:t>
      </w:r>
    </w:p>
    <w:p>
      <w:pPr>
        <w:ind w:left="660" w:hanging="328"/>
        <w:spacing w:after="0"/>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Weighted average projected life CPR based on forward rate assumptions as of December 31, 2011.</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 maximum original loan balance of ≤ $150,000. Our lower loan balance securities had a weighted average original loan balance of $102,029 and $108,432 for 15-year and 30-year securities, respectively, as of December 31, 2011.</w:t>
      </w:r>
    </w:p>
    <w:p>
      <w:pPr>
        <w:ind w:left="660" w:hanging="328"/>
        <w:spacing w:after="0" w:line="241" w:lineRule="auto"/>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HARP securities are defined as pools backed by100% refinance loans with LTVs ≥ 80% and ≤ 125%. Our HARP securities had a weighted average LTV of 98% and 97% for 15-year and 30-year securities, respectively, as of December 31, 2011.</w:t>
      </w:r>
    </w:p>
    <w:p>
      <w:pPr>
        <w:ind w:left="660" w:hanging="328"/>
        <w:spacing w:after="0"/>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Other 15-year securities include $687 million of securities backed by loans with original loan balances ≤ $175,000.</w:t>
      </w:r>
    </w:p>
    <w:p>
      <w:pPr>
        <w:spacing w:after="0" w:line="156"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Interest-only agency MBS strips represent the right to receive a specified portion of the contractual interest flows of the underlying unamortized principal balance (“UPB” or “par value”) of specific agency CMO securities. Principal-only agency MBS strips represent the right to receive contractual principal flows of the UPB of specific agency CMO securities. As of September 30, 2012 and December 31, 2011, the combined weighted average yield of our agency MBS portfolio was 2.61% and 3.07%, respectively.</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968" w:right="239" w:bottom="1440" w:gutter="0" w:footer="0" w:header="0"/>
        </w:sectPr>
      </w:pPr>
    </w:p>
    <w:bookmarkStart w:id="30" w:name="page31"/>
    <w:bookmarkEnd w:id="30"/>
    <w:p>
      <w:pPr>
        <w:jc w:val="both"/>
        <w:ind w:right="20" w:firstLine="432"/>
        <w:spacing w:after="0" w:line="308" w:lineRule="auto"/>
        <w:rPr>
          <w:sz w:val="20"/>
          <w:szCs w:val="20"/>
          <w:color w:val="auto"/>
        </w:rPr>
      </w:pPr>
      <w:r>
        <w:rPr>
          <w:rFonts w:ascii="Arial" w:cs="Arial" w:eastAsia="Arial" w:hAnsi="Arial"/>
          <w:sz w:val="17"/>
          <w:szCs w:val="17"/>
          <w:color w:val="auto"/>
        </w:rPr>
        <w:t>The stated contractual final maturity of the mortgage loans underlying our agency MBS portfolio ranges up to 40 years. As of September 30, 2012 and December 31, 2011, the weighted average final contractual maturity of our agency MBS portfolio was 24 and 23 years, respectively.</w:t>
      </w:r>
    </w:p>
    <w:p>
      <w:pPr>
        <w:spacing w:after="0" w:line="93"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The actual maturities of agency MBS are generally shorter than their stated contractual maturities primarily as a result of prepayments of principal of the underlying mortgages. The weighted average expected maturity of our agency MBS portfolio was 4.9 and 5.1 years as of September 30, 2012 and December 31, 2011, respectively. In determining the estimated weighted average years to maturity of our agency MBS and the yield on our agency MBS, we have assumed a weighted average CPR over the remaining life of our agency MBS portfolio of 14% as of September 30, 2012 and December 31, 2011. We amortize or accrete premiums and discounts associated with purchases of our agency MBS into interest income over the estimated life of our securities based on actual and projected CPRs, using the effective yield method. Since the weighted average cost basis of our agency MBS portfolio was 105.4% of par value as of September 30, 2012, slower actual and projected prepayments can have a meaningful positive impact on our asset yields, while faster actual or projected prepayments can have a meaningful negative impact on our asset yields.</w:t>
      </w:r>
    </w:p>
    <w:p>
      <w:pPr>
        <w:spacing w:after="0" w:line="12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agency MBS classified as available-for-sale, at fair value, according to their estimated weighted average life classifications as of September 30, 2012 and December 31, 2011 (dollars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3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rPr>
              <w:t>September 30, 2012</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w w:val="96"/>
              </w:rPr>
              <w:t>December 31, 2011</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3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Amortized</w:t>
            </w:r>
          </w:p>
        </w:tc>
        <w:tc>
          <w:tcPr>
            <w:tcW w:w="114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w w:val="91"/>
              </w:rPr>
              <w:t>Weighted</w:t>
            </w: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Amortized</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436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5"/>
              </w:rPr>
              <w:t>Estimated Weighted Average Life of Agency MBS Classified as AFS</w:t>
            </w:r>
          </w:p>
        </w:tc>
        <w:tc>
          <w:tcPr>
            <w:tcW w:w="180" w:type="dxa"/>
            <w:vAlign w:val="bottom"/>
          </w:tcPr>
          <w:p>
            <w:pPr>
              <w:spacing w:after="0"/>
              <w:rPr>
                <w:sz w:val="12"/>
                <w:szCs w:val="12"/>
                <w:color w:val="auto"/>
              </w:rPr>
            </w:pPr>
          </w:p>
        </w:tc>
        <w:tc>
          <w:tcPr>
            <w:tcW w:w="980" w:type="dxa"/>
            <w:vAlign w:val="bottom"/>
            <w:vMerge w:val="restart"/>
          </w:tcPr>
          <w:p>
            <w:pPr>
              <w:jc w:val="right"/>
              <w:ind w:right="188"/>
              <w:spacing w:after="0"/>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1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Average</w:t>
            </w:r>
          </w:p>
        </w:tc>
        <w:tc>
          <w:tcPr>
            <w:tcW w:w="140" w:type="dxa"/>
            <w:vAlign w:val="bottom"/>
          </w:tcPr>
          <w:p>
            <w:pPr>
              <w:spacing w:after="0"/>
              <w:rPr>
                <w:sz w:val="12"/>
                <w:szCs w:val="12"/>
                <w:color w:val="auto"/>
              </w:rPr>
            </w:pPr>
          </w:p>
        </w:tc>
        <w:tc>
          <w:tcPr>
            <w:tcW w:w="8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436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Coupon</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Coupon</w:t>
            </w:r>
          </w:p>
        </w:tc>
        <w:tc>
          <w:tcPr>
            <w:tcW w:w="0" w:type="dxa"/>
            <w:vAlign w:val="bottom"/>
          </w:tcPr>
          <w:p>
            <w:pPr>
              <w:spacing w:after="0"/>
              <w:rPr>
                <w:sz w:val="1"/>
                <w:szCs w:val="1"/>
                <w:color w:val="auto"/>
              </w:rPr>
            </w:pPr>
          </w:p>
        </w:tc>
      </w:tr>
      <w:tr>
        <w:trPr>
          <w:trHeight w:val="256"/>
        </w:trPr>
        <w:tc>
          <w:tcPr>
            <w:tcW w:w="4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Less than or equal to 1 year</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214</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210</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4.61%</w:t>
            </w:r>
          </w:p>
        </w:tc>
        <w:tc>
          <w:tcPr>
            <w:tcW w:w="0" w:type="dxa"/>
            <w:vAlign w:val="bottom"/>
          </w:tcPr>
          <w:p>
            <w:pPr>
              <w:spacing w:after="0"/>
              <w:rPr>
                <w:sz w:val="1"/>
                <w:szCs w:val="1"/>
                <w:color w:val="auto"/>
              </w:rPr>
            </w:pPr>
          </w:p>
        </w:tc>
      </w:tr>
      <w:tr>
        <w:trPr>
          <w:trHeight w:val="264"/>
        </w:trPr>
        <w:tc>
          <w:tcPr>
            <w:tcW w:w="4360" w:type="dxa"/>
            <w:vAlign w:val="bottom"/>
          </w:tcPr>
          <w:p>
            <w:pPr>
              <w:ind w:left="40"/>
              <w:spacing w:after="0"/>
              <w:rPr>
                <w:sz w:val="20"/>
                <w:szCs w:val="20"/>
                <w:color w:val="auto"/>
              </w:rPr>
            </w:pPr>
            <w:r>
              <w:rPr>
                <w:rFonts w:ascii="Arial" w:cs="Arial" w:eastAsia="Arial" w:hAnsi="Arial"/>
                <w:sz w:val="14"/>
                <w:szCs w:val="14"/>
                <w:color w:val="auto"/>
              </w:rPr>
              <w:t>Greater than 1 year and less than or equal to 3 years</w:t>
            </w:r>
          </w:p>
        </w:tc>
        <w:tc>
          <w:tcPr>
            <w:tcW w:w="18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9,902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9,656</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3.17%</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3,392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3,338</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4.38%</w:t>
            </w:r>
          </w:p>
        </w:tc>
        <w:tc>
          <w:tcPr>
            <w:tcW w:w="0" w:type="dxa"/>
            <w:vAlign w:val="bottom"/>
          </w:tcPr>
          <w:p>
            <w:pPr>
              <w:spacing w:after="0"/>
              <w:rPr>
                <w:sz w:val="1"/>
                <w:szCs w:val="1"/>
                <w:color w:val="auto"/>
              </w:rPr>
            </w:pPr>
          </w:p>
        </w:tc>
      </w:tr>
      <w:tr>
        <w:trPr>
          <w:trHeight w:val="276"/>
        </w:trPr>
        <w:tc>
          <w:tcPr>
            <w:tcW w:w="4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Greater than 3 years and less than or equal to 5 years</w:t>
            </w:r>
          </w:p>
        </w:tc>
        <w:tc>
          <w:tcPr>
            <w:tcW w:w="1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39,737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38,442</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3.66%</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26,168</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25,616</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3.99%</w:t>
            </w:r>
          </w:p>
        </w:tc>
        <w:tc>
          <w:tcPr>
            <w:tcW w:w="0" w:type="dxa"/>
            <w:vAlign w:val="bottom"/>
          </w:tcPr>
          <w:p>
            <w:pPr>
              <w:spacing w:after="0"/>
              <w:rPr>
                <w:sz w:val="1"/>
                <w:szCs w:val="1"/>
                <w:color w:val="auto"/>
              </w:rPr>
            </w:pPr>
          </w:p>
        </w:tc>
      </w:tr>
      <w:tr>
        <w:trPr>
          <w:trHeight w:val="264"/>
        </w:trPr>
        <w:tc>
          <w:tcPr>
            <w:tcW w:w="4360" w:type="dxa"/>
            <w:vAlign w:val="bottom"/>
          </w:tcPr>
          <w:p>
            <w:pPr>
              <w:ind w:left="40"/>
              <w:spacing w:after="0"/>
              <w:rPr>
                <w:sz w:val="20"/>
                <w:szCs w:val="20"/>
                <w:color w:val="auto"/>
              </w:rPr>
            </w:pPr>
            <w:r>
              <w:rPr>
                <w:rFonts w:ascii="Arial" w:cs="Arial" w:eastAsia="Arial" w:hAnsi="Arial"/>
                <w:sz w:val="14"/>
                <w:szCs w:val="14"/>
                <w:color w:val="auto"/>
              </w:rPr>
              <w:t>Greater than 5 years and less than/equal to 10 years</w:t>
            </w:r>
          </w:p>
        </w:tc>
        <w:tc>
          <w:tcPr>
            <w:tcW w:w="18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38,832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37,600</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3.80%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24,710</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24,320</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4.19%</w:t>
            </w:r>
          </w:p>
        </w:tc>
        <w:tc>
          <w:tcPr>
            <w:tcW w:w="0" w:type="dxa"/>
            <w:vAlign w:val="bottom"/>
          </w:tcPr>
          <w:p>
            <w:pPr>
              <w:spacing w:after="0"/>
              <w:rPr>
                <w:sz w:val="1"/>
                <w:szCs w:val="1"/>
                <w:color w:val="auto"/>
              </w:rPr>
            </w:pPr>
          </w:p>
        </w:tc>
      </w:tr>
      <w:tr>
        <w:trPr>
          <w:trHeight w:val="270"/>
        </w:trPr>
        <w:tc>
          <w:tcPr>
            <w:tcW w:w="4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Greater than 10 years</w:t>
            </w:r>
          </w:p>
        </w:tc>
        <w:tc>
          <w:tcPr>
            <w:tcW w:w="18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594</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584</w:t>
            </w:r>
          </w:p>
        </w:tc>
        <w:tc>
          <w:tcPr>
            <w:tcW w:w="10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3.55%</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5.02%</w:t>
            </w:r>
          </w:p>
        </w:tc>
        <w:tc>
          <w:tcPr>
            <w:tcW w:w="0" w:type="dxa"/>
            <w:vAlign w:val="bottom"/>
          </w:tcPr>
          <w:p>
            <w:pPr>
              <w:spacing w:after="0"/>
              <w:rPr>
                <w:sz w:val="1"/>
                <w:szCs w:val="1"/>
                <w:color w:val="auto"/>
              </w:rPr>
            </w:pPr>
          </w:p>
        </w:tc>
      </w:tr>
      <w:tr>
        <w:trPr>
          <w:trHeight w:val="243"/>
        </w:trPr>
        <w:tc>
          <w:tcPr>
            <w:tcW w:w="4360" w:type="dxa"/>
            <w:vAlign w:val="bottom"/>
          </w:tcPr>
          <w:p>
            <w:pPr>
              <w:ind w:left="380"/>
              <w:spacing w:after="0"/>
              <w:rPr>
                <w:sz w:val="20"/>
                <w:szCs w:val="20"/>
                <w:color w:val="auto"/>
              </w:rPr>
            </w:pPr>
            <w:r>
              <w:rPr>
                <w:rFonts w:ascii="Arial" w:cs="Arial" w:eastAsia="Arial" w:hAnsi="Arial"/>
                <w:sz w:val="14"/>
                <w:szCs w:val="14"/>
                <w:color w:val="auto"/>
              </w:rPr>
              <w:t>Total</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89,065</w:t>
            </w:r>
          </w:p>
        </w:tc>
        <w:tc>
          <w:tcPr>
            <w:tcW w:w="3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86,282</w:t>
            </w:r>
          </w:p>
        </w:tc>
        <w:tc>
          <w:tcPr>
            <w:tcW w:w="100" w:type="dxa"/>
            <w:vAlign w:val="bottom"/>
          </w:tcPr>
          <w:p>
            <w:pPr>
              <w:spacing w:after="0"/>
              <w:rPr>
                <w:sz w:val="21"/>
                <w:szCs w:val="21"/>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3.66%</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54,504</w:t>
            </w:r>
          </w:p>
        </w:tc>
        <w:tc>
          <w:tcPr>
            <w:tcW w:w="10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53,503</w:t>
            </w:r>
          </w:p>
        </w:tc>
        <w:tc>
          <w:tcPr>
            <w:tcW w:w="12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4.11%</w:t>
            </w:r>
          </w:p>
        </w:tc>
        <w:tc>
          <w:tcPr>
            <w:tcW w:w="0" w:type="dxa"/>
            <w:vAlign w:val="bottom"/>
          </w:tcPr>
          <w:p>
            <w:pPr>
              <w:spacing w:after="0"/>
              <w:rPr>
                <w:sz w:val="1"/>
                <w:szCs w:val="1"/>
                <w:color w:val="auto"/>
              </w:rPr>
            </w:pPr>
          </w:p>
        </w:tc>
      </w:tr>
      <w:tr>
        <w:trPr>
          <w:trHeight w:val="20"/>
        </w:trPr>
        <w:tc>
          <w:tcPr>
            <w:tcW w:w="43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342" w:lineRule="auto"/>
        <w:rPr>
          <w:sz w:val="20"/>
          <w:szCs w:val="20"/>
          <w:color w:val="auto"/>
        </w:rPr>
      </w:pPr>
      <w:r>
        <w:rPr>
          <w:rFonts w:ascii="Arial" w:cs="Arial" w:eastAsia="Arial" w:hAnsi="Arial"/>
          <w:sz w:val="16"/>
          <w:szCs w:val="16"/>
          <w:color w:val="auto"/>
        </w:rPr>
        <w:t>The weighted average life of our interest-only agency MBS strips was 4.8 and 3.0 years as of September 30, 2012 and December 31, 2011, respectively, and the weighted average life of our principal-only agency MBS strips was 5.6 and 2.6 years as of September 30, 2012 and December 31, 2011, respectively.</w:t>
      </w:r>
    </w:p>
    <w:p>
      <w:pPr>
        <w:spacing w:after="0" w:line="7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September 30, 2012 and December 31, 2011, we held pass-through agency MBS collateralized by adjustable rate mortgage loans ("ARMs") and hybrid ARMs with coupons linked to various indices. Hybrid ARMs are mortgage loans that have interest rates that are fixed for an initial period and, thereafter, reset at regular intervals subject to interest rate caps. The following tables detail the characteristics of our ARM and hybrid ARM agency MBS portfolio by interest rate index as of September 30, 2012 and December 31, 2011 (dollars in millions):</w:t>
      </w:r>
    </w:p>
    <w:p>
      <w:pPr>
        <w:spacing w:after="0" w:line="35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260"/>
              <w:spacing w:after="0"/>
              <w:rPr>
                <w:sz w:val="20"/>
                <w:szCs w:val="20"/>
                <w:color w:val="auto"/>
              </w:rPr>
            </w:pPr>
            <w:r>
              <w:rPr>
                <w:rFonts w:ascii="Arial" w:cs="Arial" w:eastAsia="Arial" w:hAnsi="Arial"/>
                <w:sz w:val="14"/>
                <w:szCs w:val="14"/>
                <w:b w:val="1"/>
                <w:bCs w:val="1"/>
                <w:color w:val="auto"/>
              </w:rPr>
              <w:t>September 30, 2012</w:t>
            </w:r>
          </w:p>
        </w:tc>
        <w:tc>
          <w:tcPr>
            <w:tcW w:w="1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December 31, 2011</w:t>
            </w:r>
          </w:p>
        </w:tc>
        <w:tc>
          <w:tcPr>
            <w:tcW w:w="1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8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3"/>
              </w:rPr>
              <w:t>Twelve-</w:t>
            </w: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80" w:type="dxa"/>
            <w:vAlign w:val="bottom"/>
          </w:tcPr>
          <w:p>
            <w:pPr>
              <w:jc w:val="center"/>
              <w:ind w:right="68"/>
              <w:spacing w:after="0" w:line="153" w:lineRule="exact"/>
              <w:rPr>
                <w:sz w:val="20"/>
                <w:szCs w:val="20"/>
                <w:color w:val="auto"/>
              </w:rPr>
            </w:pPr>
            <w:r>
              <w:rPr>
                <w:rFonts w:ascii="Arial" w:cs="Arial" w:eastAsia="Arial" w:hAnsi="Arial"/>
                <w:sz w:val="14"/>
                <w:szCs w:val="14"/>
                <w:b w:val="1"/>
                <w:bCs w:val="1"/>
                <w:color w:val="auto"/>
                <w:w w:val="93"/>
              </w:rPr>
              <w:t>Twelve-</w:t>
            </w:r>
          </w:p>
        </w:tc>
        <w:tc>
          <w:tcPr>
            <w:tcW w:w="0" w:type="dxa"/>
            <w:vAlign w:val="bottom"/>
          </w:tcPr>
          <w:p>
            <w:pPr>
              <w:spacing w:after="0"/>
              <w:rPr>
                <w:sz w:val="1"/>
                <w:szCs w:val="1"/>
                <w:color w:val="auto"/>
              </w:rPr>
            </w:pPr>
          </w:p>
        </w:tc>
      </w:tr>
      <w:tr>
        <w:trPr>
          <w:trHeight w:val="149"/>
        </w:trPr>
        <w:tc>
          <w:tcPr>
            <w:tcW w:w="3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7"/>
              </w:rPr>
              <w:t>Six-Month</w:t>
            </w:r>
          </w:p>
        </w:tc>
        <w:tc>
          <w:tcPr>
            <w:tcW w:w="140" w:type="dxa"/>
            <w:vAlign w:val="bottom"/>
          </w:tcPr>
          <w:p>
            <w:pPr>
              <w:spacing w:after="0"/>
              <w:rPr>
                <w:sz w:val="12"/>
                <w:szCs w:val="12"/>
                <w:color w:val="auto"/>
              </w:rPr>
            </w:pPr>
          </w:p>
        </w:tc>
        <w:tc>
          <w:tcPr>
            <w:tcW w:w="8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6"/>
              </w:rPr>
              <w:t>One-Year</w:t>
            </w:r>
          </w:p>
        </w:tc>
        <w:tc>
          <w:tcPr>
            <w:tcW w:w="140" w:type="dxa"/>
            <w:vAlign w:val="bottom"/>
          </w:tcPr>
          <w:p>
            <w:pPr>
              <w:spacing w:after="0"/>
              <w:rPr>
                <w:sz w:val="12"/>
                <w:szCs w:val="12"/>
                <w:color w:val="auto"/>
              </w:rPr>
            </w:pPr>
          </w:p>
        </w:tc>
        <w:tc>
          <w:tcPr>
            <w:tcW w:w="9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One-Year</w:t>
            </w:r>
          </w:p>
        </w:tc>
        <w:tc>
          <w:tcPr>
            <w:tcW w:w="160" w:type="dxa"/>
            <w:vAlign w:val="bottom"/>
          </w:tcPr>
          <w:p>
            <w:pPr>
              <w:spacing w:after="0"/>
              <w:rPr>
                <w:sz w:val="12"/>
                <w:szCs w:val="12"/>
                <w:color w:val="auto"/>
              </w:rPr>
            </w:pPr>
          </w:p>
        </w:tc>
        <w:tc>
          <w:tcPr>
            <w:tcW w:w="8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9"/>
              </w:rPr>
              <w:t>Month</w:t>
            </w:r>
          </w:p>
        </w:tc>
        <w:tc>
          <w:tcPr>
            <w:tcW w:w="120" w:type="dxa"/>
            <w:vAlign w:val="bottom"/>
          </w:tcPr>
          <w:p>
            <w:pPr>
              <w:spacing w:after="0"/>
              <w:rPr>
                <w:sz w:val="12"/>
                <w:szCs w:val="12"/>
                <w:color w:val="auto"/>
              </w:rPr>
            </w:pPr>
          </w:p>
        </w:tc>
        <w:tc>
          <w:tcPr>
            <w:tcW w:w="9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7"/>
              </w:rPr>
              <w:t>Six-Month</w:t>
            </w:r>
          </w:p>
        </w:tc>
        <w:tc>
          <w:tcPr>
            <w:tcW w:w="140" w:type="dxa"/>
            <w:vAlign w:val="bottom"/>
          </w:tcPr>
          <w:p>
            <w:pPr>
              <w:spacing w:after="0"/>
              <w:rPr>
                <w:sz w:val="12"/>
                <w:szCs w:val="12"/>
                <w:color w:val="auto"/>
              </w:rPr>
            </w:pPr>
          </w:p>
        </w:tc>
        <w:tc>
          <w:tcPr>
            <w:tcW w:w="9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6"/>
              </w:rPr>
              <w:t>One-Year</w:t>
            </w:r>
          </w:p>
        </w:tc>
        <w:tc>
          <w:tcPr>
            <w:tcW w:w="140" w:type="dxa"/>
            <w:vAlign w:val="bottom"/>
          </w:tcPr>
          <w:p>
            <w:pPr>
              <w:spacing w:after="0"/>
              <w:rPr>
                <w:sz w:val="12"/>
                <w:szCs w:val="12"/>
                <w:color w:val="auto"/>
              </w:rPr>
            </w:pPr>
          </w:p>
        </w:tc>
        <w:tc>
          <w:tcPr>
            <w:tcW w:w="9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One-Year</w:t>
            </w:r>
          </w:p>
        </w:tc>
        <w:tc>
          <w:tcPr>
            <w:tcW w:w="160" w:type="dxa"/>
            <w:vAlign w:val="bottom"/>
          </w:tcPr>
          <w:p>
            <w:pPr>
              <w:spacing w:after="0"/>
              <w:rPr>
                <w:sz w:val="12"/>
                <w:szCs w:val="12"/>
                <w:color w:val="auto"/>
              </w:rPr>
            </w:pPr>
          </w:p>
        </w:tc>
        <w:tc>
          <w:tcPr>
            <w:tcW w:w="780" w:type="dxa"/>
            <w:vAlign w:val="bottom"/>
          </w:tcPr>
          <w:p>
            <w:pPr>
              <w:jc w:val="center"/>
              <w:ind w:right="88"/>
              <w:spacing w:after="0" w:line="149" w:lineRule="exact"/>
              <w:rPr>
                <w:sz w:val="20"/>
                <w:szCs w:val="20"/>
                <w:color w:val="auto"/>
              </w:rPr>
            </w:pPr>
            <w:r>
              <w:rPr>
                <w:rFonts w:ascii="Arial" w:cs="Arial" w:eastAsia="Arial" w:hAnsi="Arial"/>
                <w:sz w:val="14"/>
                <w:szCs w:val="14"/>
                <w:b w:val="1"/>
                <w:bCs w:val="1"/>
                <w:color w:val="auto"/>
                <w:w w:val="99"/>
              </w:rPr>
              <w:t>Month</w:t>
            </w:r>
          </w:p>
        </w:tc>
        <w:tc>
          <w:tcPr>
            <w:tcW w:w="0" w:type="dxa"/>
            <w:vAlign w:val="bottom"/>
          </w:tcPr>
          <w:p>
            <w:pPr>
              <w:spacing w:after="0"/>
              <w:rPr>
                <w:sz w:val="1"/>
                <w:szCs w:val="1"/>
                <w:color w:val="auto"/>
              </w:rPr>
            </w:pPr>
          </w:p>
        </w:tc>
      </w:tr>
      <w:tr>
        <w:trPr>
          <w:trHeight w:val="149"/>
        </w:trPr>
        <w:tc>
          <w:tcPr>
            <w:tcW w:w="3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Treasury</w:t>
            </w:r>
          </w:p>
        </w:tc>
        <w:tc>
          <w:tcPr>
            <w:tcW w:w="12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4"/>
              </w:rPr>
              <w:t>Treasury</w:t>
            </w:r>
          </w:p>
        </w:tc>
        <w:tc>
          <w:tcPr>
            <w:tcW w:w="0" w:type="dxa"/>
            <w:vAlign w:val="bottom"/>
          </w:tcPr>
          <w:p>
            <w:pPr>
              <w:spacing w:after="0"/>
              <w:rPr>
                <w:sz w:val="1"/>
                <w:szCs w:val="1"/>
                <w:color w:val="auto"/>
              </w:rPr>
            </w:pPr>
          </w:p>
        </w:tc>
      </w:tr>
      <w:tr>
        <w:trPr>
          <w:trHeight w:val="192"/>
        </w:trPr>
        <w:tc>
          <w:tcPr>
            <w:tcW w:w="3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7"/>
              </w:rPr>
              <w:t>Libor</w:t>
            </w:r>
          </w:p>
        </w:tc>
        <w:tc>
          <w:tcPr>
            <w:tcW w:w="140" w:type="dxa"/>
            <w:vAlign w:val="bottom"/>
          </w:tcPr>
          <w:p>
            <w:pPr>
              <w:spacing w:after="0"/>
              <w:rPr>
                <w:sz w:val="16"/>
                <w:szCs w:val="16"/>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Libor</w:t>
            </w:r>
          </w:p>
        </w:tc>
        <w:tc>
          <w:tcPr>
            <w:tcW w:w="140" w:type="dxa"/>
            <w:vAlign w:val="bottom"/>
          </w:tcPr>
          <w:p>
            <w:pPr>
              <w:spacing w:after="0"/>
              <w:rPr>
                <w:sz w:val="16"/>
                <w:szCs w:val="16"/>
                <w:color w:val="auto"/>
              </w:rPr>
            </w:pPr>
          </w:p>
        </w:tc>
        <w:tc>
          <w:tcPr>
            <w:tcW w:w="900" w:type="dxa"/>
            <w:vAlign w:val="bottom"/>
            <w:gridSpan w:val="2"/>
          </w:tcPr>
          <w:p>
            <w:pPr>
              <w:ind w:left="60"/>
              <w:spacing w:after="0"/>
              <w:rPr>
                <w:sz w:val="20"/>
                <w:szCs w:val="20"/>
                <w:color w:val="auto"/>
              </w:rPr>
            </w:pPr>
            <w:r>
              <w:rPr>
                <w:rFonts w:ascii="Arial" w:cs="Arial" w:eastAsia="Arial" w:hAnsi="Arial"/>
                <w:sz w:val="14"/>
                <w:szCs w:val="14"/>
                <w:b w:val="1"/>
                <w:bCs w:val="1"/>
                <w:color w:val="auto"/>
              </w:rPr>
              <w:t>Treasury</w:t>
            </w:r>
          </w:p>
        </w:tc>
        <w:tc>
          <w:tcPr>
            <w:tcW w:w="160" w:type="dxa"/>
            <w:vAlign w:val="bottom"/>
          </w:tcPr>
          <w:p>
            <w:pPr>
              <w:spacing w:after="0"/>
              <w:rPr>
                <w:sz w:val="16"/>
                <w:szCs w:val="16"/>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6"/>
                <w:szCs w:val="16"/>
                <w:color w:val="auto"/>
              </w:rPr>
            </w:pPr>
          </w:p>
        </w:tc>
        <w:tc>
          <w:tcPr>
            <w:tcW w:w="9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Libor</w:t>
            </w:r>
          </w:p>
        </w:tc>
        <w:tc>
          <w:tcPr>
            <w:tcW w:w="140" w:type="dxa"/>
            <w:vAlign w:val="bottom"/>
          </w:tcPr>
          <w:p>
            <w:pPr>
              <w:spacing w:after="0"/>
              <w:rPr>
                <w:sz w:val="16"/>
                <w:szCs w:val="16"/>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Libor</w:t>
            </w:r>
          </w:p>
        </w:tc>
        <w:tc>
          <w:tcPr>
            <w:tcW w:w="140" w:type="dxa"/>
            <w:vAlign w:val="bottom"/>
          </w:tcPr>
          <w:p>
            <w:pPr>
              <w:spacing w:after="0"/>
              <w:rPr>
                <w:sz w:val="16"/>
                <w:szCs w:val="16"/>
                <w:color w:val="auto"/>
              </w:rPr>
            </w:pPr>
          </w:p>
        </w:tc>
        <w:tc>
          <w:tcPr>
            <w:tcW w:w="900" w:type="dxa"/>
            <w:vAlign w:val="bottom"/>
            <w:gridSpan w:val="2"/>
          </w:tcPr>
          <w:p>
            <w:pPr>
              <w:ind w:left="60"/>
              <w:spacing w:after="0"/>
              <w:rPr>
                <w:sz w:val="20"/>
                <w:szCs w:val="20"/>
                <w:color w:val="auto"/>
              </w:rPr>
            </w:pPr>
            <w:r>
              <w:rPr>
                <w:rFonts w:ascii="Arial" w:cs="Arial" w:eastAsia="Arial" w:hAnsi="Arial"/>
                <w:sz w:val="14"/>
                <w:szCs w:val="14"/>
                <w:b w:val="1"/>
                <w:bCs w:val="1"/>
                <w:color w:val="auto"/>
              </w:rPr>
              <w:t>Treasury</w:t>
            </w:r>
          </w:p>
        </w:tc>
        <w:tc>
          <w:tcPr>
            <w:tcW w:w="160" w:type="dxa"/>
            <w:vAlign w:val="bottom"/>
          </w:tcPr>
          <w:p>
            <w:pPr>
              <w:spacing w:after="0"/>
              <w:rPr>
                <w:sz w:val="16"/>
                <w:szCs w:val="16"/>
                <w:color w:val="auto"/>
              </w:rPr>
            </w:pPr>
          </w:p>
        </w:tc>
        <w:tc>
          <w:tcPr>
            <w:tcW w:w="780" w:type="dxa"/>
            <w:vAlign w:val="bottom"/>
          </w:tcPr>
          <w:p>
            <w:pPr>
              <w:jc w:val="center"/>
              <w:ind w:right="88"/>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256"/>
        </w:trPr>
        <w:tc>
          <w:tcPr>
            <w:tcW w:w="322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term to next reset (months)</w:t>
            </w:r>
          </w:p>
        </w:tc>
        <w:tc>
          <w:tcPr>
            <w:tcW w:w="120" w:type="dxa"/>
            <w:vAlign w:val="bottom"/>
            <w:tcBorders>
              <w:top w:val="single" w:sz="8" w:color="auto"/>
            </w:tcBorders>
            <w:shd w:val="clear" w:color="auto" w:fill="CCEEFF"/>
          </w:tcPr>
          <w:p>
            <w:pPr>
              <w:spacing w:after="0"/>
              <w:rPr>
                <w:sz w:val="22"/>
                <w:szCs w:val="22"/>
                <w:color w:val="auto"/>
              </w:rPr>
            </w:pPr>
          </w:p>
        </w:tc>
        <w:tc>
          <w:tcPr>
            <w:tcW w:w="82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27</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63</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80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41</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25</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8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33</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80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75</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80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45</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264"/>
        </w:trPr>
        <w:tc>
          <w:tcPr>
            <w:tcW w:w="3220" w:type="dxa"/>
            <w:vAlign w:val="bottom"/>
          </w:tcPr>
          <w:p>
            <w:pPr>
              <w:ind w:left="40"/>
              <w:spacing w:after="0"/>
              <w:rPr>
                <w:sz w:val="20"/>
                <w:szCs w:val="20"/>
                <w:color w:val="auto"/>
              </w:rPr>
            </w:pPr>
            <w:r>
              <w:rPr>
                <w:rFonts w:ascii="Arial" w:cs="Arial" w:eastAsia="Arial" w:hAnsi="Arial"/>
                <w:sz w:val="14"/>
                <w:szCs w:val="14"/>
                <w:color w:val="auto"/>
              </w:rPr>
              <w:t>Weighted average margin</w:t>
            </w:r>
          </w:p>
        </w:tc>
        <w:tc>
          <w:tcPr>
            <w:tcW w:w="1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1.78%</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1.56%</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1.84%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1.79%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1.72%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1.83%</w:t>
            </w:r>
          </w:p>
        </w:tc>
        <w:tc>
          <w:tcPr>
            <w:tcW w:w="0" w:type="dxa"/>
            <w:vAlign w:val="bottom"/>
          </w:tcPr>
          <w:p>
            <w:pPr>
              <w:spacing w:after="0"/>
              <w:rPr>
                <w:sz w:val="1"/>
                <w:szCs w:val="1"/>
                <w:color w:val="auto"/>
              </w:rPr>
            </w:pPr>
          </w:p>
        </w:tc>
      </w:tr>
      <w:tr>
        <w:trPr>
          <w:trHeight w:val="276"/>
        </w:trPr>
        <w:tc>
          <w:tcPr>
            <w:tcW w:w="3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Weighted average annual period cap</w:t>
            </w: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64"/>
        </w:trPr>
        <w:tc>
          <w:tcPr>
            <w:tcW w:w="3220" w:type="dxa"/>
            <w:vAlign w:val="bottom"/>
          </w:tcPr>
          <w:p>
            <w:pPr>
              <w:ind w:left="40"/>
              <w:spacing w:after="0"/>
              <w:rPr>
                <w:sz w:val="20"/>
                <w:szCs w:val="20"/>
                <w:color w:val="auto"/>
              </w:rPr>
            </w:pPr>
            <w:r>
              <w:rPr>
                <w:rFonts w:ascii="Arial" w:cs="Arial" w:eastAsia="Arial" w:hAnsi="Arial"/>
                <w:sz w:val="14"/>
                <w:szCs w:val="14"/>
                <w:color w:val="auto"/>
              </w:rPr>
              <w:t>Weighted average lifetime cap</w:t>
            </w:r>
          </w:p>
        </w:tc>
        <w:tc>
          <w:tcPr>
            <w:tcW w:w="1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10.60%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9.25%</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8.92%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10.11%</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10.59%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9.25%</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9.25%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10.07%</w:t>
            </w:r>
          </w:p>
        </w:tc>
        <w:tc>
          <w:tcPr>
            <w:tcW w:w="0" w:type="dxa"/>
            <w:vAlign w:val="bottom"/>
          </w:tcPr>
          <w:p>
            <w:pPr>
              <w:spacing w:after="0"/>
              <w:rPr>
                <w:sz w:val="1"/>
                <w:szCs w:val="1"/>
                <w:color w:val="auto"/>
              </w:rPr>
            </w:pPr>
          </w:p>
        </w:tc>
      </w:tr>
      <w:tr>
        <w:trPr>
          <w:trHeight w:val="276"/>
        </w:trPr>
        <w:tc>
          <w:tcPr>
            <w:tcW w:w="3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Principal amount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73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423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281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1,967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366</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199</w:t>
            </w:r>
          </w:p>
        </w:tc>
        <w:tc>
          <w:tcPr>
            <w:tcW w:w="0" w:type="dxa"/>
            <w:vAlign w:val="bottom"/>
          </w:tcPr>
          <w:p>
            <w:pPr>
              <w:spacing w:after="0"/>
              <w:rPr>
                <w:sz w:val="1"/>
                <w:szCs w:val="1"/>
                <w:color w:val="auto"/>
              </w:rPr>
            </w:pPr>
          </w:p>
        </w:tc>
      </w:tr>
      <w:tr>
        <w:trPr>
          <w:trHeight w:val="258"/>
        </w:trPr>
        <w:tc>
          <w:tcPr>
            <w:tcW w:w="3220" w:type="dxa"/>
            <w:vAlign w:val="bottom"/>
          </w:tcPr>
          <w:p>
            <w:pPr>
              <w:ind w:left="40"/>
              <w:spacing w:after="0"/>
              <w:rPr>
                <w:sz w:val="20"/>
                <w:szCs w:val="20"/>
                <w:color w:val="auto"/>
              </w:rPr>
            </w:pPr>
            <w:r>
              <w:rPr>
                <w:rFonts w:ascii="Arial" w:cs="Arial" w:eastAsia="Arial" w:hAnsi="Arial"/>
                <w:sz w:val="14"/>
                <w:szCs w:val="14"/>
                <w:color w:val="auto"/>
              </w:rPr>
              <w:t>Percentage of investment portfolio at par value</w:t>
            </w:r>
          </w:p>
        </w:tc>
        <w:tc>
          <w:tcPr>
            <w:tcW w:w="1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0.09%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0.51%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0.34%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0.18%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0.19%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3.84%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0.71%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0.38%</w:t>
            </w:r>
          </w:p>
        </w:tc>
        <w:tc>
          <w:tcPr>
            <w:tcW w:w="0" w:type="dxa"/>
            <w:vAlign w:val="bottom"/>
          </w:tcPr>
          <w:p>
            <w:pPr>
              <w:spacing w:after="0"/>
              <w:rPr>
                <w:sz w:val="1"/>
                <w:szCs w:val="1"/>
                <w:color w:val="auto"/>
              </w:rPr>
            </w:pPr>
          </w:p>
        </w:tc>
      </w:tr>
    </w:tbl>
    <w:p>
      <w:pPr>
        <w:spacing w:after="0" w:line="32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table details the number of months to the next reset for our pass-through agency MBS collateralized by ARMs and hybrid ARMs as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2012 and December 31, 2011 (dollars in millions):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746" w:right="239" w:bottom="1440" w:gutter="0" w:footer="0" w:header="0"/>
        </w:sectPr>
      </w:pPr>
    </w:p>
    <w:bookmarkStart w:id="31" w:name="page32"/>
    <w:bookmarkEnd w:id="31"/>
    <w:tbl>
      <w:tblPr>
        <w:tblLayout w:type="fixed"/>
        <w:tblInd w:w="80" w:type="dxa"/>
        <w:tblCellMar>
          <w:top w:w="0" w:type="dxa"/>
          <w:left w:w="0" w:type="dxa"/>
          <w:bottom w:w="0" w:type="dxa"/>
          <w:right w:w="0" w:type="dxa"/>
        </w:tblCellMar>
      </w:tblPr>
      <w:tr>
        <w:trPr>
          <w:trHeight w:val="192"/>
        </w:trPr>
        <w:tc>
          <w:tcPr>
            <w:tcW w:w="45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4"/>
          </w:tcPr>
          <w:p>
            <w:pPr>
              <w:ind w:left="860"/>
              <w:spacing w:after="0"/>
              <w:rPr>
                <w:sz w:val="20"/>
                <w:szCs w:val="20"/>
                <w:color w:val="auto"/>
              </w:rPr>
            </w:pPr>
            <w:r>
              <w:rPr>
                <w:rFonts w:ascii="Arial" w:cs="Arial" w:eastAsia="Arial" w:hAnsi="Arial"/>
                <w:sz w:val="14"/>
                <w:szCs w:val="14"/>
                <w:b w:val="1"/>
                <w:bCs w:val="1"/>
                <w:color w:val="auto"/>
              </w:rPr>
              <w:t>September 30, 2012</w:t>
            </w:r>
          </w:p>
        </w:tc>
        <w:tc>
          <w:tcPr>
            <w:tcW w:w="8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3"/>
              </w:rPr>
              <w:t>December 31, 2011</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5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vMerge w:val="restart"/>
          </w:tcPr>
          <w:p>
            <w:pPr>
              <w:jc w:val="right"/>
              <w:ind w:right="228"/>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92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 Total</w:t>
            </w:r>
          </w:p>
        </w:tc>
        <w:tc>
          <w:tcPr>
            <w:tcW w:w="120" w:type="dxa"/>
            <w:vAlign w:val="bottom"/>
            <w:vMerge w:val="restart"/>
          </w:tcPr>
          <w:p>
            <w:pPr>
              <w:spacing w:after="0"/>
              <w:rPr>
                <w:sz w:val="13"/>
                <w:szCs w:val="13"/>
                <w:color w:val="auto"/>
              </w:rPr>
            </w:pPr>
          </w:p>
        </w:tc>
        <w:tc>
          <w:tcPr>
            <w:tcW w:w="1100" w:type="dxa"/>
            <w:vAlign w:val="bottom"/>
            <w:gridSpan w:val="2"/>
          </w:tcPr>
          <w:p>
            <w:pPr>
              <w:ind w:left="180"/>
              <w:spacing w:after="0" w:line="153" w:lineRule="exact"/>
              <w:rPr>
                <w:sz w:val="20"/>
                <w:szCs w:val="20"/>
                <w:color w:val="auto"/>
              </w:rPr>
            </w:pPr>
            <w:r>
              <w:rPr>
                <w:rFonts w:ascii="Arial" w:cs="Arial" w:eastAsia="Arial" w:hAnsi="Arial"/>
                <w:sz w:val="14"/>
                <w:szCs w:val="14"/>
                <w:b w:val="1"/>
                <w:bCs w:val="1"/>
                <w:color w:val="auto"/>
              </w:rPr>
              <w:t>Average</w:t>
            </w:r>
          </w:p>
        </w:tc>
        <w:tc>
          <w:tcPr>
            <w:tcW w:w="160" w:type="dxa"/>
            <w:vAlign w:val="bottom"/>
          </w:tcPr>
          <w:p>
            <w:pPr>
              <w:spacing w:after="0"/>
              <w:rPr>
                <w:sz w:val="13"/>
                <w:szCs w:val="13"/>
                <w:color w:val="auto"/>
              </w:rPr>
            </w:pPr>
          </w:p>
        </w:tc>
        <w:tc>
          <w:tcPr>
            <w:tcW w:w="86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rPr>
              <w:t>Fair Value</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 Total</w:t>
            </w:r>
          </w:p>
        </w:tc>
        <w:tc>
          <w:tcPr>
            <w:tcW w:w="120" w:type="dxa"/>
            <w:vAlign w:val="bottom"/>
            <w:vMerge w:val="restart"/>
          </w:tcPr>
          <w:p>
            <w:pPr>
              <w:spacing w:after="0"/>
              <w:rPr>
                <w:sz w:val="13"/>
                <w:szCs w:val="13"/>
                <w:color w:val="auto"/>
              </w:rPr>
            </w:pPr>
          </w:p>
        </w:tc>
        <w:tc>
          <w:tcPr>
            <w:tcW w:w="1000" w:type="dxa"/>
            <w:vAlign w:val="bottom"/>
          </w:tcPr>
          <w:p>
            <w:pPr>
              <w:jc w:val="right"/>
              <w:ind w:right="188"/>
              <w:spacing w:after="0" w:line="153"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92"/>
        </w:trPr>
        <w:tc>
          <w:tcPr>
            <w:tcW w:w="45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8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Reset</w:t>
            </w:r>
          </w:p>
        </w:tc>
        <w:tc>
          <w:tcPr>
            <w:tcW w:w="2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Reset</w:t>
            </w:r>
          </w:p>
        </w:tc>
        <w:tc>
          <w:tcPr>
            <w:tcW w:w="0" w:type="dxa"/>
            <w:vAlign w:val="bottom"/>
          </w:tcPr>
          <w:p>
            <w:pPr>
              <w:spacing w:after="0"/>
              <w:rPr>
                <w:sz w:val="1"/>
                <w:szCs w:val="1"/>
                <w:color w:val="auto"/>
              </w:rPr>
            </w:pPr>
          </w:p>
        </w:tc>
      </w:tr>
      <w:tr>
        <w:trPr>
          <w:trHeight w:val="256"/>
        </w:trPr>
        <w:tc>
          <w:tcPr>
            <w:tcW w:w="4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Less than 1 year</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100</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w:t>
            </w:r>
          </w:p>
        </w:tc>
        <w:tc>
          <w:tcPr>
            <w:tcW w:w="2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264"/>
        </w:trPr>
        <w:tc>
          <w:tcPr>
            <w:tcW w:w="4520" w:type="dxa"/>
            <w:vAlign w:val="bottom"/>
          </w:tcPr>
          <w:p>
            <w:pPr>
              <w:ind w:left="20"/>
              <w:spacing w:after="0"/>
              <w:rPr>
                <w:sz w:val="20"/>
                <w:szCs w:val="20"/>
                <w:color w:val="auto"/>
              </w:rPr>
            </w:pPr>
            <w:r>
              <w:rPr>
                <w:rFonts w:ascii="Arial" w:cs="Arial" w:eastAsia="Arial" w:hAnsi="Arial"/>
                <w:sz w:val="14"/>
                <w:szCs w:val="14"/>
                <w:color w:val="auto"/>
              </w:rPr>
              <w:t>Greater than or equal to 1 year and less than 2 years</w:t>
            </w:r>
          </w:p>
        </w:tc>
        <w:tc>
          <w:tcPr>
            <w:tcW w:w="20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57</w:t>
            </w:r>
          </w:p>
        </w:tc>
        <w:tc>
          <w:tcPr>
            <w:tcW w:w="1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15</w:t>
            </w:r>
          </w:p>
        </w:tc>
        <w:tc>
          <w:tcPr>
            <w:tcW w:w="2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156</w:t>
            </w:r>
          </w:p>
        </w:tc>
        <w:tc>
          <w:tcPr>
            <w:tcW w:w="1120" w:type="dxa"/>
            <w:vAlign w:val="bottom"/>
            <w:gridSpan w:val="3"/>
          </w:tcPr>
          <w:p>
            <w:pPr>
              <w:jc w:val="right"/>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276"/>
        </w:trPr>
        <w:tc>
          <w:tcPr>
            <w:tcW w:w="4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Greater than or equal to 2 years and less than 3 years</w:t>
            </w:r>
          </w:p>
        </w:tc>
        <w:tc>
          <w:tcPr>
            <w:tcW w:w="2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w:t>
            </w:r>
          </w:p>
        </w:tc>
        <w:tc>
          <w:tcPr>
            <w:tcW w:w="2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w:t>
            </w: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264"/>
        </w:trPr>
        <w:tc>
          <w:tcPr>
            <w:tcW w:w="4520" w:type="dxa"/>
            <w:vAlign w:val="bottom"/>
          </w:tcPr>
          <w:p>
            <w:pPr>
              <w:ind w:left="20"/>
              <w:spacing w:after="0"/>
              <w:rPr>
                <w:sz w:val="20"/>
                <w:szCs w:val="20"/>
                <w:color w:val="auto"/>
              </w:rPr>
            </w:pPr>
            <w:r>
              <w:rPr>
                <w:rFonts w:ascii="Arial" w:cs="Arial" w:eastAsia="Arial" w:hAnsi="Arial"/>
                <w:sz w:val="14"/>
                <w:szCs w:val="14"/>
                <w:color w:val="auto"/>
              </w:rPr>
              <w:t>Greater than or equal to 3 years and less than 5 years</w:t>
            </w:r>
          </w:p>
        </w:tc>
        <w:tc>
          <w:tcPr>
            <w:tcW w:w="20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228</w:t>
            </w:r>
          </w:p>
        </w:tc>
        <w:tc>
          <w:tcPr>
            <w:tcW w:w="1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23%</w:t>
            </w: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51</w:t>
            </w:r>
          </w:p>
        </w:tc>
        <w:tc>
          <w:tcPr>
            <w:tcW w:w="2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479</w:t>
            </w:r>
          </w:p>
        </w:tc>
        <w:tc>
          <w:tcPr>
            <w:tcW w:w="1120" w:type="dxa"/>
            <w:vAlign w:val="bottom"/>
            <w:gridSpan w:val="3"/>
          </w:tcPr>
          <w:p>
            <w:pPr>
              <w:jc w:val="right"/>
              <w:spacing w:after="0"/>
              <w:rPr>
                <w:sz w:val="20"/>
                <w:szCs w:val="20"/>
                <w:color w:val="auto"/>
              </w:rPr>
            </w:pPr>
            <w:r>
              <w:rPr>
                <w:rFonts w:ascii="Arial" w:cs="Arial" w:eastAsia="Arial" w:hAnsi="Arial"/>
                <w:sz w:val="14"/>
                <w:szCs w:val="14"/>
                <w:color w:val="auto"/>
              </w:rPr>
              <w:t>17%</w:t>
            </w:r>
          </w:p>
        </w:tc>
        <w:tc>
          <w:tcPr>
            <w:tcW w:w="12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48</w:t>
            </w:r>
          </w:p>
        </w:tc>
        <w:tc>
          <w:tcPr>
            <w:tcW w:w="0" w:type="dxa"/>
            <w:vAlign w:val="bottom"/>
          </w:tcPr>
          <w:p>
            <w:pPr>
              <w:spacing w:after="0"/>
              <w:rPr>
                <w:sz w:val="1"/>
                <w:szCs w:val="1"/>
                <w:color w:val="auto"/>
              </w:rPr>
            </w:pPr>
          </w:p>
        </w:tc>
      </w:tr>
      <w:tr>
        <w:trPr>
          <w:trHeight w:val="270"/>
        </w:trPr>
        <w:tc>
          <w:tcPr>
            <w:tcW w:w="4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Greater than or equal to 5 years</w:t>
            </w:r>
          </w:p>
        </w:tc>
        <w:tc>
          <w:tcPr>
            <w:tcW w:w="2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320</w:t>
            </w:r>
          </w:p>
        </w:tc>
        <w:tc>
          <w:tcPr>
            <w:tcW w:w="120" w:type="dxa"/>
            <w:vAlign w:val="bottom"/>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20" w:type="dxa"/>
            <w:vAlign w:val="bottom"/>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82</w:t>
            </w:r>
          </w:p>
        </w:tc>
        <w:tc>
          <w:tcPr>
            <w:tcW w:w="2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1,713</w:t>
            </w:r>
          </w:p>
        </w:tc>
        <w:tc>
          <w:tcPr>
            <w:tcW w:w="8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w:t>
            </w:r>
          </w:p>
        </w:tc>
        <w:tc>
          <w:tcPr>
            <w:tcW w:w="120" w:type="dxa"/>
            <w:vAlign w:val="bottom"/>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85</w:t>
            </w:r>
          </w:p>
        </w:tc>
        <w:tc>
          <w:tcPr>
            <w:tcW w:w="0" w:type="dxa"/>
            <w:vAlign w:val="bottom"/>
          </w:tcPr>
          <w:p>
            <w:pPr>
              <w:spacing w:after="0"/>
              <w:rPr>
                <w:sz w:val="1"/>
                <w:szCs w:val="1"/>
                <w:color w:val="auto"/>
              </w:rPr>
            </w:pPr>
          </w:p>
        </w:tc>
      </w:tr>
      <w:tr>
        <w:trPr>
          <w:trHeight w:val="243"/>
        </w:trPr>
        <w:tc>
          <w:tcPr>
            <w:tcW w:w="4520" w:type="dxa"/>
            <w:vAlign w:val="bottom"/>
          </w:tcPr>
          <w:p>
            <w:pPr>
              <w:ind w:left="20"/>
              <w:spacing w:after="0"/>
              <w:rPr>
                <w:sz w:val="20"/>
                <w:szCs w:val="20"/>
                <w:color w:val="auto"/>
              </w:rPr>
            </w:pPr>
            <w:r>
              <w:rPr>
                <w:rFonts w:ascii="Arial" w:cs="Arial" w:eastAsia="Arial" w:hAnsi="Arial"/>
                <w:sz w:val="14"/>
                <w:szCs w:val="14"/>
                <w:color w:val="auto"/>
              </w:rPr>
              <w:t>Total / Weighted Average</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992</w:t>
            </w:r>
          </w:p>
        </w:tc>
        <w:tc>
          <w:tcPr>
            <w:tcW w:w="1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100%</w:t>
            </w:r>
          </w:p>
        </w:tc>
        <w:tc>
          <w:tcPr>
            <w:tcW w:w="12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47</w:t>
            </w:r>
          </w:p>
        </w:tc>
        <w:tc>
          <w:tcPr>
            <w:tcW w:w="2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2,774</w:t>
            </w:r>
          </w:p>
        </w:tc>
        <w:tc>
          <w:tcPr>
            <w:tcW w:w="1120" w:type="dxa"/>
            <w:vAlign w:val="bottom"/>
            <w:gridSpan w:val="3"/>
          </w:tcPr>
          <w:p>
            <w:pPr>
              <w:jc w:val="right"/>
              <w:spacing w:after="0"/>
              <w:rPr>
                <w:sz w:val="20"/>
                <w:szCs w:val="20"/>
                <w:color w:val="auto"/>
              </w:rPr>
            </w:pPr>
            <w:r>
              <w:rPr>
                <w:rFonts w:ascii="Arial" w:cs="Arial" w:eastAsia="Arial" w:hAnsi="Arial"/>
                <w:sz w:val="14"/>
                <w:szCs w:val="14"/>
                <w:color w:val="auto"/>
              </w:rPr>
              <w:t>100%</w:t>
            </w:r>
          </w:p>
        </w:tc>
        <w:tc>
          <w:tcPr>
            <w:tcW w:w="120" w:type="dxa"/>
            <w:vAlign w:val="bottom"/>
          </w:tcPr>
          <w:p>
            <w:pPr>
              <w:spacing w:after="0"/>
              <w:rPr>
                <w:sz w:val="21"/>
                <w:szCs w:val="21"/>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66</w:t>
            </w:r>
          </w:p>
        </w:tc>
        <w:tc>
          <w:tcPr>
            <w:tcW w:w="0" w:type="dxa"/>
            <w:vAlign w:val="bottom"/>
          </w:tcPr>
          <w:p>
            <w:pPr>
              <w:spacing w:after="0"/>
              <w:rPr>
                <w:sz w:val="1"/>
                <w:szCs w:val="1"/>
                <w:color w:val="auto"/>
              </w:rPr>
            </w:pPr>
          </w:p>
        </w:tc>
      </w:tr>
      <w:tr>
        <w:trPr>
          <w:trHeight w:val="20"/>
        </w:trPr>
        <w:tc>
          <w:tcPr>
            <w:tcW w:w="45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 of September 30, 2012 and December 31, 2011, we did not have investments in agency debenture securities.</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jc w:val="both"/>
        <w:ind w:firstLine="405"/>
        <w:spacing w:after="0" w:line="288" w:lineRule="auto"/>
        <w:rPr>
          <w:sz w:val="20"/>
          <w:szCs w:val="20"/>
          <w:color w:val="auto"/>
        </w:rPr>
      </w:pPr>
      <w:r>
        <w:rPr>
          <w:rFonts w:ascii="Arial" w:cs="Arial" w:eastAsia="Arial" w:hAnsi="Arial"/>
          <w:sz w:val="16"/>
          <w:szCs w:val="16"/>
          <w:color w:val="auto"/>
        </w:rPr>
        <w:t>In addition to the results presented in accordance with GAAP, our results of operations discussed below include certain non-GAAP financial information, including adjusted net interest expense, net spread income and estimated taxable income and certain financial metrics derived from non-GAAP information, such as cost of funds and estimated undistributed taxable income. By providing users of our financial information with such measures in addition to the related GAAP measures, we believe it gives users greater transparency into the information used by our management in its financial and operational decision-making and, in the case of estimated taxable income, information that is directly related to the amount of dividends we are required to distribute in order to maintain our REIT qualification status. However, because such measures are incomplete measures of our financial performance and involve differences from results computed in accordance with GAAP, they should be considered as supplementary to, and not as a substitute for, our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calendar year.</w:t>
      </w:r>
    </w:p>
    <w:p>
      <w:pPr>
        <w:spacing w:after="0" w:line="169"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following analysis of our financial condition and results of operations should be read in conjunction with our interim consolidated financial statements and the notes thereto. The tables below present our condensed consolidated balance sheets as of September 30, 2012 and December 31, 2011 and our condensed consolidated statements of comprehensive income and key statistics for the three and nine months ended September 30, 2012 and 2011 (in millions, except per share amounts):</w:t>
      </w:r>
    </w:p>
    <w:p>
      <w:pPr>
        <w:spacing w:after="0" w:line="200" w:lineRule="exact"/>
        <w:rPr>
          <w:sz w:val="20"/>
          <w:szCs w:val="20"/>
          <w:color w:val="auto"/>
        </w:rPr>
      </w:pPr>
    </w:p>
    <w:p>
      <w:pPr>
        <w:spacing w:after="0" w:line="209"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4540" w:type="dxa"/>
            <w:vAlign w:val="bottom"/>
            <w:gridSpan w:val="2"/>
            <w:vMerge w:val="restart"/>
          </w:tcPr>
          <w:p>
            <w:pPr>
              <w:ind w:left="20"/>
              <w:spacing w:after="0"/>
              <w:rPr>
                <w:sz w:val="20"/>
                <w:szCs w:val="20"/>
                <w:color w:val="auto"/>
              </w:rPr>
            </w:pPr>
            <w:r>
              <w:rPr>
                <w:rFonts w:ascii="Arial" w:cs="Arial" w:eastAsia="Arial" w:hAnsi="Arial"/>
                <w:sz w:val="16"/>
                <w:szCs w:val="16"/>
                <w:b w:val="1"/>
                <w:bCs w:val="1"/>
                <w:color w:val="auto"/>
              </w:rPr>
              <w:t>Balance Sheet Data</w:t>
            </w:r>
          </w:p>
        </w:tc>
        <w:tc>
          <w:tcPr>
            <w:tcW w:w="100" w:type="dxa"/>
            <w:vAlign w:val="bottom"/>
          </w:tcPr>
          <w:p>
            <w:pPr>
              <w:spacing w:after="0"/>
              <w:rPr>
                <w:sz w:val="14"/>
                <w:szCs w:val="14"/>
                <w:color w:val="auto"/>
              </w:rPr>
            </w:pPr>
          </w:p>
        </w:tc>
        <w:tc>
          <w:tcPr>
            <w:tcW w:w="1020" w:type="dxa"/>
            <w:vAlign w:val="bottom"/>
          </w:tcPr>
          <w:p>
            <w:pPr>
              <w:jc w:val="center"/>
              <w:ind w:right="62"/>
              <w:spacing w:after="0"/>
              <w:rPr>
                <w:sz w:val="20"/>
                <w:szCs w:val="20"/>
                <w:color w:val="auto"/>
              </w:rPr>
            </w:pPr>
            <w:r>
              <w:rPr>
                <w:rFonts w:ascii="Arial" w:cs="Arial" w:eastAsia="Arial" w:hAnsi="Arial"/>
                <w:sz w:val="14"/>
                <w:szCs w:val="14"/>
                <w:b w:val="1"/>
                <w:bCs w:val="1"/>
                <w:color w:val="auto"/>
                <w:w w:val="91"/>
              </w:rPr>
              <w:t>September 30,</w:t>
            </w:r>
          </w:p>
        </w:tc>
        <w:tc>
          <w:tcPr>
            <w:tcW w:w="200" w:type="dxa"/>
            <w:vAlign w:val="bottom"/>
          </w:tcPr>
          <w:p>
            <w:pPr>
              <w:spacing w:after="0"/>
              <w:rPr>
                <w:sz w:val="14"/>
                <w:szCs w:val="14"/>
                <w:color w:val="auto"/>
              </w:rPr>
            </w:pPr>
          </w:p>
        </w:tc>
        <w:tc>
          <w:tcPr>
            <w:tcW w:w="980" w:type="dxa"/>
            <w:vAlign w:val="bottom"/>
          </w:tcPr>
          <w:p>
            <w:pPr>
              <w:jc w:val="right"/>
              <w:ind w:right="61"/>
              <w:spacing w:after="0"/>
              <w:rPr>
                <w:sz w:val="20"/>
                <w:szCs w:val="20"/>
                <w:color w:val="auto"/>
              </w:rPr>
            </w:pPr>
            <w:r>
              <w:rPr>
                <w:rFonts w:ascii="Arial" w:cs="Arial" w:eastAsia="Arial" w:hAnsi="Arial"/>
                <w:sz w:val="14"/>
                <w:szCs w:val="14"/>
                <w:b w:val="1"/>
                <w:bCs w:val="1"/>
                <w:color w:val="auto"/>
                <w:w w:val="90"/>
              </w:rPr>
              <w:t>December 31,</w:t>
            </w:r>
          </w:p>
        </w:tc>
        <w:tc>
          <w:tcPr>
            <w:tcW w:w="0" w:type="dxa"/>
            <w:vAlign w:val="bottom"/>
          </w:tcPr>
          <w:p>
            <w:pPr>
              <w:spacing w:after="0"/>
              <w:rPr>
                <w:sz w:val="1"/>
                <w:szCs w:val="1"/>
                <w:color w:val="auto"/>
              </w:rPr>
            </w:pPr>
          </w:p>
        </w:tc>
      </w:tr>
      <w:tr>
        <w:trPr>
          <w:trHeight w:val="192"/>
        </w:trPr>
        <w:tc>
          <w:tcPr>
            <w:tcW w:w="45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jc w:val="center"/>
              <w:ind w:right="62"/>
              <w:spacing w:after="0"/>
              <w:rPr>
                <w:sz w:val="20"/>
                <w:szCs w:val="20"/>
                <w:color w:val="auto"/>
              </w:rPr>
            </w:pPr>
            <w:r>
              <w:rPr>
                <w:rFonts w:ascii="Arial" w:cs="Arial" w:eastAsia="Arial" w:hAnsi="Arial"/>
                <w:sz w:val="14"/>
                <w:szCs w:val="14"/>
                <w:b w:val="1"/>
                <w:bCs w:val="1"/>
                <w:color w:val="auto"/>
                <w:w w:val="89"/>
              </w:rPr>
              <w:t>2012</w:t>
            </w:r>
          </w:p>
        </w:tc>
        <w:tc>
          <w:tcPr>
            <w:tcW w:w="200" w:type="dxa"/>
            <w:vAlign w:val="bottom"/>
          </w:tcPr>
          <w:p>
            <w:pPr>
              <w:spacing w:after="0"/>
              <w:rPr>
                <w:sz w:val="16"/>
                <w:szCs w:val="16"/>
                <w:color w:val="auto"/>
              </w:rPr>
            </w:pPr>
          </w:p>
        </w:tc>
        <w:tc>
          <w:tcPr>
            <w:tcW w:w="980" w:type="dxa"/>
            <w:vAlign w:val="bottom"/>
          </w:tcPr>
          <w:p>
            <w:pPr>
              <w:jc w:val="right"/>
              <w:ind w:right="341"/>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64"/>
        </w:trPr>
        <w:tc>
          <w:tcPr>
            <w:tcW w:w="444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020" w:type="dxa"/>
            <w:vAlign w:val="bottom"/>
            <w:tcBorders>
              <w:top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4"/>
              </w:rPr>
              <w:t>(unaudited)</w:t>
            </w:r>
          </w:p>
        </w:tc>
        <w:tc>
          <w:tcPr>
            <w:tcW w:w="200" w:type="dxa"/>
            <w:vAlign w:val="bottom"/>
            <w:tcBorders>
              <w:top w:val="single" w:sz="8" w:color="auto"/>
            </w:tcBorders>
          </w:tcPr>
          <w:p>
            <w:pPr>
              <w:spacing w:after="0"/>
              <w:rPr>
                <w:sz w:val="22"/>
                <w:szCs w:val="22"/>
                <w:color w:val="auto"/>
              </w:rPr>
            </w:pPr>
          </w:p>
        </w:tc>
        <w:tc>
          <w:tcPr>
            <w:tcW w:w="98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4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Investment portfolio, at fair value</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89,640</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54,683</w:t>
            </w:r>
          </w:p>
        </w:tc>
        <w:tc>
          <w:tcPr>
            <w:tcW w:w="0" w:type="dxa"/>
            <w:vAlign w:val="bottom"/>
          </w:tcPr>
          <w:p>
            <w:pPr>
              <w:spacing w:after="0"/>
              <w:rPr>
                <w:sz w:val="1"/>
                <w:szCs w:val="1"/>
                <w:color w:val="auto"/>
              </w:rPr>
            </w:pPr>
          </w:p>
        </w:tc>
      </w:tr>
      <w:tr>
        <w:trPr>
          <w:trHeight w:val="237"/>
        </w:trPr>
        <w:tc>
          <w:tcPr>
            <w:tcW w:w="4540" w:type="dxa"/>
            <w:vAlign w:val="bottom"/>
            <w:gridSpan w:val="2"/>
          </w:tcPr>
          <w:p>
            <w:pPr>
              <w:ind w:left="20"/>
              <w:spacing w:after="0"/>
              <w:rPr>
                <w:sz w:val="20"/>
                <w:szCs w:val="20"/>
                <w:color w:val="auto"/>
              </w:rPr>
            </w:pPr>
            <w:r>
              <w:rPr>
                <w:rFonts w:ascii="Arial" w:cs="Arial" w:eastAsia="Arial" w:hAnsi="Arial"/>
                <w:sz w:val="16"/>
                <w:szCs w:val="16"/>
                <w:color w:val="auto"/>
              </w:rPr>
              <w:t>Total assets</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102,177</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57,972</w:t>
            </w:r>
          </w:p>
        </w:tc>
        <w:tc>
          <w:tcPr>
            <w:tcW w:w="0" w:type="dxa"/>
            <w:vAlign w:val="bottom"/>
          </w:tcPr>
          <w:p>
            <w:pPr>
              <w:spacing w:after="0"/>
              <w:rPr>
                <w:sz w:val="1"/>
                <w:szCs w:val="1"/>
                <w:color w:val="auto"/>
              </w:rPr>
            </w:pPr>
          </w:p>
        </w:tc>
      </w:tr>
      <w:tr>
        <w:trPr>
          <w:trHeight w:val="33"/>
        </w:trPr>
        <w:tc>
          <w:tcPr>
            <w:tcW w:w="4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Repurchase agreements and other debt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80,262</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47,735</w:t>
            </w:r>
          </w:p>
        </w:tc>
        <w:tc>
          <w:tcPr>
            <w:tcW w:w="0" w:type="dxa"/>
            <w:vAlign w:val="bottom"/>
          </w:tcPr>
          <w:p>
            <w:pPr>
              <w:spacing w:after="0"/>
              <w:rPr>
                <w:sz w:val="1"/>
                <w:szCs w:val="1"/>
                <w:color w:val="auto"/>
              </w:rPr>
            </w:pPr>
          </w:p>
        </w:tc>
      </w:tr>
      <w:tr>
        <w:trPr>
          <w:trHeight w:val="237"/>
        </w:trPr>
        <w:tc>
          <w:tcPr>
            <w:tcW w:w="4540" w:type="dxa"/>
            <w:vAlign w:val="bottom"/>
            <w:gridSpan w:val="2"/>
          </w:tcPr>
          <w:p>
            <w:pPr>
              <w:ind w:left="20"/>
              <w:spacing w:after="0"/>
              <w:rPr>
                <w:sz w:val="20"/>
                <w:szCs w:val="20"/>
                <w:color w:val="auto"/>
              </w:rPr>
            </w:pPr>
            <w:r>
              <w:rPr>
                <w:rFonts w:ascii="Arial" w:cs="Arial" w:eastAsia="Arial" w:hAnsi="Arial"/>
                <w:sz w:val="16"/>
                <w:szCs w:val="16"/>
                <w:color w:val="auto"/>
              </w:rPr>
              <w:t>Total liabilities</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90,904</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51,760</w:t>
            </w:r>
          </w:p>
        </w:tc>
        <w:tc>
          <w:tcPr>
            <w:tcW w:w="0" w:type="dxa"/>
            <w:vAlign w:val="bottom"/>
          </w:tcPr>
          <w:p>
            <w:pPr>
              <w:spacing w:after="0"/>
              <w:rPr>
                <w:sz w:val="1"/>
                <w:szCs w:val="1"/>
                <w:color w:val="auto"/>
              </w:rPr>
            </w:pPr>
          </w:p>
        </w:tc>
      </w:tr>
      <w:tr>
        <w:trPr>
          <w:trHeight w:val="33"/>
        </w:trPr>
        <w:tc>
          <w:tcPr>
            <w:tcW w:w="4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stockholders' equity</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11,273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6,212</w:t>
            </w:r>
          </w:p>
        </w:tc>
        <w:tc>
          <w:tcPr>
            <w:tcW w:w="0" w:type="dxa"/>
            <w:vAlign w:val="bottom"/>
          </w:tcPr>
          <w:p>
            <w:pPr>
              <w:spacing w:after="0"/>
              <w:rPr>
                <w:sz w:val="1"/>
                <w:szCs w:val="1"/>
                <w:color w:val="auto"/>
              </w:rPr>
            </w:pPr>
          </w:p>
        </w:tc>
      </w:tr>
      <w:tr>
        <w:trPr>
          <w:trHeight w:val="311"/>
        </w:trPr>
        <w:tc>
          <w:tcPr>
            <w:tcW w:w="4540" w:type="dxa"/>
            <w:vAlign w:val="bottom"/>
            <w:gridSpan w:val="2"/>
          </w:tcPr>
          <w:p>
            <w:pPr>
              <w:ind w:left="20"/>
              <w:spacing w:after="0"/>
              <w:rPr>
                <w:sz w:val="20"/>
                <w:szCs w:val="20"/>
                <w:color w:val="auto"/>
              </w:rPr>
            </w:pPr>
            <w:r>
              <w:rPr>
                <w:rFonts w:ascii="Arial" w:cs="Arial" w:eastAsia="Arial" w:hAnsi="Arial"/>
                <w:sz w:val="16"/>
                <w:szCs w:val="16"/>
                <w:color w:val="auto"/>
              </w:rPr>
              <w:t xml:space="preserve">Net asset value per common share as of period end </w:t>
            </w:r>
            <w:r>
              <w:rPr>
                <w:rFonts w:ascii="Arial" w:cs="Arial" w:eastAsia="Arial" w:hAnsi="Arial"/>
                <w:sz w:val="21"/>
                <w:szCs w:val="21"/>
                <w:color w:val="auto"/>
                <w:vertAlign w:val="superscript"/>
              </w:rPr>
              <w:t>(1)</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32.49</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27.71</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968" w:right="239" w:bottom="1440" w:gutter="0" w:footer="0" w:header="0"/>
        </w:sectPr>
      </w:pPr>
    </w:p>
    <w:bookmarkStart w:id="32" w:name="page33"/>
    <w:bookmarkEnd w:id="32"/>
    <w:tbl>
      <w:tblPr>
        <w:tblLayout w:type="fixed"/>
        <w:tblInd w:w="0" w:type="dxa"/>
        <w:tblCellMar>
          <w:top w:w="0" w:type="dxa"/>
          <w:left w:w="0" w:type="dxa"/>
          <w:bottom w:w="0" w:type="dxa"/>
          <w:right w:w="0" w:type="dxa"/>
        </w:tblCellMar>
      </w:tblPr>
      <w:tr>
        <w:trPr>
          <w:trHeight w:val="192"/>
        </w:trPr>
        <w:tc>
          <w:tcPr>
            <w:tcW w:w="6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w w:val="93"/>
              </w:rPr>
              <w:t>Three Months Ended September 30,</w:t>
            </w:r>
          </w:p>
        </w:tc>
        <w:tc>
          <w:tcPr>
            <w:tcW w:w="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2"/>
              </w:rPr>
              <w:t>Nine Months Ended September 30,</w:t>
            </w:r>
          </w:p>
        </w:tc>
        <w:tc>
          <w:tcPr>
            <w:tcW w:w="0" w:type="dxa"/>
            <w:vAlign w:val="bottom"/>
          </w:tcPr>
          <w:p>
            <w:pPr>
              <w:spacing w:after="0"/>
              <w:rPr>
                <w:sz w:val="1"/>
                <w:szCs w:val="1"/>
                <w:color w:val="auto"/>
              </w:rPr>
            </w:pPr>
          </w:p>
        </w:tc>
      </w:tr>
      <w:tr>
        <w:trPr>
          <w:trHeight w:val="264"/>
        </w:trPr>
        <w:tc>
          <w:tcPr>
            <w:tcW w:w="6240" w:type="dxa"/>
            <w:vAlign w:val="bottom"/>
            <w:tcBorders>
              <w:bottom w:val="single" w:sz="8" w:color="auto"/>
            </w:tcBorders>
            <w:gridSpan w:val="2"/>
          </w:tcPr>
          <w:p>
            <w:pPr>
              <w:ind w:left="40"/>
              <w:spacing w:after="0"/>
              <w:rPr>
                <w:sz w:val="20"/>
                <w:szCs w:val="20"/>
                <w:color w:val="auto"/>
              </w:rPr>
            </w:pPr>
            <w:r>
              <w:rPr>
                <w:rFonts w:ascii="Arial" w:cs="Arial" w:eastAsia="Arial" w:hAnsi="Arial"/>
                <w:sz w:val="16"/>
                <w:szCs w:val="16"/>
                <w:b w:val="1"/>
                <w:bCs w:val="1"/>
                <w:color w:val="auto"/>
              </w:rPr>
              <w:t>Statement of Comprehensive Income Data (unaudited)</w:t>
            </w:r>
          </w:p>
        </w:tc>
        <w:tc>
          <w:tcPr>
            <w:tcW w:w="160" w:type="dxa"/>
            <w:vAlign w:val="bottom"/>
            <w:tcBorders>
              <w:bottom w:val="single" w:sz="8" w:color="auto"/>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100"/>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179"/>
              <w:spacing w:after="0"/>
              <w:rPr>
                <w:sz w:val="20"/>
                <w:szCs w:val="20"/>
                <w:color w:val="auto"/>
              </w:rPr>
            </w:pPr>
            <w:r>
              <w:rPr>
                <w:rFonts w:ascii="Arial" w:cs="Arial" w:eastAsia="Arial" w:hAnsi="Arial"/>
                <w:sz w:val="14"/>
                <w:szCs w:val="14"/>
                <w:b w:val="1"/>
                <w:bCs w:val="1"/>
                <w:color w:val="auto"/>
              </w:rPr>
              <w:t>2011</w:t>
            </w:r>
          </w:p>
        </w:tc>
        <w:tc>
          <w:tcPr>
            <w:tcW w:w="10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40"/>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36"/>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income</w:t>
            </w:r>
          </w:p>
        </w:tc>
        <w:tc>
          <w:tcPr>
            <w:tcW w:w="4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520</w:t>
            </w:r>
          </w:p>
        </w:tc>
        <w:tc>
          <w:tcPr>
            <w:tcW w:w="4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327</w:t>
            </w:r>
          </w:p>
        </w:tc>
        <w:tc>
          <w:tcPr>
            <w:tcW w:w="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1,538</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756</w:t>
            </w:r>
          </w:p>
        </w:tc>
        <w:tc>
          <w:tcPr>
            <w:tcW w:w="0" w:type="dxa"/>
            <w:vAlign w:val="bottom"/>
          </w:tcPr>
          <w:p>
            <w:pPr>
              <w:spacing w:after="0"/>
              <w:rPr>
                <w:sz w:val="1"/>
                <w:szCs w:val="1"/>
                <w:color w:val="auto"/>
              </w:rPr>
            </w:pPr>
          </w:p>
        </w:tc>
      </w:tr>
      <w:tr>
        <w:trPr>
          <w:trHeight w:val="270"/>
        </w:trPr>
        <w:tc>
          <w:tcPr>
            <w:tcW w:w="624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 xml:space="preserve">Interest expense </w:t>
            </w:r>
            <w:r>
              <w:rPr>
                <w:rFonts w:ascii="Arial" w:cs="Arial" w:eastAsia="Arial" w:hAnsi="Arial"/>
                <w:sz w:val="21"/>
                <w:szCs w:val="21"/>
                <w:color w:val="auto"/>
                <w:vertAlign w:val="superscript"/>
              </w:rPr>
              <w:t>(2)</w:t>
            </w:r>
          </w:p>
        </w:tc>
        <w:tc>
          <w:tcPr>
            <w:tcW w:w="160" w:type="dxa"/>
            <w:vAlign w:val="bottom"/>
            <w:tcBorders>
              <w:bottom w:val="single" w:sz="8" w:color="CCEEFF"/>
            </w:tcBorders>
          </w:tcPr>
          <w:p>
            <w:pPr>
              <w:spacing w:after="0"/>
              <w:rPr>
                <w:sz w:val="23"/>
                <w:szCs w:val="23"/>
                <w:color w:val="auto"/>
              </w:rPr>
            </w:pPr>
          </w:p>
        </w:tc>
        <w:tc>
          <w:tcPr>
            <w:tcW w:w="140" w:type="dxa"/>
            <w:vAlign w:val="bottom"/>
            <w:tcBorders>
              <w:bottom w:val="single" w:sz="8" w:color="CCEEFF"/>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139</w:t>
            </w:r>
          </w:p>
        </w:tc>
        <w:tc>
          <w:tcPr>
            <w:tcW w:w="12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95</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365</w:t>
            </w:r>
          </w:p>
        </w:tc>
        <w:tc>
          <w:tcPr>
            <w:tcW w:w="10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195</w:t>
            </w:r>
          </w:p>
        </w:tc>
        <w:tc>
          <w:tcPr>
            <w:tcW w:w="0" w:type="dxa"/>
            <w:vAlign w:val="bottom"/>
          </w:tcPr>
          <w:p>
            <w:pPr>
              <w:spacing w:after="0"/>
              <w:rPr>
                <w:sz w:val="1"/>
                <w:szCs w:val="1"/>
                <w:color w:val="auto"/>
              </w:rPr>
            </w:pPr>
          </w:p>
        </w:tc>
      </w:tr>
      <w:tr>
        <w:trPr>
          <w:trHeight w:val="25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interest income</w:t>
            </w: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381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232</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1,173</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561</w:t>
            </w:r>
          </w:p>
        </w:tc>
        <w:tc>
          <w:tcPr>
            <w:tcW w:w="0" w:type="dxa"/>
            <w:vAlign w:val="bottom"/>
          </w:tcPr>
          <w:p>
            <w:pPr>
              <w:spacing w:after="0"/>
              <w:rPr>
                <w:sz w:val="1"/>
                <w:szCs w:val="1"/>
                <w:color w:val="auto"/>
              </w:rPr>
            </w:pPr>
          </w:p>
        </w:tc>
      </w:tr>
      <w:tr>
        <w:trPr>
          <w:trHeight w:val="250"/>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 xml:space="preserve">Other (loss) income, net </w:t>
            </w:r>
            <w:r>
              <w:rPr>
                <w:rFonts w:ascii="Arial" w:cs="Arial" w:eastAsia="Arial" w:hAnsi="Arial"/>
                <w:sz w:val="21"/>
                <w:szCs w:val="21"/>
                <w:color w:val="auto"/>
                <w:vertAlign w:val="superscript"/>
              </w:rPr>
              <w:t>(2)</w:t>
            </w: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1060" w:type="dxa"/>
            <w:vAlign w:val="bottom"/>
            <w:tcBorders>
              <w:top w:val="single" w:sz="8" w:color="auto"/>
            </w:tcBorders>
            <w:gridSpan w:val="4"/>
          </w:tcPr>
          <w:p>
            <w:pPr>
              <w:jc w:val="right"/>
              <w:ind w:right="1"/>
              <w:spacing w:after="0"/>
              <w:rPr>
                <w:sz w:val="20"/>
                <w:szCs w:val="20"/>
                <w:color w:val="auto"/>
              </w:rPr>
            </w:pPr>
            <w:r>
              <w:rPr>
                <w:rFonts w:ascii="Arial" w:cs="Arial" w:eastAsia="Arial" w:hAnsi="Arial"/>
                <w:sz w:val="16"/>
                <w:szCs w:val="16"/>
                <w:color w:val="auto"/>
              </w:rPr>
              <w:t>(250)</w:t>
            </w:r>
          </w:p>
        </w:tc>
        <w:tc>
          <w:tcPr>
            <w:tcW w:w="12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90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41</w:t>
            </w:r>
          </w:p>
        </w:tc>
        <w:tc>
          <w:tcPr>
            <w:tcW w:w="8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(599)</w:t>
            </w:r>
          </w:p>
        </w:tc>
        <w:tc>
          <w:tcPr>
            <w:tcW w:w="10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8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51</w:t>
            </w:r>
          </w:p>
        </w:tc>
        <w:tc>
          <w:tcPr>
            <w:tcW w:w="0" w:type="dxa"/>
            <w:vAlign w:val="bottom"/>
          </w:tcPr>
          <w:p>
            <w:pPr>
              <w:spacing w:after="0"/>
              <w:rPr>
                <w:sz w:val="1"/>
                <w:szCs w:val="1"/>
                <w:color w:val="auto"/>
              </w:rPr>
            </w:pPr>
          </w:p>
        </w:tc>
      </w:tr>
      <w:tr>
        <w:trPr>
          <w:trHeight w:val="27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Expenses</w:t>
            </w:r>
          </w:p>
        </w:tc>
        <w:tc>
          <w:tcPr>
            <w:tcW w:w="16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40</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22</w:t>
            </w:r>
          </w:p>
        </w:tc>
        <w:tc>
          <w:tcPr>
            <w:tcW w:w="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104</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w:t>
            </w:r>
          </w:p>
        </w:tc>
        <w:tc>
          <w:tcPr>
            <w:tcW w:w="0" w:type="dxa"/>
            <w:vAlign w:val="bottom"/>
          </w:tcPr>
          <w:p>
            <w:pPr>
              <w:spacing w:after="0"/>
              <w:rPr>
                <w:sz w:val="1"/>
                <w:szCs w:val="1"/>
                <w:color w:val="auto"/>
              </w:rPr>
            </w:pPr>
          </w:p>
        </w:tc>
      </w:tr>
      <w:tr>
        <w:trPr>
          <w:trHeight w:val="21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Income before income tax provision</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gridSpan w:val="3"/>
          </w:tcPr>
          <w:p>
            <w:pPr>
              <w:jc w:val="right"/>
              <w:spacing w:after="0"/>
              <w:rPr>
                <w:sz w:val="20"/>
                <w:szCs w:val="20"/>
                <w:color w:val="auto"/>
              </w:rPr>
            </w:pPr>
            <w:r>
              <w:rPr>
                <w:rFonts w:ascii="Arial" w:cs="Arial" w:eastAsia="Arial" w:hAnsi="Arial"/>
                <w:sz w:val="16"/>
                <w:szCs w:val="16"/>
                <w:color w:val="auto"/>
              </w:rPr>
              <w:t>91</w:t>
            </w:r>
          </w:p>
        </w:tc>
        <w:tc>
          <w:tcPr>
            <w:tcW w:w="1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251</w:t>
            </w:r>
          </w:p>
        </w:tc>
        <w:tc>
          <w:tcPr>
            <w:tcW w:w="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470</w:t>
            </w:r>
          </w:p>
        </w:tc>
        <w:tc>
          <w:tcPr>
            <w:tcW w:w="1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563</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Income tax provision, net</w:t>
            </w:r>
          </w:p>
        </w:tc>
        <w:tc>
          <w:tcPr>
            <w:tcW w:w="16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w:t>
            </w:r>
          </w:p>
        </w:tc>
        <w:tc>
          <w:tcPr>
            <w:tcW w:w="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Net income</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gridSpan w:val="3"/>
          </w:tcPr>
          <w:p>
            <w:pPr>
              <w:jc w:val="right"/>
              <w:spacing w:after="0"/>
              <w:rPr>
                <w:sz w:val="20"/>
                <w:szCs w:val="20"/>
                <w:color w:val="auto"/>
              </w:rPr>
            </w:pPr>
            <w:r>
              <w:rPr>
                <w:rFonts w:ascii="Arial" w:cs="Arial" w:eastAsia="Arial" w:hAnsi="Arial"/>
                <w:sz w:val="16"/>
                <w:szCs w:val="16"/>
                <w:color w:val="auto"/>
              </w:rPr>
              <w:t>86</w:t>
            </w:r>
          </w:p>
        </w:tc>
        <w:tc>
          <w:tcPr>
            <w:tcW w:w="1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250</w:t>
            </w:r>
          </w:p>
        </w:tc>
        <w:tc>
          <w:tcPr>
            <w:tcW w:w="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466</w:t>
            </w:r>
          </w:p>
        </w:tc>
        <w:tc>
          <w:tcPr>
            <w:tcW w:w="1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562</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 on preferred stock</w:t>
            </w:r>
          </w:p>
        </w:tc>
        <w:tc>
          <w:tcPr>
            <w:tcW w:w="16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84"/>
        </w:trPr>
        <w:tc>
          <w:tcPr>
            <w:tcW w:w="624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Net income available to common shareholders</w:t>
            </w:r>
          </w:p>
        </w:tc>
        <w:tc>
          <w:tcPr>
            <w:tcW w:w="300" w:type="dxa"/>
            <w:vAlign w:val="bottom"/>
            <w:tcBorders>
              <w:bottom w:val="single" w:sz="8" w:color="CCEEFF"/>
            </w:tcBorders>
            <w:gridSpan w:val="2"/>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6"/>
                <w:szCs w:val="16"/>
                <w:color w:val="auto"/>
              </w:rPr>
              <w:t>83</w:t>
            </w:r>
          </w:p>
        </w:tc>
        <w:tc>
          <w:tcPr>
            <w:tcW w:w="12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250</w:t>
            </w:r>
          </w:p>
        </w:tc>
        <w:tc>
          <w:tcPr>
            <w:tcW w:w="8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460</w:t>
            </w:r>
          </w:p>
        </w:tc>
        <w:tc>
          <w:tcPr>
            <w:tcW w:w="10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562</w:t>
            </w:r>
          </w:p>
        </w:tc>
        <w:tc>
          <w:tcPr>
            <w:tcW w:w="0" w:type="dxa"/>
            <w:vAlign w:val="bottom"/>
          </w:tcPr>
          <w:p>
            <w:pPr>
              <w:spacing w:after="0"/>
              <w:rPr>
                <w:sz w:val="1"/>
                <w:szCs w:val="1"/>
                <w:color w:val="auto"/>
              </w:rPr>
            </w:pPr>
          </w:p>
        </w:tc>
      </w:tr>
      <w:tr>
        <w:trPr>
          <w:trHeight w:val="284"/>
        </w:trPr>
        <w:tc>
          <w:tcPr>
            <w:tcW w:w="6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Net income</w:t>
            </w:r>
          </w:p>
        </w:tc>
        <w:tc>
          <w:tcPr>
            <w:tcW w:w="4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40" w:type="dxa"/>
            <w:vAlign w:val="bottom"/>
            <w:gridSpan w:val="3"/>
          </w:tcPr>
          <w:p>
            <w:pPr>
              <w:jc w:val="right"/>
              <w:spacing w:after="0"/>
              <w:rPr>
                <w:sz w:val="20"/>
                <w:szCs w:val="20"/>
                <w:color w:val="auto"/>
              </w:rPr>
            </w:pPr>
            <w:r>
              <w:rPr>
                <w:rFonts w:ascii="Arial" w:cs="Arial" w:eastAsia="Arial" w:hAnsi="Arial"/>
                <w:sz w:val="16"/>
                <w:szCs w:val="16"/>
                <w:color w:val="auto"/>
              </w:rPr>
              <w:t>86</w:t>
            </w:r>
          </w:p>
        </w:tc>
        <w:tc>
          <w:tcPr>
            <w:tcW w:w="4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00" w:type="dxa"/>
            <w:vAlign w:val="bottom"/>
            <w:gridSpan w:val="2"/>
          </w:tcPr>
          <w:p>
            <w:pPr>
              <w:jc w:val="right"/>
              <w:ind w:right="20"/>
              <w:spacing w:after="0"/>
              <w:rPr>
                <w:sz w:val="20"/>
                <w:szCs w:val="20"/>
                <w:color w:val="auto"/>
              </w:rPr>
            </w:pPr>
            <w:r>
              <w:rPr>
                <w:rFonts w:ascii="Arial" w:cs="Arial" w:eastAsia="Arial" w:hAnsi="Arial"/>
                <w:sz w:val="16"/>
                <w:szCs w:val="16"/>
                <w:color w:val="auto"/>
              </w:rPr>
              <w:t>250</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466</w:t>
            </w:r>
          </w:p>
        </w:tc>
        <w:tc>
          <w:tcPr>
            <w:tcW w:w="100" w:type="dxa"/>
            <w:vAlign w:val="bottom"/>
          </w:tcPr>
          <w:p>
            <w:pPr>
              <w:spacing w:after="0"/>
              <w:rPr>
                <w:sz w:val="20"/>
                <w:szCs w:val="20"/>
                <w:color w:val="auto"/>
              </w:rPr>
            </w:pPr>
          </w:p>
        </w:tc>
        <w:tc>
          <w:tcPr>
            <w:tcW w:w="340" w:type="dxa"/>
            <w:vAlign w:val="bottom"/>
            <w:gridSpan w:val="2"/>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562</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Other comprehensive income </w:t>
            </w:r>
            <w:r>
              <w:rPr>
                <w:rFonts w:ascii="Arial" w:cs="Arial" w:eastAsia="Arial" w:hAnsi="Arial"/>
                <w:sz w:val="21"/>
                <w:szCs w:val="21"/>
                <w:color w:val="auto"/>
                <w:vertAlign w:val="superscript"/>
              </w:rPr>
              <w:t>(2)</w:t>
            </w:r>
          </w:p>
        </w:tc>
        <w:tc>
          <w:tcPr>
            <w:tcW w:w="1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1,241</w:t>
            </w:r>
          </w:p>
        </w:tc>
        <w:tc>
          <w:tcPr>
            <w:tcW w:w="40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0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24</w:t>
            </w: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1,928</w:t>
            </w:r>
          </w:p>
        </w:tc>
        <w:tc>
          <w:tcPr>
            <w:tcW w:w="100" w:type="dxa"/>
            <w:vAlign w:val="bottom"/>
            <w:shd w:val="clear" w:color="auto" w:fill="CCEEFF"/>
          </w:tcPr>
          <w:p>
            <w:pPr>
              <w:spacing w:after="0"/>
              <w:rPr>
                <w:sz w:val="23"/>
                <w:szCs w:val="23"/>
                <w:color w:val="auto"/>
              </w:rPr>
            </w:pPr>
          </w:p>
        </w:tc>
        <w:tc>
          <w:tcPr>
            <w:tcW w:w="34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111</w:t>
            </w:r>
          </w:p>
        </w:tc>
        <w:tc>
          <w:tcPr>
            <w:tcW w:w="0" w:type="dxa"/>
            <w:vAlign w:val="bottom"/>
          </w:tcPr>
          <w:p>
            <w:pPr>
              <w:spacing w:after="0"/>
              <w:rPr>
                <w:sz w:val="1"/>
                <w:szCs w:val="1"/>
                <w:color w:val="auto"/>
              </w:rPr>
            </w:pPr>
          </w:p>
        </w:tc>
      </w:tr>
      <w:tr>
        <w:trPr>
          <w:trHeight w:val="21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Comprehensive income</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gridSpan w:val="3"/>
          </w:tcPr>
          <w:p>
            <w:pPr>
              <w:jc w:val="right"/>
              <w:spacing w:after="0"/>
              <w:rPr>
                <w:sz w:val="20"/>
                <w:szCs w:val="20"/>
                <w:color w:val="auto"/>
              </w:rPr>
            </w:pPr>
            <w:r>
              <w:rPr>
                <w:rFonts w:ascii="Arial" w:cs="Arial" w:eastAsia="Arial" w:hAnsi="Arial"/>
                <w:sz w:val="16"/>
                <w:szCs w:val="16"/>
                <w:color w:val="auto"/>
              </w:rPr>
              <w:t>1,327</w:t>
            </w:r>
          </w:p>
        </w:tc>
        <w:tc>
          <w:tcPr>
            <w:tcW w:w="1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274</w:t>
            </w:r>
          </w:p>
        </w:tc>
        <w:tc>
          <w:tcPr>
            <w:tcW w:w="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2,394</w:t>
            </w:r>
          </w:p>
        </w:tc>
        <w:tc>
          <w:tcPr>
            <w:tcW w:w="1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673</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 on preferred stock</w:t>
            </w:r>
          </w:p>
        </w:tc>
        <w:tc>
          <w:tcPr>
            <w:tcW w:w="16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84"/>
        </w:trPr>
        <w:tc>
          <w:tcPr>
            <w:tcW w:w="624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Comprehensive income available to common shareholders</w:t>
            </w:r>
          </w:p>
        </w:tc>
        <w:tc>
          <w:tcPr>
            <w:tcW w:w="300" w:type="dxa"/>
            <w:vAlign w:val="bottom"/>
            <w:tcBorders>
              <w:bottom w:val="single" w:sz="8" w:color="CCEEFF"/>
            </w:tcBorders>
            <w:gridSpan w:val="2"/>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6"/>
                <w:szCs w:val="16"/>
                <w:color w:val="auto"/>
              </w:rPr>
              <w:t>1,324</w:t>
            </w:r>
          </w:p>
        </w:tc>
        <w:tc>
          <w:tcPr>
            <w:tcW w:w="12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274</w:t>
            </w:r>
          </w:p>
        </w:tc>
        <w:tc>
          <w:tcPr>
            <w:tcW w:w="8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2,388</w:t>
            </w:r>
          </w:p>
        </w:tc>
        <w:tc>
          <w:tcPr>
            <w:tcW w:w="10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673</w:t>
            </w:r>
          </w:p>
        </w:tc>
        <w:tc>
          <w:tcPr>
            <w:tcW w:w="0" w:type="dxa"/>
            <w:vAlign w:val="bottom"/>
          </w:tcPr>
          <w:p>
            <w:pPr>
              <w:spacing w:after="0"/>
              <w:rPr>
                <w:sz w:val="1"/>
                <w:szCs w:val="1"/>
                <w:color w:val="auto"/>
              </w:rPr>
            </w:pPr>
          </w:p>
        </w:tc>
      </w:tr>
      <w:tr>
        <w:trPr>
          <w:trHeight w:val="284"/>
        </w:trPr>
        <w:tc>
          <w:tcPr>
            <w:tcW w:w="6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Weighted average number of common shares outstanding - basic and diluted</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3"/>
          </w:tcPr>
          <w:p>
            <w:pPr>
              <w:jc w:val="right"/>
              <w:spacing w:after="0"/>
              <w:rPr>
                <w:sz w:val="20"/>
                <w:szCs w:val="20"/>
                <w:color w:val="auto"/>
              </w:rPr>
            </w:pPr>
            <w:r>
              <w:rPr>
                <w:rFonts w:ascii="Arial" w:cs="Arial" w:eastAsia="Arial" w:hAnsi="Arial"/>
                <w:sz w:val="16"/>
                <w:szCs w:val="16"/>
                <w:color w:val="auto"/>
              </w:rPr>
              <w:t>332.8</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6"/>
                <w:szCs w:val="16"/>
                <w:color w:val="auto"/>
              </w:rPr>
              <w:t>180.7</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291.6</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134.2</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income per common share - basic and diluted</w:t>
            </w:r>
          </w:p>
        </w:tc>
        <w:tc>
          <w:tcPr>
            <w:tcW w:w="4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0.25</w:t>
            </w:r>
          </w:p>
        </w:tc>
        <w:tc>
          <w:tcPr>
            <w:tcW w:w="4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1.39</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4.19</w:t>
            </w:r>
          </w:p>
        </w:tc>
        <w:tc>
          <w:tcPr>
            <w:tcW w:w="0" w:type="dxa"/>
            <w:vAlign w:val="bottom"/>
          </w:tcPr>
          <w:p>
            <w:pPr>
              <w:spacing w:after="0"/>
              <w:rPr>
                <w:sz w:val="1"/>
                <w:szCs w:val="1"/>
                <w:color w:val="auto"/>
              </w:rPr>
            </w:pPr>
          </w:p>
        </w:tc>
      </w:tr>
      <w:tr>
        <w:trPr>
          <w:trHeight w:val="23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Comprehensive income per common share - basic and diluted</w:t>
            </w:r>
          </w:p>
        </w:tc>
        <w:tc>
          <w:tcPr>
            <w:tcW w:w="4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40" w:type="dxa"/>
            <w:vAlign w:val="bottom"/>
            <w:gridSpan w:val="3"/>
          </w:tcPr>
          <w:p>
            <w:pPr>
              <w:jc w:val="right"/>
              <w:spacing w:after="0"/>
              <w:rPr>
                <w:sz w:val="20"/>
                <w:szCs w:val="20"/>
                <w:color w:val="auto"/>
              </w:rPr>
            </w:pPr>
            <w:r>
              <w:rPr>
                <w:rFonts w:ascii="Arial" w:cs="Arial" w:eastAsia="Arial" w:hAnsi="Arial"/>
                <w:sz w:val="16"/>
                <w:szCs w:val="16"/>
                <w:color w:val="auto"/>
              </w:rPr>
              <w:t>3.98</w:t>
            </w:r>
          </w:p>
        </w:tc>
        <w:tc>
          <w:tcPr>
            <w:tcW w:w="4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00" w:type="dxa"/>
            <w:vAlign w:val="bottom"/>
            <w:gridSpan w:val="2"/>
          </w:tcPr>
          <w:p>
            <w:pPr>
              <w:jc w:val="right"/>
              <w:ind w:right="20"/>
              <w:spacing w:after="0"/>
              <w:rPr>
                <w:sz w:val="20"/>
                <w:szCs w:val="20"/>
                <w:color w:val="auto"/>
              </w:rPr>
            </w:pPr>
            <w:r>
              <w:rPr>
                <w:rFonts w:ascii="Arial" w:cs="Arial" w:eastAsia="Arial" w:hAnsi="Arial"/>
                <w:sz w:val="16"/>
                <w:szCs w:val="16"/>
                <w:color w:val="auto"/>
              </w:rPr>
              <w:t>1.52</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8.19</w:t>
            </w:r>
          </w:p>
        </w:tc>
        <w:tc>
          <w:tcPr>
            <w:tcW w:w="100" w:type="dxa"/>
            <w:vAlign w:val="bottom"/>
          </w:tcPr>
          <w:p>
            <w:pPr>
              <w:spacing w:after="0"/>
              <w:rPr>
                <w:sz w:val="20"/>
                <w:szCs w:val="20"/>
                <w:color w:val="auto"/>
              </w:rPr>
            </w:pPr>
          </w:p>
        </w:tc>
        <w:tc>
          <w:tcPr>
            <w:tcW w:w="340" w:type="dxa"/>
            <w:vAlign w:val="bottom"/>
            <w:gridSpan w:val="2"/>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5.01</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Dividends declared per common share</w:t>
            </w:r>
          </w:p>
        </w:tc>
        <w:tc>
          <w:tcPr>
            <w:tcW w:w="4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1.25</w:t>
            </w:r>
          </w:p>
        </w:tc>
        <w:tc>
          <w:tcPr>
            <w:tcW w:w="4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1.40</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4.20</w:t>
            </w:r>
          </w:p>
        </w:tc>
        <w:tc>
          <w:tcPr>
            <w:tcW w:w="0" w:type="dxa"/>
            <w:vAlign w:val="bottom"/>
          </w:tcPr>
          <w:p>
            <w:pPr>
              <w:spacing w:after="0"/>
              <w:rPr>
                <w:sz w:val="1"/>
                <w:szCs w:val="1"/>
                <w:color w:val="auto"/>
              </w:rPr>
            </w:pPr>
          </w:p>
        </w:tc>
      </w:tr>
      <w:tr>
        <w:trPr>
          <w:trHeight w:val="696"/>
        </w:trPr>
        <w:tc>
          <w:tcPr>
            <w:tcW w:w="6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40" w:type="dxa"/>
            <w:vAlign w:val="bottom"/>
            <w:gridSpan w:val="11"/>
          </w:tcPr>
          <w:p>
            <w:pPr>
              <w:jc w:val="right"/>
              <w:ind w:right="260"/>
              <w:spacing w:after="0"/>
              <w:rPr>
                <w:sz w:val="20"/>
                <w:szCs w:val="20"/>
                <w:color w:val="auto"/>
              </w:rPr>
            </w:pPr>
            <w:r>
              <w:rPr>
                <w:rFonts w:ascii="Arial" w:cs="Arial" w:eastAsia="Arial" w:hAnsi="Arial"/>
                <w:sz w:val="14"/>
                <w:szCs w:val="14"/>
                <w:b w:val="1"/>
                <w:bCs w:val="1"/>
                <w:color w:val="auto"/>
                <w:w w:val="99"/>
              </w:rPr>
              <w:t>Three Months Ended September 30,</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340" w:type="dxa"/>
            <w:vAlign w:val="bottom"/>
            <w:gridSpan w:val="6"/>
          </w:tcPr>
          <w:p>
            <w:pPr>
              <w:ind w:left="20"/>
              <w:spacing w:after="0"/>
              <w:rPr>
                <w:sz w:val="20"/>
                <w:szCs w:val="20"/>
                <w:color w:val="auto"/>
              </w:rPr>
            </w:pPr>
            <w:r>
              <w:rPr>
                <w:rFonts w:ascii="Arial" w:cs="Arial" w:eastAsia="Arial" w:hAnsi="Arial"/>
                <w:sz w:val="14"/>
                <w:szCs w:val="14"/>
                <w:b w:val="1"/>
                <w:bCs w:val="1"/>
                <w:color w:val="auto"/>
                <w:w w:val="99"/>
              </w:rPr>
              <w:t>Nine Months Ended September 30,</w:t>
            </w:r>
          </w:p>
        </w:tc>
        <w:tc>
          <w:tcPr>
            <w:tcW w:w="0" w:type="dxa"/>
            <w:vAlign w:val="bottom"/>
          </w:tcPr>
          <w:p>
            <w:pPr>
              <w:spacing w:after="0"/>
              <w:rPr>
                <w:sz w:val="1"/>
                <w:szCs w:val="1"/>
                <w:color w:val="auto"/>
              </w:rPr>
            </w:pPr>
          </w:p>
        </w:tc>
      </w:tr>
      <w:tr>
        <w:trPr>
          <w:trHeight w:val="264"/>
        </w:trPr>
        <w:tc>
          <w:tcPr>
            <w:tcW w:w="612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Other Data (unaudited)</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top w:val="single" w:sz="8" w:color="auto"/>
            </w:tcBorders>
          </w:tcPr>
          <w:p>
            <w:pPr>
              <w:spacing w:after="0"/>
              <w:rPr>
                <w:sz w:val="22"/>
                <w:szCs w:val="22"/>
                <w:color w:val="auto"/>
              </w:rPr>
            </w:pPr>
          </w:p>
        </w:tc>
        <w:tc>
          <w:tcPr>
            <w:tcW w:w="2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w w:val="96"/>
              </w:rPr>
              <w:t>2011</w:t>
            </w:r>
          </w:p>
        </w:tc>
        <w:tc>
          <w:tcPr>
            <w:tcW w:w="100" w:type="dxa"/>
            <w:vAlign w:val="bottom"/>
          </w:tcPr>
          <w:p>
            <w:pPr>
              <w:spacing w:after="0"/>
              <w:rPr>
                <w:sz w:val="22"/>
                <w:szCs w:val="22"/>
                <w:color w:val="auto"/>
              </w:rPr>
            </w:pPr>
          </w:p>
        </w:tc>
        <w:tc>
          <w:tcPr>
            <w:tcW w:w="8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920" w:type="dxa"/>
            <w:vAlign w:val="bottom"/>
            <w:tcBorders>
              <w:top w:val="single" w:sz="8" w:color="auto"/>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top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23"/>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Average agency securities, at par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jc w:val="right"/>
              <w:ind w:right="120"/>
              <w:spacing w:after="0"/>
              <w:rPr>
                <w:sz w:val="20"/>
                <w:szCs w:val="20"/>
                <w:color w:val="auto"/>
              </w:rPr>
            </w:pPr>
            <w:r>
              <w:rPr>
                <w:rFonts w:ascii="Arial" w:cs="Arial" w:eastAsia="Arial" w:hAnsi="Arial"/>
                <w:sz w:val="16"/>
                <w:szCs w:val="16"/>
                <w:color w:val="auto"/>
              </w:rPr>
              <w:t>77,519</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39,892</w:t>
            </w:r>
          </w:p>
        </w:tc>
        <w:tc>
          <w:tcPr>
            <w:tcW w:w="100" w:type="dxa"/>
            <w:vAlign w:val="bottom"/>
          </w:tcPr>
          <w:p>
            <w:pPr>
              <w:spacing w:after="0"/>
              <w:rPr>
                <w:sz w:val="19"/>
                <w:szCs w:val="19"/>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6"/>
                <w:szCs w:val="16"/>
                <w:color w:val="auto"/>
                <w:w w:val="89"/>
              </w:rPr>
              <w:t>$</w:t>
            </w:r>
          </w:p>
        </w:tc>
        <w:tc>
          <w:tcPr>
            <w:tcW w:w="100" w:type="dxa"/>
            <w:vAlign w:val="bottom"/>
          </w:tcPr>
          <w:p>
            <w:pPr>
              <w:spacing w:after="0"/>
              <w:rPr>
                <w:sz w:val="19"/>
                <w:szCs w:val="19"/>
                <w:color w:val="auto"/>
              </w:rPr>
            </w:pPr>
          </w:p>
        </w:tc>
        <w:tc>
          <w:tcPr>
            <w:tcW w:w="920" w:type="dxa"/>
            <w:vAlign w:val="bottom"/>
          </w:tcPr>
          <w:p>
            <w:pPr>
              <w:jc w:val="right"/>
              <w:ind w:right="140"/>
              <w:spacing w:after="0"/>
              <w:rPr>
                <w:sz w:val="20"/>
                <w:szCs w:val="20"/>
                <w:color w:val="auto"/>
              </w:rPr>
            </w:pPr>
            <w:r>
              <w:rPr>
                <w:rFonts w:ascii="Arial" w:cs="Arial" w:eastAsia="Arial" w:hAnsi="Arial"/>
                <w:sz w:val="16"/>
                <w:szCs w:val="16"/>
                <w:color w:val="auto"/>
              </w:rPr>
              <w:t>69,094</w:t>
            </w:r>
          </w:p>
        </w:tc>
        <w:tc>
          <w:tcPr>
            <w:tcW w:w="100" w:type="dxa"/>
            <w:vAlign w:val="bottom"/>
          </w:tcPr>
          <w:p>
            <w:pPr>
              <w:spacing w:after="0"/>
              <w:rPr>
                <w:sz w:val="19"/>
                <w:szCs w:val="19"/>
                <w:color w:val="auto"/>
              </w:rPr>
            </w:pPr>
          </w:p>
        </w:tc>
        <w:tc>
          <w:tcPr>
            <w:tcW w:w="340" w:type="dxa"/>
            <w:vAlign w:val="bottom"/>
            <w:gridSpan w:val="2"/>
          </w:tcPr>
          <w:p>
            <w:pPr>
              <w:jc w:val="right"/>
              <w:ind w:right="13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39"/>
              <w:spacing w:after="0"/>
              <w:rPr>
                <w:sz w:val="20"/>
                <w:szCs w:val="20"/>
                <w:color w:val="auto"/>
              </w:rPr>
            </w:pPr>
            <w:r>
              <w:rPr>
                <w:rFonts w:ascii="Arial" w:cs="Arial" w:eastAsia="Arial" w:hAnsi="Arial"/>
                <w:sz w:val="16"/>
                <w:szCs w:val="16"/>
                <w:color w:val="auto"/>
              </w:rPr>
              <w:t>29,629</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Average agency securities, at cost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color w:val="auto"/>
              </w:rPr>
              <w:t>81,500</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41,668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rPr>
              <w:t>72,480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2"/>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30,923</w:t>
            </w:r>
          </w:p>
        </w:tc>
        <w:tc>
          <w:tcPr>
            <w:tcW w:w="0" w:type="dxa"/>
            <w:vAlign w:val="bottom"/>
          </w:tcPr>
          <w:p>
            <w:pPr>
              <w:spacing w:after="0"/>
              <w:rPr>
                <w:sz w:val="1"/>
                <w:szCs w:val="1"/>
                <w:color w:val="auto"/>
              </w:rPr>
            </w:pPr>
          </w:p>
        </w:tc>
      </w:tr>
      <w:tr>
        <w:trPr>
          <w:trHeight w:val="23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Average total assets, at fair value</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ind w:right="120"/>
              <w:spacing w:after="0"/>
              <w:rPr>
                <w:sz w:val="20"/>
                <w:szCs w:val="20"/>
                <w:color w:val="auto"/>
              </w:rPr>
            </w:pPr>
            <w:r>
              <w:rPr>
                <w:rFonts w:ascii="Arial" w:cs="Arial" w:eastAsia="Arial" w:hAnsi="Arial"/>
                <w:sz w:val="16"/>
                <w:szCs w:val="16"/>
                <w:color w:val="auto"/>
              </w:rPr>
              <w:t>95,007</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47,077</w:t>
            </w:r>
          </w:p>
        </w:tc>
        <w:tc>
          <w:tcPr>
            <w:tcW w:w="100" w:type="dxa"/>
            <w:vAlign w:val="bottom"/>
          </w:tcPr>
          <w:p>
            <w:pPr>
              <w:spacing w:after="0"/>
              <w:rPr>
                <w:sz w:val="20"/>
                <w:szCs w:val="20"/>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6"/>
                <w:szCs w:val="16"/>
                <w:color w:val="auto"/>
                <w:w w:val="89"/>
              </w:rPr>
              <w:t>$</w:t>
            </w:r>
          </w:p>
        </w:tc>
        <w:tc>
          <w:tcPr>
            <w:tcW w:w="100" w:type="dxa"/>
            <w:vAlign w:val="bottom"/>
          </w:tcPr>
          <w:p>
            <w:pPr>
              <w:spacing w:after="0"/>
              <w:rPr>
                <w:sz w:val="20"/>
                <w:szCs w:val="20"/>
                <w:color w:val="auto"/>
              </w:rPr>
            </w:pPr>
          </w:p>
        </w:tc>
        <w:tc>
          <w:tcPr>
            <w:tcW w:w="920" w:type="dxa"/>
            <w:vAlign w:val="bottom"/>
          </w:tcPr>
          <w:p>
            <w:pPr>
              <w:jc w:val="right"/>
              <w:ind w:right="140"/>
              <w:spacing w:after="0"/>
              <w:rPr>
                <w:sz w:val="20"/>
                <w:szCs w:val="20"/>
                <w:color w:val="auto"/>
              </w:rPr>
            </w:pPr>
            <w:r>
              <w:rPr>
                <w:rFonts w:ascii="Arial" w:cs="Arial" w:eastAsia="Arial" w:hAnsi="Arial"/>
                <w:sz w:val="16"/>
                <w:szCs w:val="16"/>
                <w:color w:val="auto"/>
              </w:rPr>
              <w:t>81,949</w:t>
            </w:r>
          </w:p>
        </w:tc>
        <w:tc>
          <w:tcPr>
            <w:tcW w:w="100" w:type="dxa"/>
            <w:vAlign w:val="bottom"/>
          </w:tcPr>
          <w:p>
            <w:pPr>
              <w:spacing w:after="0"/>
              <w:rPr>
                <w:sz w:val="20"/>
                <w:szCs w:val="20"/>
                <w:color w:val="auto"/>
              </w:rPr>
            </w:pPr>
          </w:p>
        </w:tc>
        <w:tc>
          <w:tcPr>
            <w:tcW w:w="340" w:type="dxa"/>
            <w:vAlign w:val="bottom"/>
            <w:gridSpan w:val="2"/>
          </w:tcPr>
          <w:p>
            <w:pPr>
              <w:jc w:val="right"/>
              <w:ind w:right="13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39"/>
              <w:spacing w:after="0"/>
              <w:rPr>
                <w:sz w:val="20"/>
                <w:szCs w:val="20"/>
                <w:color w:val="auto"/>
              </w:rPr>
            </w:pPr>
            <w:r>
              <w:rPr>
                <w:rFonts w:ascii="Arial" w:cs="Arial" w:eastAsia="Arial" w:hAnsi="Arial"/>
                <w:sz w:val="16"/>
                <w:szCs w:val="16"/>
                <w:color w:val="auto"/>
              </w:rPr>
              <w:t>34,095</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Average repurchase agreements and other debt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color w:val="auto"/>
              </w:rPr>
              <w:t>75,106</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38,484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rPr>
              <w:t>66,890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2"/>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28,355</w:t>
            </w:r>
          </w:p>
        </w:tc>
        <w:tc>
          <w:tcPr>
            <w:tcW w:w="0" w:type="dxa"/>
            <w:vAlign w:val="bottom"/>
          </w:tcPr>
          <w:p>
            <w:pPr>
              <w:spacing w:after="0"/>
              <w:rPr>
                <w:sz w:val="1"/>
                <w:szCs w:val="1"/>
                <w:color w:val="auto"/>
              </w:rPr>
            </w:pPr>
          </w:p>
        </w:tc>
      </w:tr>
      <w:tr>
        <w:trPr>
          <w:trHeight w:val="270"/>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stockholders' equity </w:t>
            </w:r>
            <w:r>
              <w:rPr>
                <w:rFonts w:ascii="Arial" w:cs="Arial" w:eastAsia="Arial" w:hAnsi="Arial"/>
                <w:sz w:val="21"/>
                <w:szCs w:val="21"/>
                <w:color w:val="auto"/>
                <w:vertAlign w:val="superscript"/>
              </w:rPr>
              <w:t>(3)</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0" w:type="dxa"/>
            <w:vAlign w:val="bottom"/>
          </w:tcPr>
          <w:p>
            <w:pPr>
              <w:jc w:val="right"/>
              <w:ind w:right="120"/>
              <w:spacing w:after="0"/>
              <w:rPr>
                <w:sz w:val="20"/>
                <w:szCs w:val="20"/>
                <w:color w:val="auto"/>
              </w:rPr>
            </w:pPr>
            <w:r>
              <w:rPr>
                <w:rFonts w:ascii="Arial" w:cs="Arial" w:eastAsia="Arial" w:hAnsi="Arial"/>
                <w:sz w:val="16"/>
                <w:szCs w:val="16"/>
                <w:color w:val="auto"/>
              </w:rPr>
              <w:t>10,602</w:t>
            </w: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4,872</w:t>
            </w:r>
          </w:p>
        </w:tc>
        <w:tc>
          <w:tcPr>
            <w:tcW w:w="100" w:type="dxa"/>
            <w:vAlign w:val="bottom"/>
          </w:tcPr>
          <w:p>
            <w:pPr>
              <w:spacing w:after="0"/>
              <w:rPr>
                <w:sz w:val="23"/>
                <w:szCs w:val="23"/>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6"/>
                <w:szCs w:val="16"/>
                <w:color w:val="auto"/>
                <w:w w:val="89"/>
              </w:rPr>
              <w:t>$</w:t>
            </w:r>
          </w:p>
        </w:tc>
        <w:tc>
          <w:tcPr>
            <w:tcW w:w="100" w:type="dxa"/>
            <w:vAlign w:val="bottom"/>
          </w:tcPr>
          <w:p>
            <w:pPr>
              <w:spacing w:after="0"/>
              <w:rPr>
                <w:sz w:val="23"/>
                <w:szCs w:val="23"/>
                <w:color w:val="auto"/>
              </w:rPr>
            </w:pPr>
          </w:p>
        </w:tc>
        <w:tc>
          <w:tcPr>
            <w:tcW w:w="920" w:type="dxa"/>
            <w:vAlign w:val="bottom"/>
          </w:tcPr>
          <w:p>
            <w:pPr>
              <w:jc w:val="right"/>
              <w:ind w:right="140"/>
              <w:spacing w:after="0"/>
              <w:rPr>
                <w:sz w:val="20"/>
                <w:szCs w:val="20"/>
                <w:color w:val="auto"/>
              </w:rPr>
            </w:pPr>
            <w:r>
              <w:rPr>
                <w:rFonts w:ascii="Arial" w:cs="Arial" w:eastAsia="Arial" w:hAnsi="Arial"/>
                <w:sz w:val="16"/>
                <w:szCs w:val="16"/>
                <w:color w:val="auto"/>
              </w:rPr>
              <w:t>8,899</w:t>
            </w:r>
          </w:p>
        </w:tc>
        <w:tc>
          <w:tcPr>
            <w:tcW w:w="100" w:type="dxa"/>
            <w:vAlign w:val="bottom"/>
          </w:tcPr>
          <w:p>
            <w:pPr>
              <w:spacing w:after="0"/>
              <w:rPr>
                <w:sz w:val="23"/>
                <w:szCs w:val="23"/>
                <w:color w:val="auto"/>
              </w:rPr>
            </w:pPr>
          </w:p>
        </w:tc>
        <w:tc>
          <w:tcPr>
            <w:tcW w:w="340" w:type="dxa"/>
            <w:vAlign w:val="bottom"/>
            <w:gridSpan w:val="2"/>
          </w:tcPr>
          <w:p>
            <w:pPr>
              <w:jc w:val="right"/>
              <w:ind w:right="13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39"/>
              <w:spacing w:after="0"/>
              <w:rPr>
                <w:sz w:val="20"/>
                <w:szCs w:val="20"/>
                <w:color w:val="auto"/>
              </w:rPr>
            </w:pPr>
            <w:r>
              <w:rPr>
                <w:rFonts w:ascii="Arial" w:cs="Arial" w:eastAsia="Arial" w:hAnsi="Arial"/>
                <w:sz w:val="16"/>
                <w:szCs w:val="16"/>
                <w:color w:val="auto"/>
              </w:rPr>
              <w:t>3,699</w:t>
            </w:r>
          </w:p>
        </w:tc>
        <w:tc>
          <w:tcPr>
            <w:tcW w:w="0" w:type="dxa"/>
            <w:vAlign w:val="bottom"/>
          </w:tcPr>
          <w:p>
            <w:pPr>
              <w:spacing w:after="0"/>
              <w:rPr>
                <w:sz w:val="1"/>
                <w:szCs w:val="1"/>
                <w:color w:val="auto"/>
              </w:rPr>
            </w:pPr>
          </w:p>
        </w:tc>
      </w:tr>
      <w:tr>
        <w:trPr>
          <w:trHeight w:val="270"/>
        </w:trPr>
        <w:tc>
          <w:tcPr>
            <w:tcW w:w="62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coupon </w:t>
            </w:r>
            <w:r>
              <w:rPr>
                <w:rFonts w:ascii="Arial" w:cs="Arial" w:eastAsia="Arial" w:hAnsi="Arial"/>
                <w:sz w:val="21"/>
                <w:szCs w:val="21"/>
                <w:color w:val="auto"/>
                <w:vertAlign w:val="superscript"/>
              </w:rPr>
              <w:t>(4)</w:t>
            </w:r>
          </w:p>
        </w:tc>
        <w:tc>
          <w:tcPr>
            <w:tcW w:w="1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3.81 %</w:t>
            </w: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4.40 %</w:t>
            </w:r>
          </w:p>
        </w:tc>
        <w:tc>
          <w:tcPr>
            <w:tcW w:w="10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3.96 %</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4.47 %</w:t>
            </w:r>
          </w:p>
        </w:tc>
        <w:tc>
          <w:tcPr>
            <w:tcW w:w="0" w:type="dxa"/>
            <w:vAlign w:val="bottom"/>
          </w:tcPr>
          <w:p>
            <w:pPr>
              <w:spacing w:after="0"/>
              <w:rPr>
                <w:sz w:val="1"/>
                <w:szCs w:val="1"/>
                <w:color w:val="auto"/>
              </w:rPr>
            </w:pPr>
          </w:p>
        </w:tc>
      </w:tr>
      <w:tr>
        <w:trPr>
          <w:trHeight w:val="270"/>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asset yield </w:t>
            </w:r>
            <w:r>
              <w:rPr>
                <w:rFonts w:ascii="Arial" w:cs="Arial" w:eastAsia="Arial" w:hAnsi="Arial"/>
                <w:sz w:val="21"/>
                <w:szCs w:val="21"/>
                <w:color w:val="auto"/>
                <w:vertAlign w:val="superscript"/>
              </w:rPr>
              <w:t>(5)</w:t>
            </w:r>
          </w:p>
        </w:tc>
        <w:tc>
          <w:tcPr>
            <w:tcW w:w="1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2.55 %</w:t>
            </w: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3.14 %</w:t>
            </w: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2.82 %</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3.25 %</w:t>
            </w:r>
          </w:p>
        </w:tc>
        <w:tc>
          <w:tcPr>
            <w:tcW w:w="0" w:type="dxa"/>
            <w:vAlign w:val="bottom"/>
          </w:tcPr>
          <w:p>
            <w:pPr>
              <w:spacing w:after="0"/>
              <w:rPr>
                <w:sz w:val="1"/>
                <w:szCs w:val="1"/>
                <w:color w:val="auto"/>
              </w:rPr>
            </w:pPr>
          </w:p>
        </w:tc>
      </w:tr>
      <w:tr>
        <w:trPr>
          <w:trHeight w:val="270"/>
        </w:trPr>
        <w:tc>
          <w:tcPr>
            <w:tcW w:w="62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cost of funds </w:t>
            </w:r>
            <w:r>
              <w:rPr>
                <w:rFonts w:ascii="Arial" w:cs="Arial" w:eastAsia="Arial" w:hAnsi="Arial"/>
                <w:sz w:val="21"/>
                <w:szCs w:val="21"/>
                <w:color w:val="auto"/>
                <w:vertAlign w:val="superscript"/>
              </w:rPr>
              <w:t>(6)</w:t>
            </w:r>
          </w:p>
        </w:tc>
        <w:tc>
          <w:tcPr>
            <w:tcW w:w="1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1.13 %</w:t>
            </w: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1.00 %</w:t>
            </w:r>
          </w:p>
        </w:tc>
        <w:tc>
          <w:tcPr>
            <w:tcW w:w="10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1.08 %</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0.93 %</w:t>
            </w:r>
          </w:p>
        </w:tc>
        <w:tc>
          <w:tcPr>
            <w:tcW w:w="0" w:type="dxa"/>
            <w:vAlign w:val="bottom"/>
          </w:tcPr>
          <w:p>
            <w:pPr>
              <w:spacing w:after="0"/>
              <w:rPr>
                <w:sz w:val="1"/>
                <w:szCs w:val="1"/>
                <w:color w:val="auto"/>
              </w:rPr>
            </w:pPr>
          </w:p>
        </w:tc>
      </w:tr>
      <w:tr>
        <w:trPr>
          <w:trHeight w:val="270"/>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net interest rate spread </w:t>
            </w:r>
            <w:r>
              <w:rPr>
                <w:rFonts w:ascii="Arial" w:cs="Arial" w:eastAsia="Arial" w:hAnsi="Arial"/>
                <w:sz w:val="21"/>
                <w:szCs w:val="21"/>
                <w:color w:val="auto"/>
                <w:vertAlign w:val="superscript"/>
              </w:rPr>
              <w:t>(7)</w:t>
            </w:r>
          </w:p>
        </w:tc>
        <w:tc>
          <w:tcPr>
            <w:tcW w:w="1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1.42 %</w:t>
            </w: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2.14 %</w:t>
            </w: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1.74 %</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2.33 %</w:t>
            </w:r>
          </w:p>
        </w:tc>
        <w:tc>
          <w:tcPr>
            <w:tcW w:w="0" w:type="dxa"/>
            <w:vAlign w:val="bottom"/>
          </w:tcPr>
          <w:p>
            <w:pPr>
              <w:spacing w:after="0"/>
              <w:rPr>
                <w:sz w:val="1"/>
                <w:szCs w:val="1"/>
                <w:color w:val="auto"/>
              </w:rPr>
            </w:pPr>
          </w:p>
        </w:tc>
      </w:tr>
      <w:tr>
        <w:trPr>
          <w:trHeight w:val="25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Average coupon (</w:t>
            </w:r>
            <w:r>
              <w:rPr>
                <w:rFonts w:ascii="Arial" w:cs="Arial" w:eastAsia="Arial" w:hAnsi="Arial"/>
                <w:sz w:val="16"/>
                <w:szCs w:val="16"/>
                <w:i w:val="1"/>
                <w:iCs w:val="1"/>
                <w:color w:val="auto"/>
              </w:rPr>
              <w:t>as of period end</w:t>
            </w: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3.77 %</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4.35 %</w:t>
            </w: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3.77 %</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4.35 %</w:t>
            </w:r>
          </w:p>
        </w:tc>
        <w:tc>
          <w:tcPr>
            <w:tcW w:w="0" w:type="dxa"/>
            <w:vAlign w:val="bottom"/>
          </w:tcPr>
          <w:p>
            <w:pPr>
              <w:spacing w:after="0"/>
              <w:rPr>
                <w:sz w:val="1"/>
                <w:szCs w:val="1"/>
                <w:color w:val="auto"/>
              </w:rPr>
            </w:pPr>
          </w:p>
        </w:tc>
      </w:tr>
      <w:tr>
        <w:trPr>
          <w:trHeight w:val="23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Average asset yield (</w:t>
            </w:r>
            <w:r>
              <w:rPr>
                <w:rFonts w:ascii="Arial" w:cs="Arial" w:eastAsia="Arial" w:hAnsi="Arial"/>
                <w:sz w:val="16"/>
                <w:szCs w:val="16"/>
                <w:i w:val="1"/>
                <w:iCs w:val="1"/>
                <w:color w:val="auto"/>
              </w:rPr>
              <w:t>as of period end</w:t>
            </w: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2.61 %</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3.18 %</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2.61 %</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3.18 %</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Average cost of funds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(8)</w:t>
            </w:r>
          </w:p>
        </w:tc>
        <w:tc>
          <w:tcPr>
            <w:tcW w:w="1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w:t>
            </w: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(1.24)%</w:t>
            </w:r>
          </w:p>
        </w:tc>
        <w:tc>
          <w:tcPr>
            <w:tcW w:w="10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(1.24)%</w:t>
            </w:r>
          </w:p>
        </w:tc>
        <w:tc>
          <w:tcPr>
            <w:tcW w:w="0" w:type="dxa"/>
            <w:vAlign w:val="bottom"/>
          </w:tcPr>
          <w:p>
            <w:pPr>
              <w:spacing w:after="0"/>
              <w:rPr>
                <w:sz w:val="1"/>
                <w:szCs w:val="1"/>
                <w:color w:val="auto"/>
              </w:rPr>
            </w:pPr>
          </w:p>
        </w:tc>
      </w:tr>
      <w:tr>
        <w:trPr>
          <w:trHeight w:val="23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Average net interest rate spread (</w:t>
            </w:r>
            <w:r>
              <w:rPr>
                <w:rFonts w:ascii="Arial" w:cs="Arial" w:eastAsia="Arial" w:hAnsi="Arial"/>
                <w:sz w:val="16"/>
                <w:szCs w:val="16"/>
                <w:i w:val="1"/>
                <w:iCs w:val="1"/>
                <w:color w:val="auto"/>
              </w:rPr>
              <w:t>as of period end</w:t>
            </w: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1.50 %</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1.94 %</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1.50 %</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1.94 %</w:t>
            </w: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Net comprehensive income return on average common equity - annualized </w:t>
            </w:r>
            <w:r>
              <w:rPr>
                <w:rFonts w:ascii="Arial" w:cs="Arial" w:eastAsia="Arial" w:hAnsi="Arial"/>
                <w:sz w:val="21"/>
                <w:szCs w:val="21"/>
                <w:color w:val="auto"/>
                <w:vertAlign w:val="superscript"/>
              </w:rPr>
              <w:t>(9)</w:t>
            </w:r>
          </w:p>
        </w:tc>
        <w:tc>
          <w:tcPr>
            <w:tcW w:w="1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50.4 %</w:t>
            </w: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22.3 %</w:t>
            </w:r>
          </w:p>
        </w:tc>
        <w:tc>
          <w:tcPr>
            <w:tcW w:w="10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36.2 %</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24.3 %</w:t>
            </w:r>
          </w:p>
        </w:tc>
        <w:tc>
          <w:tcPr>
            <w:tcW w:w="0" w:type="dxa"/>
            <w:vAlign w:val="bottom"/>
          </w:tcPr>
          <w:p>
            <w:pPr>
              <w:spacing w:after="0"/>
              <w:rPr>
                <w:sz w:val="1"/>
                <w:szCs w:val="1"/>
                <w:color w:val="auto"/>
              </w:rPr>
            </w:pPr>
          </w:p>
        </w:tc>
      </w:tr>
      <w:tr>
        <w:trPr>
          <w:trHeight w:val="270"/>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 xml:space="preserve">Economic return on common equity - annualized </w:t>
            </w:r>
            <w:r>
              <w:rPr>
                <w:rFonts w:ascii="Arial" w:cs="Arial" w:eastAsia="Arial" w:hAnsi="Arial"/>
                <w:sz w:val="21"/>
                <w:szCs w:val="21"/>
                <w:color w:val="auto"/>
                <w:vertAlign w:val="superscript"/>
              </w:rPr>
              <w:t>(10)</w:t>
            </w:r>
          </w:p>
        </w:tc>
        <w:tc>
          <w:tcPr>
            <w:tcW w:w="1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58.7 %</w:t>
            </w: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22.9 %</w:t>
            </w: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41.1 %</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37.8 %</w:t>
            </w:r>
          </w:p>
        </w:tc>
        <w:tc>
          <w:tcPr>
            <w:tcW w:w="0" w:type="dxa"/>
            <w:vAlign w:val="bottom"/>
          </w:tcPr>
          <w:p>
            <w:pPr>
              <w:spacing w:after="0"/>
              <w:rPr>
                <w:sz w:val="1"/>
                <w:szCs w:val="1"/>
                <w:color w:val="auto"/>
              </w:rPr>
            </w:pPr>
          </w:p>
        </w:tc>
      </w:tr>
      <w:tr>
        <w:trPr>
          <w:trHeight w:val="338"/>
        </w:trPr>
        <w:tc>
          <w:tcPr>
            <w:tcW w:w="62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Leverage (</w:t>
            </w:r>
            <w:r>
              <w:rPr>
                <w:rFonts w:ascii="Arial" w:cs="Arial" w:eastAsia="Arial" w:hAnsi="Arial"/>
                <w:sz w:val="16"/>
                <w:szCs w:val="16"/>
                <w:i w:val="1"/>
                <w:iCs w:val="1"/>
                <w:color w:val="auto"/>
              </w:rPr>
              <w:t>average during the period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(11)</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7.1:1</w:t>
            </w: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vMerge w:val="restart"/>
            <w:shd w:val="clear" w:color="auto" w:fill="CCEEFF"/>
          </w:tcPr>
          <w:p>
            <w:pPr>
              <w:jc w:val="right"/>
              <w:ind w:right="139"/>
              <w:spacing w:after="0"/>
              <w:rPr>
                <w:sz w:val="20"/>
                <w:szCs w:val="20"/>
                <w:color w:val="auto"/>
              </w:rPr>
            </w:pPr>
            <w:r>
              <w:rPr>
                <w:rFonts w:ascii="Arial" w:cs="Arial" w:eastAsia="Arial" w:hAnsi="Arial"/>
                <w:sz w:val="16"/>
                <w:szCs w:val="16"/>
                <w:color w:val="auto"/>
              </w:rPr>
              <w:t>7.9:1</w:t>
            </w: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20" w:type="dxa"/>
            <w:vAlign w:val="bottom"/>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7.5:1</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80" w:type="dxa"/>
            <w:vAlign w:val="bottom"/>
            <w:vMerge w:val="restart"/>
            <w:shd w:val="clear" w:color="auto" w:fill="CCEEFF"/>
          </w:tcPr>
          <w:p>
            <w:pPr>
              <w:jc w:val="right"/>
              <w:ind w:right="139"/>
              <w:spacing w:after="0"/>
              <w:rPr>
                <w:sz w:val="20"/>
                <w:szCs w:val="20"/>
                <w:color w:val="auto"/>
              </w:rPr>
            </w:pPr>
            <w:r>
              <w:rPr>
                <w:rFonts w:ascii="Arial" w:cs="Arial" w:eastAsia="Arial" w:hAnsi="Arial"/>
                <w:sz w:val="16"/>
                <w:szCs w:val="16"/>
                <w:color w:val="auto"/>
              </w:rPr>
              <w:t>7.7:1</w:t>
            </w:r>
          </w:p>
        </w:tc>
        <w:tc>
          <w:tcPr>
            <w:tcW w:w="0" w:type="dxa"/>
            <w:vAlign w:val="bottom"/>
          </w:tcPr>
          <w:p>
            <w:pPr>
              <w:spacing w:after="0"/>
              <w:rPr>
                <w:sz w:val="1"/>
                <w:szCs w:val="1"/>
                <w:color w:val="auto"/>
              </w:rPr>
            </w:pPr>
          </w:p>
        </w:tc>
      </w:tr>
      <w:tr>
        <w:trPr>
          <w:trHeight w:val="61"/>
        </w:trPr>
        <w:tc>
          <w:tcPr>
            <w:tcW w:w="612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160" w:type="dxa"/>
            <w:vAlign w:val="bottom"/>
            <w:tcBorders>
              <w:bottom w:val="single" w:sz="8" w:color="CCEEFF"/>
            </w:tcBorders>
            <w:shd w:val="clear" w:color="auto" w:fill="CCEEFF"/>
          </w:tcPr>
          <w:p>
            <w:pPr>
              <w:spacing w:after="0"/>
              <w:rPr>
                <w:sz w:val="5"/>
                <w:szCs w:val="5"/>
                <w:color w:val="auto"/>
              </w:rPr>
            </w:pPr>
          </w:p>
        </w:tc>
        <w:tc>
          <w:tcPr>
            <w:tcW w:w="140" w:type="dxa"/>
            <w:vAlign w:val="bottom"/>
            <w:tcBorders>
              <w:bottom w:val="single" w:sz="8" w:color="CCEEFF"/>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800" w:type="dxa"/>
            <w:vAlign w:val="bottom"/>
            <w:tcBorders>
              <w:bottom w:val="single" w:sz="8" w:color="CCEEFF"/>
            </w:tcBorders>
            <w:vMerge w:val="continue"/>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2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160" w:type="dxa"/>
            <w:vAlign w:val="bottom"/>
            <w:tcBorders>
              <w:bottom w:val="single" w:sz="8" w:color="CCEEFF"/>
            </w:tcBorders>
            <w:shd w:val="clear" w:color="auto" w:fill="CCEEFF"/>
          </w:tcPr>
          <w:p>
            <w:pPr>
              <w:spacing w:after="0"/>
              <w:rPr>
                <w:sz w:val="5"/>
                <w:szCs w:val="5"/>
                <w:color w:val="auto"/>
              </w:rPr>
            </w:pPr>
          </w:p>
        </w:tc>
        <w:tc>
          <w:tcPr>
            <w:tcW w:w="800" w:type="dxa"/>
            <w:vAlign w:val="bottom"/>
            <w:tcBorders>
              <w:bottom w:val="single" w:sz="8" w:color="CCEEFF"/>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80" w:type="dxa"/>
            <w:vAlign w:val="bottom"/>
            <w:tcBorders>
              <w:bottom w:val="single" w:sz="8" w:color="CCEEFF"/>
            </w:tcBorders>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920" w:type="dxa"/>
            <w:vAlign w:val="bottom"/>
            <w:tcBorders>
              <w:bottom w:val="single" w:sz="8" w:color="CCEEFF"/>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240" w:type="dxa"/>
            <w:vAlign w:val="bottom"/>
            <w:tcBorders>
              <w:bottom w:val="single" w:sz="8" w:color="CCEEFF"/>
            </w:tcBorders>
            <w:shd w:val="clear" w:color="auto" w:fill="CCEEFF"/>
          </w:tcPr>
          <w:p>
            <w:pPr>
              <w:spacing w:after="0"/>
              <w:rPr>
                <w:sz w:val="5"/>
                <w:szCs w:val="5"/>
                <w:color w:val="auto"/>
              </w:rPr>
            </w:pPr>
          </w:p>
        </w:tc>
        <w:tc>
          <w:tcPr>
            <w:tcW w:w="880" w:type="dxa"/>
            <w:vAlign w:val="bottom"/>
            <w:tcBorders>
              <w:bottom w:val="single" w:sz="8" w:color="CCEEFF"/>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338"/>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Leverage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(12)</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vMerge w:val="restart"/>
          </w:tcPr>
          <w:p>
            <w:pPr>
              <w:jc w:val="right"/>
              <w:ind w:right="120"/>
              <w:spacing w:after="0"/>
              <w:rPr>
                <w:sz w:val="20"/>
                <w:szCs w:val="20"/>
                <w:color w:val="auto"/>
              </w:rPr>
            </w:pPr>
            <w:r>
              <w:rPr>
                <w:rFonts w:ascii="Arial" w:cs="Arial" w:eastAsia="Arial" w:hAnsi="Arial"/>
                <w:sz w:val="16"/>
                <w:szCs w:val="16"/>
                <w:color w:val="auto"/>
              </w:rPr>
              <w:t>7.0:1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vMerge w:val="restart"/>
          </w:tcPr>
          <w:p>
            <w:pPr>
              <w:jc w:val="right"/>
              <w:ind w:right="139"/>
              <w:spacing w:after="0"/>
              <w:rPr>
                <w:sz w:val="20"/>
                <w:szCs w:val="20"/>
                <w:color w:val="auto"/>
              </w:rPr>
            </w:pPr>
            <w:r>
              <w:rPr>
                <w:rFonts w:ascii="Arial" w:cs="Arial" w:eastAsia="Arial" w:hAnsi="Arial"/>
                <w:sz w:val="16"/>
                <w:szCs w:val="16"/>
                <w:color w:val="auto"/>
              </w:rPr>
              <w:t>7.7:1</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vMerge w:val="restart"/>
          </w:tcPr>
          <w:p>
            <w:pPr>
              <w:jc w:val="right"/>
              <w:ind w:right="140"/>
              <w:spacing w:after="0"/>
              <w:rPr>
                <w:sz w:val="20"/>
                <w:szCs w:val="20"/>
                <w:color w:val="auto"/>
              </w:rPr>
            </w:pPr>
            <w:r>
              <w:rPr>
                <w:rFonts w:ascii="Arial" w:cs="Arial" w:eastAsia="Arial" w:hAnsi="Arial"/>
                <w:sz w:val="16"/>
                <w:szCs w:val="16"/>
                <w:color w:val="auto"/>
              </w:rPr>
              <w:t>7.0:1</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vMerge w:val="restart"/>
          </w:tcPr>
          <w:p>
            <w:pPr>
              <w:jc w:val="right"/>
              <w:ind w:right="139"/>
              <w:spacing w:after="0"/>
              <w:rPr>
                <w:sz w:val="20"/>
                <w:szCs w:val="20"/>
                <w:color w:val="auto"/>
              </w:rPr>
            </w:pPr>
            <w:r>
              <w:rPr>
                <w:rFonts w:ascii="Arial" w:cs="Arial" w:eastAsia="Arial" w:hAnsi="Arial"/>
                <w:sz w:val="16"/>
                <w:szCs w:val="16"/>
                <w:color w:val="auto"/>
              </w:rPr>
              <w:t>7.7:1</w:t>
            </w:r>
          </w:p>
        </w:tc>
        <w:tc>
          <w:tcPr>
            <w:tcW w:w="0" w:type="dxa"/>
            <w:vAlign w:val="bottom"/>
          </w:tcPr>
          <w:p>
            <w:pPr>
              <w:spacing w:after="0"/>
              <w:rPr>
                <w:sz w:val="1"/>
                <w:szCs w:val="1"/>
                <w:color w:val="auto"/>
              </w:rPr>
            </w:pPr>
          </w:p>
        </w:tc>
      </w:tr>
      <w:tr>
        <w:trPr>
          <w:trHeight w:val="48"/>
        </w:trPr>
        <w:tc>
          <w:tcPr>
            <w:tcW w:w="6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92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3"/>
        </w:trPr>
        <w:tc>
          <w:tcPr>
            <w:tcW w:w="6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Expenses % of average assets</w:t>
            </w: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0.17 %</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0.18 %</w:t>
            </w: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0.17 %</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0.19 %</w:t>
            </w:r>
          </w:p>
        </w:tc>
        <w:tc>
          <w:tcPr>
            <w:tcW w:w="0" w:type="dxa"/>
            <w:vAlign w:val="bottom"/>
          </w:tcPr>
          <w:p>
            <w:pPr>
              <w:spacing w:after="0"/>
              <w:rPr>
                <w:sz w:val="1"/>
                <w:szCs w:val="1"/>
                <w:color w:val="auto"/>
              </w:rPr>
            </w:pPr>
          </w:p>
        </w:tc>
      </w:tr>
      <w:tr>
        <w:trPr>
          <w:trHeight w:val="237"/>
        </w:trPr>
        <w:tc>
          <w:tcPr>
            <w:tcW w:w="6240" w:type="dxa"/>
            <w:vAlign w:val="bottom"/>
            <w:gridSpan w:val="2"/>
          </w:tcPr>
          <w:p>
            <w:pPr>
              <w:ind w:left="40"/>
              <w:spacing w:after="0"/>
              <w:rPr>
                <w:sz w:val="20"/>
                <w:szCs w:val="20"/>
                <w:color w:val="auto"/>
              </w:rPr>
            </w:pPr>
            <w:r>
              <w:rPr>
                <w:rFonts w:ascii="Arial" w:cs="Arial" w:eastAsia="Arial" w:hAnsi="Arial"/>
                <w:sz w:val="16"/>
                <w:szCs w:val="16"/>
                <w:color w:val="auto"/>
              </w:rPr>
              <w:t>Expenses % of average equity</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1.50 %</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1.75 %</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1.56 %</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1.79 %</w:t>
            </w:r>
          </w:p>
        </w:tc>
        <w:tc>
          <w:tcPr>
            <w:tcW w:w="0" w:type="dxa"/>
            <w:vAlign w:val="bottom"/>
          </w:tcPr>
          <w:p>
            <w:pPr>
              <w:spacing w:after="0"/>
              <w:rPr>
                <w:sz w:val="1"/>
                <w:szCs w:val="1"/>
                <w:color w:val="auto"/>
              </w:rPr>
            </w:pPr>
          </w:p>
        </w:tc>
      </w:tr>
      <w:tr>
        <w:trPr>
          <w:trHeight w:val="242"/>
        </w:trPr>
        <w:tc>
          <w:tcPr>
            <w:tcW w:w="6120" w:type="dxa"/>
            <w:vAlign w:val="bottom"/>
          </w:tcPr>
          <w:p>
            <w:pPr>
              <w:spacing w:after="0"/>
              <w:rPr>
                <w:sz w:val="20"/>
                <w:szCs w:val="20"/>
                <w:color w:val="auto"/>
              </w:rPr>
            </w:pPr>
            <w:r>
              <w:rPr>
                <w:rFonts w:ascii="Arial" w:cs="Arial" w:eastAsia="Arial" w:hAnsi="Arial"/>
                <w:sz w:val="18"/>
                <w:szCs w:val="18"/>
                <w:color w:val="auto"/>
              </w:rPr>
              <w:t>_______________________</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bl>
    <w:p>
      <w:pPr>
        <w:ind w:left="460" w:hanging="366"/>
        <w:spacing w:after="0"/>
        <w:tabs>
          <w:tab w:leader="none" w:pos="460" w:val="left"/>
        </w:tabs>
        <w:numPr>
          <w:ilvl w:val="1"/>
          <w:numId w:val="20"/>
        </w:numPr>
        <w:rPr>
          <w:rFonts w:ascii="Arial" w:cs="Arial" w:eastAsia="Arial" w:hAnsi="Arial"/>
          <w:sz w:val="14"/>
          <w:szCs w:val="14"/>
          <w:color w:val="auto"/>
        </w:rPr>
      </w:pPr>
      <w:r>
        <w:rPr>
          <w:rFonts w:ascii="Arial" w:cs="Arial" w:eastAsia="Arial" w:hAnsi="Arial"/>
          <w:sz w:val="14"/>
          <w:szCs w:val="14"/>
          <w:color w:val="auto"/>
        </w:rPr>
        <w:t>Except as noted below, average numbers for each period are weighted based on days on our books and records. All percentages are annualized.</w:t>
      </w:r>
    </w:p>
    <w:p>
      <w:pPr>
        <w:spacing w:after="0" w:line="1" w:lineRule="exact"/>
        <w:rPr>
          <w:rFonts w:ascii="Arial" w:cs="Arial" w:eastAsia="Arial" w:hAnsi="Arial"/>
          <w:sz w:val="14"/>
          <w:szCs w:val="14"/>
          <w:color w:val="auto"/>
        </w:rPr>
      </w:pPr>
    </w:p>
    <w:p>
      <w:pPr>
        <w:ind w:left="420" w:right="20" w:hanging="412"/>
        <w:spacing w:after="0" w:line="241" w:lineRule="auto"/>
        <w:tabs>
          <w:tab w:leader="none" w:pos="420" w:val="left"/>
        </w:tabs>
        <w:numPr>
          <w:ilvl w:val="0"/>
          <w:numId w:val="20"/>
        </w:numPr>
        <w:rPr>
          <w:rFonts w:ascii="Arial" w:cs="Arial" w:eastAsia="Arial" w:hAnsi="Arial"/>
          <w:sz w:val="14"/>
          <w:szCs w:val="14"/>
          <w:color w:val="auto"/>
        </w:rPr>
      </w:pPr>
      <w:r>
        <w:rPr>
          <w:rFonts w:ascii="Arial" w:cs="Arial" w:eastAsia="Arial" w:hAnsi="Arial"/>
          <w:sz w:val="14"/>
          <w:szCs w:val="14"/>
          <w:color w:val="auto"/>
        </w:rPr>
        <w:t>Net asset value per common share calculated as our total stockholders' equity, less our 8.000% Series A Cumulative Redeemable Preferred Stock liquidation preference of $25 per preferred share, divided by our number of common shares outstanding as of period end.</w:t>
      </w:r>
    </w:p>
    <w:p>
      <w:pPr>
        <w:ind w:left="420" w:hanging="412"/>
        <w:spacing w:after="0"/>
        <w:tabs>
          <w:tab w:leader="none" w:pos="420" w:val="left"/>
        </w:tabs>
        <w:numPr>
          <w:ilvl w:val="0"/>
          <w:numId w:val="20"/>
        </w:numPr>
        <w:rPr>
          <w:rFonts w:ascii="Arial" w:cs="Arial" w:eastAsia="Arial" w:hAnsi="Arial"/>
          <w:sz w:val="14"/>
          <w:szCs w:val="14"/>
          <w:color w:val="auto"/>
        </w:rPr>
      </w:pPr>
      <w:r>
        <w:rPr>
          <w:rFonts w:ascii="Arial" w:cs="Arial" w:eastAsia="Arial" w:hAnsi="Arial"/>
          <w:sz w:val="14"/>
          <w:szCs w:val="14"/>
          <w:color w:val="auto"/>
        </w:rPr>
        <w:t>We voluntarily discontinued hedge accounting under GAAP for interest rate swaps as of September 30, 2011. Accumulated other comprehensive loss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806" w:right="239" w:bottom="1440" w:gutter="0" w:footer="0" w:header="0"/>
        </w:sectPr>
      </w:pPr>
    </w:p>
    <w:bookmarkStart w:id="33" w:name="page34"/>
    <w:bookmarkEnd w:id="33"/>
    <w:p>
      <w:pPr>
        <w:ind w:left="440"/>
        <w:spacing w:after="0"/>
        <w:rPr>
          <w:sz w:val="20"/>
          <w:szCs w:val="20"/>
          <w:color w:val="auto"/>
        </w:rPr>
      </w:pPr>
      <w:r>
        <w:rPr>
          <w:rFonts w:ascii="Arial" w:cs="Arial" w:eastAsia="Arial" w:hAnsi="Arial"/>
          <w:sz w:val="13"/>
          <w:szCs w:val="13"/>
          <w:color w:val="auto"/>
        </w:rPr>
        <w:t>(“OCI”) on our de-designated interest rate swaps as of September 30, 2011 is being amortized on a straight-line basis over the remaining swap terms into interest expense. All other periodic</w:t>
      </w:r>
    </w:p>
    <w:p>
      <w:pPr>
        <w:spacing w:after="0" w:line="107" w:lineRule="exact"/>
        <w:rPr>
          <w:sz w:val="20"/>
          <w:szCs w:val="20"/>
          <w:color w:val="auto"/>
        </w:rPr>
      </w:pPr>
    </w:p>
    <w:p>
      <w:pPr>
        <w:ind w:left="440"/>
        <w:spacing w:after="0"/>
        <w:rPr>
          <w:sz w:val="20"/>
          <w:szCs w:val="20"/>
          <w:color w:val="auto"/>
        </w:rPr>
      </w:pPr>
      <w:r>
        <w:rPr>
          <w:rFonts w:ascii="Arial" w:cs="Arial" w:eastAsia="Arial" w:hAnsi="Arial"/>
          <w:sz w:val="13"/>
          <w:szCs w:val="13"/>
          <w:color w:val="auto"/>
        </w:rPr>
        <w:t>interest costs, termination fees and mark-to-market adjustments associated with our interest rate swaps are reported in other income (loss), net pursuant to GAAP. Other (loss) income, net</w:t>
      </w:r>
    </w:p>
    <w:p>
      <w:pPr>
        <w:spacing w:after="0" w:line="107" w:lineRule="exact"/>
        <w:rPr>
          <w:sz w:val="20"/>
          <w:szCs w:val="20"/>
          <w:color w:val="auto"/>
        </w:rPr>
      </w:pPr>
    </w:p>
    <w:p>
      <w:pPr>
        <w:ind w:left="440"/>
        <w:spacing w:after="0"/>
        <w:rPr>
          <w:sz w:val="20"/>
          <w:szCs w:val="20"/>
          <w:color w:val="auto"/>
        </w:rPr>
      </w:pPr>
      <w:r>
        <w:rPr>
          <w:rFonts w:ascii="Arial" w:cs="Arial" w:eastAsia="Arial" w:hAnsi="Arial"/>
          <w:sz w:val="13"/>
          <w:szCs w:val="13"/>
          <w:color w:val="auto"/>
        </w:rPr>
        <w:t>includes $74 million, $2 million, $175 million and $2 million of other periodic swap interest costs for the three months ended September 30, 2012 and 2011 and the nine months ended</w:t>
      </w:r>
    </w:p>
    <w:p>
      <w:pPr>
        <w:spacing w:after="0" w:line="107" w:lineRule="exact"/>
        <w:rPr>
          <w:sz w:val="20"/>
          <w:szCs w:val="20"/>
          <w:color w:val="auto"/>
        </w:rPr>
      </w:pPr>
    </w:p>
    <w:p>
      <w:pPr>
        <w:ind w:left="440"/>
        <w:spacing w:after="0"/>
        <w:rPr>
          <w:sz w:val="20"/>
          <w:szCs w:val="20"/>
          <w:color w:val="auto"/>
        </w:rPr>
      </w:pPr>
      <w:r>
        <w:rPr>
          <w:rFonts w:ascii="Arial" w:cs="Arial" w:eastAsia="Arial" w:hAnsi="Arial"/>
          <w:sz w:val="13"/>
          <w:szCs w:val="13"/>
          <w:color w:val="auto"/>
        </w:rPr>
        <w:t>September 30, 2012 and 2011, respectively. Please refer to our Interest Expense and Cost of Funds discussion further below and Notes 3 and 6 of our Consolidated Financial Statements in</w:t>
      </w:r>
    </w:p>
    <w:p>
      <w:pPr>
        <w:spacing w:after="0" w:line="107" w:lineRule="exact"/>
        <w:rPr>
          <w:sz w:val="20"/>
          <w:szCs w:val="20"/>
          <w:color w:val="auto"/>
        </w:rPr>
      </w:pPr>
    </w:p>
    <w:p>
      <w:pPr>
        <w:ind w:left="440"/>
        <w:spacing w:after="0"/>
        <w:rPr>
          <w:sz w:val="20"/>
          <w:szCs w:val="20"/>
          <w:color w:val="auto"/>
        </w:rPr>
      </w:pPr>
      <w:r>
        <w:rPr>
          <w:rFonts w:ascii="Arial" w:cs="Arial" w:eastAsia="Arial" w:hAnsi="Arial"/>
          <w:sz w:val="14"/>
          <w:szCs w:val="14"/>
          <w:color w:val="auto"/>
        </w:rPr>
        <w:t>this Report on Form 10-Q for additional information regarding our discontinuance of hedge accounting.</w:t>
      </w:r>
    </w:p>
    <w:p>
      <w:pPr>
        <w:spacing w:after="0" w:line="42" w:lineRule="exact"/>
        <w:rPr>
          <w:sz w:val="20"/>
          <w:szCs w:val="20"/>
          <w:color w:val="auto"/>
        </w:rPr>
      </w:pPr>
    </w:p>
    <w:p>
      <w:pPr>
        <w:ind w:left="420" w:hanging="412"/>
        <w:spacing w:after="0"/>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Average stockholders' equity calculated as our average month-ended stockholders' equity during the quarter.</w:t>
      </w:r>
    </w:p>
    <w:p>
      <w:pPr>
        <w:spacing w:after="0" w:line="13" w:lineRule="exact"/>
        <w:rPr>
          <w:rFonts w:ascii="Arial" w:cs="Arial" w:eastAsia="Arial" w:hAnsi="Arial"/>
          <w:sz w:val="14"/>
          <w:szCs w:val="14"/>
          <w:color w:val="auto"/>
        </w:rPr>
      </w:pPr>
    </w:p>
    <w:p>
      <w:pPr>
        <w:ind w:left="420" w:hanging="412"/>
        <w:spacing w:after="0"/>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Weighted average coupon for the period was calculated by dividing our total coupon (or cash) interest income on agency securities by our average agency securities held at par.</w:t>
      </w:r>
    </w:p>
    <w:p>
      <w:pPr>
        <w:spacing w:after="0" w:line="1" w:lineRule="exact"/>
        <w:rPr>
          <w:rFonts w:ascii="Arial" w:cs="Arial" w:eastAsia="Arial" w:hAnsi="Arial"/>
          <w:sz w:val="14"/>
          <w:szCs w:val="14"/>
          <w:color w:val="auto"/>
        </w:rPr>
      </w:pPr>
    </w:p>
    <w:p>
      <w:pPr>
        <w:ind w:left="420" w:hanging="412"/>
        <w:spacing w:after="0" w:line="241" w:lineRule="auto"/>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Average asset yield for the period was calculated by dividing our total cash interest income on agency securities, less amortization of premiums and discounts, by our average amortized cost of agency securities held.</w:t>
      </w:r>
    </w:p>
    <w:p>
      <w:pPr>
        <w:jc w:val="both"/>
        <w:ind w:left="420" w:hanging="412"/>
        <w:spacing w:after="0" w:line="260" w:lineRule="auto"/>
        <w:tabs>
          <w:tab w:leader="none" w:pos="420" w:val="left"/>
        </w:tabs>
        <w:numPr>
          <w:ilvl w:val="0"/>
          <w:numId w:val="21"/>
        </w:numPr>
        <w:rPr>
          <w:rFonts w:ascii="Arial" w:cs="Arial" w:eastAsia="Arial" w:hAnsi="Arial"/>
          <w:sz w:val="13"/>
          <w:szCs w:val="13"/>
          <w:color w:val="auto"/>
        </w:rPr>
      </w:pPr>
      <w:r>
        <w:rPr>
          <w:rFonts w:ascii="Arial" w:cs="Arial" w:eastAsia="Arial" w:hAnsi="Arial"/>
          <w:sz w:val="13"/>
          <w:szCs w:val="13"/>
          <w:color w:val="auto"/>
        </w:rPr>
        <w:t>Cost of funds includes repurchase agreements, debt of consolidated VIEs and interest rate swaps, but excludes interest rate swap termination fees and costs associated with other supplemental hedges such as interest rate swaptions and short U.S. Treasury or TBA positions. Weighted average cost of funds for the period was calculated by dividing our total cost of funds by our average repurchase agreements and debt of consolidated VIEs outstanding, less repurchase agreements for U.S. Treasury securities, for the period.</w:t>
      </w:r>
    </w:p>
    <w:p>
      <w:pPr>
        <w:ind w:left="420" w:hanging="412"/>
        <w:spacing w:after="0"/>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Net interest rate spread for the period was calculated by subtracting our average cost of funds from our average asset yield.</w:t>
      </w:r>
    </w:p>
    <w:p>
      <w:pPr>
        <w:spacing w:after="0" w:line="1" w:lineRule="exact"/>
        <w:rPr>
          <w:rFonts w:ascii="Arial" w:cs="Arial" w:eastAsia="Arial" w:hAnsi="Arial"/>
          <w:sz w:val="14"/>
          <w:szCs w:val="14"/>
          <w:color w:val="auto"/>
        </w:rPr>
      </w:pPr>
    </w:p>
    <w:p>
      <w:pPr>
        <w:jc w:val="both"/>
        <w:ind w:left="420" w:hanging="412"/>
        <w:spacing w:after="0" w:line="241" w:lineRule="auto"/>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Average cost of funds as of period end includes repurchase agreements and debt of consolidated VIEs outstanding, plus the impact of interest rate swaps in effect as of each period end and forward starting swaps becoming effective, net of swaps expiring, within three months of each period end, but excludes costs associated with other supplemental hedges such as swaptions and short treasury or TBA positions.</w:t>
      </w:r>
    </w:p>
    <w:p>
      <w:pPr>
        <w:spacing w:after="0" w:line="1" w:lineRule="exact"/>
        <w:rPr>
          <w:rFonts w:ascii="Arial" w:cs="Arial" w:eastAsia="Arial" w:hAnsi="Arial"/>
          <w:sz w:val="14"/>
          <w:szCs w:val="14"/>
          <w:color w:val="auto"/>
        </w:rPr>
      </w:pPr>
    </w:p>
    <w:p>
      <w:pPr>
        <w:ind w:left="420" w:hanging="412"/>
        <w:spacing w:after="0" w:line="241" w:lineRule="auto"/>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Net comprehensive income return on average common equity for the period was calculated by dividing our comprehensive income available to common shareholders by our average stockholders' equity, net of the 8.000% Series A Cumulative Redeemable Preferred Stock liquidation preference.</w:t>
      </w:r>
    </w:p>
    <w:p>
      <w:pPr>
        <w:ind w:left="420" w:hanging="412"/>
        <w:spacing w:after="0" w:line="241" w:lineRule="auto"/>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Economic return on common equity represents the sum of the change in our net asset value per common share and our dividends declared on common stock during the period over our beginning net asset value per common share.</w:t>
      </w:r>
    </w:p>
    <w:p>
      <w:pPr>
        <w:ind w:left="420" w:hanging="412"/>
        <w:spacing w:after="0" w:line="241" w:lineRule="auto"/>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Leverage during the period was calculated by dividing our daily weighted average repurchase agreements and debt of consolidated VIEs outstanding, less our repurchase agreements for U.S. Treasury securities, for the period by our average stockholders' equity for the period.</w:t>
      </w:r>
    </w:p>
    <w:p>
      <w:pPr>
        <w:ind w:left="420" w:hanging="412"/>
        <w:spacing w:after="0" w:line="255" w:lineRule="auto"/>
        <w:tabs>
          <w:tab w:leader="none" w:pos="4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Leverage at period end was calculated by dividing the sum of the amount outstanding under our repurchase agreements, net receivable / payable for unsettled agency securities and debt of consolidated VIEs by our total stockholders' equity at period end.</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summarizes our interest income for the three and nine months ended September 30, 2012 and 2011 (dollars in millions).</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00" w:type="dxa"/>
            <w:vAlign w:val="bottom"/>
          </w:tcPr>
          <w:p>
            <w:pPr>
              <w:spacing w:after="0"/>
              <w:rPr>
                <w:sz w:val="16"/>
                <w:szCs w:val="16"/>
                <w:color w:val="auto"/>
              </w:rPr>
            </w:pPr>
          </w:p>
        </w:tc>
        <w:tc>
          <w:tcPr>
            <w:tcW w:w="3420" w:type="dxa"/>
            <w:vAlign w:val="bottom"/>
            <w:tcBorders>
              <w:bottom w:val="single" w:sz="8" w:color="auto"/>
            </w:tcBorders>
            <w:gridSpan w:val="8"/>
          </w:tcPr>
          <w:p>
            <w:pPr>
              <w:jc w:val="right"/>
              <w:ind w:right="220"/>
              <w:spacing w:after="0"/>
              <w:rPr>
                <w:sz w:val="20"/>
                <w:szCs w:val="20"/>
                <w:color w:val="auto"/>
              </w:rPr>
            </w:pPr>
            <w:r>
              <w:rPr>
                <w:rFonts w:ascii="Arial" w:cs="Arial" w:eastAsia="Arial" w:hAnsi="Arial"/>
                <w:sz w:val="14"/>
                <w:szCs w:val="14"/>
                <w:b w:val="1"/>
                <w:bCs w:val="1"/>
                <w:color w:val="auto"/>
              </w:rPr>
              <w:t>Three Months Ended September 30,</w:t>
            </w:r>
          </w:p>
        </w:tc>
        <w:tc>
          <w:tcPr>
            <w:tcW w:w="7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7"/>
          </w:tcPr>
          <w:p>
            <w:pPr>
              <w:jc w:val="right"/>
              <w:ind w:right="160"/>
              <w:spacing w:after="0"/>
              <w:rPr>
                <w:sz w:val="20"/>
                <w:szCs w:val="20"/>
                <w:color w:val="auto"/>
              </w:rPr>
            </w:pPr>
            <w:r>
              <w:rPr>
                <w:rFonts w:ascii="Arial" w:cs="Arial" w:eastAsia="Arial" w:hAnsi="Arial"/>
                <w:sz w:val="14"/>
                <w:szCs w:val="14"/>
                <w:b w:val="1"/>
                <w:bCs w:val="1"/>
                <w:color w:val="auto"/>
                <w:w w:val="96"/>
              </w:rPr>
              <w:t>Nine Months Ended September 30,</w:t>
            </w:r>
          </w:p>
        </w:tc>
        <w:tc>
          <w:tcPr>
            <w:tcW w:w="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200" w:type="dxa"/>
            <w:vAlign w:val="bottom"/>
          </w:tcPr>
          <w:p>
            <w:pPr>
              <w:spacing w:after="0"/>
              <w:rPr>
                <w:sz w:val="22"/>
                <w:szCs w:val="22"/>
                <w:color w:val="auto"/>
              </w:rPr>
            </w:pPr>
          </w:p>
        </w:tc>
        <w:tc>
          <w:tcPr>
            <w:tcW w:w="130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2012</w:t>
            </w:r>
          </w:p>
        </w:tc>
        <w:tc>
          <w:tcPr>
            <w:tcW w:w="780" w:type="dxa"/>
            <w:vAlign w:val="bottom"/>
            <w:tcBorders>
              <w:bottom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120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2011</w:t>
            </w:r>
          </w:p>
        </w:tc>
        <w:tc>
          <w:tcPr>
            <w:tcW w:w="74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gridSpan w:val="3"/>
          </w:tcPr>
          <w:p>
            <w:pPr>
              <w:jc w:val="right"/>
              <w:ind w:right="753"/>
              <w:spacing w:after="0"/>
              <w:rPr>
                <w:sz w:val="20"/>
                <w:szCs w:val="20"/>
                <w:color w:val="auto"/>
              </w:rPr>
            </w:pPr>
            <w:r>
              <w:rPr>
                <w:rFonts w:ascii="Arial" w:cs="Arial" w:eastAsia="Arial" w:hAnsi="Arial"/>
                <w:sz w:val="14"/>
                <w:szCs w:val="14"/>
                <w:b w:val="1"/>
                <w:bCs w:val="1"/>
                <w:color w:val="auto"/>
              </w:rPr>
              <w:t>2012</w:t>
            </w:r>
          </w:p>
        </w:tc>
        <w:tc>
          <w:tcPr>
            <w:tcW w:w="120" w:type="dxa"/>
            <w:vAlign w:val="bottom"/>
          </w:tcPr>
          <w:p>
            <w:pPr>
              <w:spacing w:after="0"/>
              <w:rPr>
                <w:sz w:val="22"/>
                <w:szCs w:val="22"/>
                <w:color w:val="auto"/>
              </w:rPr>
            </w:pPr>
          </w:p>
        </w:tc>
        <w:tc>
          <w:tcPr>
            <w:tcW w:w="112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2011</w:t>
            </w:r>
          </w:p>
        </w:tc>
        <w:tc>
          <w:tcPr>
            <w:tcW w:w="6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32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ind w:left="280"/>
              <w:spacing w:after="0"/>
              <w:rPr>
                <w:sz w:val="20"/>
                <w:szCs w:val="20"/>
                <w:color w:val="auto"/>
              </w:rPr>
            </w:pPr>
            <w:r>
              <w:rPr>
                <w:rFonts w:ascii="Arial" w:cs="Arial" w:eastAsia="Arial" w:hAnsi="Arial"/>
                <w:sz w:val="14"/>
                <w:szCs w:val="14"/>
                <w:b w:val="1"/>
                <w:bCs w:val="1"/>
                <w:color w:val="auto"/>
              </w:rPr>
              <w:t>Amount</w:t>
            </w:r>
          </w:p>
        </w:tc>
        <w:tc>
          <w:tcPr>
            <w:tcW w:w="14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Yield</w:t>
            </w:r>
          </w:p>
        </w:tc>
        <w:tc>
          <w:tcPr>
            <w:tcW w:w="14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Amount</w:t>
            </w:r>
          </w:p>
        </w:tc>
        <w:tc>
          <w:tcPr>
            <w:tcW w:w="14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Yield</w:t>
            </w:r>
          </w:p>
        </w:tc>
        <w:tc>
          <w:tcPr>
            <w:tcW w:w="220" w:type="dxa"/>
            <w:vAlign w:val="bottom"/>
            <w:tcBorders>
              <w:bottom w:val="single" w:sz="8" w:color="CCEEFF"/>
            </w:tcBorders>
          </w:tcPr>
          <w:p>
            <w:pPr>
              <w:spacing w:after="0"/>
              <w:rPr>
                <w:sz w:val="22"/>
                <w:szCs w:val="22"/>
                <w:color w:val="auto"/>
              </w:rPr>
            </w:pPr>
          </w:p>
        </w:tc>
        <w:tc>
          <w:tcPr>
            <w:tcW w:w="76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Amount</w:t>
            </w:r>
          </w:p>
        </w:tc>
        <w:tc>
          <w:tcPr>
            <w:tcW w:w="1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Yield</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256"/>
        </w:trPr>
        <w:tc>
          <w:tcPr>
            <w:tcW w:w="320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interest income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$739</w:t>
            </w:r>
          </w:p>
        </w:tc>
        <w:tc>
          <w:tcPr>
            <w:tcW w:w="1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15"/>
              <w:spacing w:after="0"/>
              <w:rPr>
                <w:sz w:val="20"/>
                <w:szCs w:val="20"/>
                <w:color w:val="auto"/>
              </w:rPr>
            </w:pPr>
            <w:r>
              <w:rPr>
                <w:rFonts w:ascii="Arial" w:cs="Arial" w:eastAsia="Arial" w:hAnsi="Arial"/>
                <w:sz w:val="13"/>
                <w:szCs w:val="13"/>
                <w:color w:val="auto"/>
              </w:rPr>
              <w:t>3.81%</w:t>
            </w: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$440</w:t>
            </w:r>
          </w:p>
        </w:tc>
        <w:tc>
          <w:tcPr>
            <w:tcW w:w="1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215"/>
              <w:spacing w:after="0"/>
              <w:rPr>
                <w:sz w:val="20"/>
                <w:szCs w:val="20"/>
                <w:color w:val="auto"/>
              </w:rPr>
            </w:pPr>
            <w:r>
              <w:rPr>
                <w:rFonts w:ascii="Arial" w:cs="Arial" w:eastAsia="Arial" w:hAnsi="Arial"/>
                <w:sz w:val="13"/>
                <w:szCs w:val="13"/>
                <w:color w:val="auto"/>
              </w:rPr>
              <w:t>4.40%</w:t>
            </w:r>
          </w:p>
        </w:tc>
        <w:tc>
          <w:tcPr>
            <w:tcW w:w="220" w:type="dxa"/>
            <w:vAlign w:val="bottom"/>
            <w:shd w:val="clear" w:color="auto" w:fill="CCEEFF"/>
          </w:tcPr>
          <w:p>
            <w:pPr>
              <w:spacing w:after="0"/>
              <w:rPr>
                <w:sz w:val="22"/>
                <w:szCs w:val="22"/>
                <w:color w:val="auto"/>
              </w:rPr>
            </w:pPr>
          </w:p>
        </w:tc>
        <w:tc>
          <w:tcPr>
            <w:tcW w:w="760" w:type="dxa"/>
            <w:vAlign w:val="bottom"/>
            <w:shd w:val="clear" w:color="auto" w:fill="CCEEFF"/>
          </w:tcPr>
          <w:p>
            <w:pPr>
              <w:jc w:val="center"/>
              <w:ind w:left="96"/>
              <w:spacing w:after="0"/>
              <w:rPr>
                <w:sz w:val="20"/>
                <w:szCs w:val="20"/>
                <w:color w:val="auto"/>
              </w:rPr>
            </w:pPr>
            <w:r>
              <w:rPr>
                <w:rFonts w:ascii="Arial" w:cs="Arial" w:eastAsia="Arial" w:hAnsi="Arial"/>
                <w:sz w:val="13"/>
                <w:szCs w:val="13"/>
                <w:color w:val="auto"/>
                <w:w w:val="90"/>
              </w:rPr>
              <w:t>$2,053</w:t>
            </w:r>
          </w:p>
        </w:tc>
        <w:tc>
          <w:tcPr>
            <w:tcW w:w="1160" w:type="dxa"/>
            <w:vAlign w:val="bottom"/>
            <w:gridSpan w:val="3"/>
            <w:shd w:val="clear" w:color="auto" w:fill="CCEEFF"/>
          </w:tcPr>
          <w:p>
            <w:pPr>
              <w:jc w:val="right"/>
              <w:ind w:right="213"/>
              <w:spacing w:after="0"/>
              <w:rPr>
                <w:sz w:val="20"/>
                <w:szCs w:val="20"/>
                <w:color w:val="auto"/>
              </w:rPr>
            </w:pPr>
            <w:r>
              <w:rPr>
                <w:rFonts w:ascii="Arial" w:cs="Arial" w:eastAsia="Arial" w:hAnsi="Arial"/>
                <w:sz w:val="13"/>
                <w:szCs w:val="13"/>
                <w:color w:val="auto"/>
              </w:rPr>
              <w:t>3.96%</w:t>
            </w:r>
          </w:p>
        </w:tc>
        <w:tc>
          <w:tcPr>
            <w:tcW w:w="12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$996</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175"/>
              <w:spacing w:after="0"/>
              <w:rPr>
                <w:sz w:val="20"/>
                <w:szCs w:val="20"/>
                <w:color w:val="auto"/>
              </w:rPr>
            </w:pPr>
            <w:r>
              <w:rPr>
                <w:rFonts w:ascii="Arial" w:cs="Arial" w:eastAsia="Arial" w:hAnsi="Arial"/>
                <w:sz w:val="13"/>
                <w:szCs w:val="13"/>
                <w:color w:val="auto"/>
              </w:rPr>
              <w:t>4.47%</w:t>
            </w:r>
          </w:p>
        </w:tc>
        <w:tc>
          <w:tcPr>
            <w:tcW w:w="0" w:type="dxa"/>
            <w:vAlign w:val="bottom"/>
          </w:tcPr>
          <w:p>
            <w:pPr>
              <w:spacing w:after="0"/>
              <w:rPr>
                <w:sz w:val="1"/>
                <w:szCs w:val="1"/>
                <w:color w:val="auto"/>
              </w:rPr>
            </w:pPr>
          </w:p>
        </w:tc>
      </w:tr>
      <w:tr>
        <w:trPr>
          <w:trHeight w:val="264"/>
        </w:trPr>
        <w:tc>
          <w:tcPr>
            <w:tcW w:w="32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Premium amortization</w:t>
            </w: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85"/>
              </w:rPr>
              <w:t>(219)</w:t>
            </w:r>
          </w:p>
        </w:tc>
        <w:tc>
          <w:tcPr>
            <w:tcW w:w="14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175"/>
              <w:spacing w:after="0"/>
              <w:rPr>
                <w:sz w:val="20"/>
                <w:szCs w:val="20"/>
                <w:color w:val="auto"/>
              </w:rPr>
            </w:pPr>
            <w:r>
              <w:rPr>
                <w:rFonts w:ascii="Arial" w:cs="Arial" w:eastAsia="Arial" w:hAnsi="Arial"/>
                <w:sz w:val="13"/>
                <w:szCs w:val="13"/>
                <w:color w:val="auto"/>
              </w:rPr>
              <w:t>(1.26)%</w:t>
            </w:r>
          </w:p>
        </w:tc>
        <w:tc>
          <w:tcPr>
            <w:tcW w:w="14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85"/>
              </w:rPr>
              <w:t>(113)</w:t>
            </w:r>
          </w:p>
        </w:tc>
        <w:tc>
          <w:tcPr>
            <w:tcW w:w="14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175"/>
              <w:spacing w:after="0"/>
              <w:rPr>
                <w:sz w:val="20"/>
                <w:szCs w:val="20"/>
                <w:color w:val="auto"/>
              </w:rPr>
            </w:pPr>
            <w:r>
              <w:rPr>
                <w:rFonts w:ascii="Arial" w:cs="Arial" w:eastAsia="Arial" w:hAnsi="Arial"/>
                <w:sz w:val="13"/>
                <w:szCs w:val="13"/>
                <w:color w:val="auto"/>
              </w:rPr>
              <w:t>(1.26)%</w:t>
            </w:r>
          </w:p>
        </w:tc>
        <w:tc>
          <w:tcPr>
            <w:tcW w:w="220" w:type="dxa"/>
            <w:vAlign w:val="bottom"/>
            <w:tcBorders>
              <w:bottom w:val="single" w:sz="8" w:color="CCEEFF"/>
            </w:tcBorders>
          </w:tcPr>
          <w:p>
            <w:pPr>
              <w:spacing w:after="0"/>
              <w:rPr>
                <w:sz w:val="22"/>
                <w:szCs w:val="22"/>
                <w:color w:val="auto"/>
              </w:rPr>
            </w:pPr>
          </w:p>
        </w:tc>
        <w:tc>
          <w:tcPr>
            <w:tcW w:w="760" w:type="dxa"/>
            <w:vAlign w:val="bottom"/>
            <w:tcBorders>
              <w:bottom w:val="single" w:sz="8" w:color="auto"/>
            </w:tcBorders>
          </w:tcPr>
          <w:p>
            <w:pPr>
              <w:jc w:val="center"/>
              <w:ind w:left="96"/>
              <w:spacing w:after="0"/>
              <w:rPr>
                <w:sz w:val="20"/>
                <w:szCs w:val="20"/>
                <w:color w:val="auto"/>
              </w:rPr>
            </w:pPr>
            <w:r>
              <w:rPr>
                <w:rFonts w:ascii="Arial" w:cs="Arial" w:eastAsia="Arial" w:hAnsi="Arial"/>
                <w:sz w:val="13"/>
                <w:szCs w:val="13"/>
                <w:color w:val="auto"/>
                <w:w w:val="92"/>
              </w:rPr>
              <w:t>(515)</w:t>
            </w:r>
          </w:p>
        </w:tc>
        <w:tc>
          <w:tcPr>
            <w:tcW w:w="1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ind w:right="173"/>
              <w:spacing w:after="0"/>
              <w:rPr>
                <w:sz w:val="20"/>
                <w:szCs w:val="20"/>
                <w:color w:val="auto"/>
              </w:rPr>
            </w:pPr>
            <w:r>
              <w:rPr>
                <w:rFonts w:ascii="Arial" w:cs="Arial" w:eastAsia="Arial" w:hAnsi="Arial"/>
                <w:sz w:val="13"/>
                <w:szCs w:val="13"/>
                <w:color w:val="auto"/>
              </w:rPr>
              <w:t>(1.14)%</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92"/>
              </w:rPr>
              <w:t>(240)</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35"/>
              <w:spacing w:after="0"/>
              <w:rPr>
                <w:sz w:val="20"/>
                <w:szCs w:val="20"/>
                <w:color w:val="auto"/>
              </w:rPr>
            </w:pPr>
            <w:r>
              <w:rPr>
                <w:rFonts w:ascii="Arial" w:cs="Arial" w:eastAsia="Arial" w:hAnsi="Arial"/>
                <w:sz w:val="13"/>
                <w:szCs w:val="13"/>
                <w:color w:val="auto"/>
              </w:rPr>
              <w:t>(1.22)%</w:t>
            </w:r>
          </w:p>
        </w:tc>
        <w:tc>
          <w:tcPr>
            <w:tcW w:w="0" w:type="dxa"/>
            <w:vAlign w:val="bottom"/>
          </w:tcPr>
          <w:p>
            <w:pPr>
              <w:spacing w:after="0"/>
              <w:rPr>
                <w:sz w:val="1"/>
                <w:szCs w:val="1"/>
                <w:color w:val="auto"/>
              </w:rPr>
            </w:pPr>
          </w:p>
        </w:tc>
      </w:tr>
      <w:tr>
        <w:trPr>
          <w:trHeight w:val="243"/>
        </w:trPr>
        <w:tc>
          <w:tcPr>
            <w:tcW w:w="320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Interest income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$520</w:t>
            </w:r>
          </w:p>
        </w:tc>
        <w:tc>
          <w:tcPr>
            <w:tcW w:w="1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780" w:type="dxa"/>
            <w:vAlign w:val="bottom"/>
            <w:shd w:val="clear" w:color="auto" w:fill="CCEEFF"/>
          </w:tcPr>
          <w:p>
            <w:pPr>
              <w:jc w:val="right"/>
              <w:ind w:right="215"/>
              <w:spacing w:after="0"/>
              <w:rPr>
                <w:sz w:val="20"/>
                <w:szCs w:val="20"/>
                <w:color w:val="auto"/>
              </w:rPr>
            </w:pPr>
            <w:r>
              <w:rPr>
                <w:rFonts w:ascii="Arial" w:cs="Arial" w:eastAsia="Arial" w:hAnsi="Arial"/>
                <w:sz w:val="13"/>
                <w:szCs w:val="13"/>
                <w:color w:val="auto"/>
              </w:rPr>
              <w:t>2.55%</w:t>
            </w:r>
          </w:p>
        </w:tc>
        <w:tc>
          <w:tcPr>
            <w:tcW w:w="14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$327</w:t>
            </w:r>
          </w:p>
        </w:tc>
        <w:tc>
          <w:tcPr>
            <w:tcW w:w="1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740" w:type="dxa"/>
            <w:vAlign w:val="bottom"/>
            <w:shd w:val="clear" w:color="auto" w:fill="CCEEFF"/>
          </w:tcPr>
          <w:p>
            <w:pPr>
              <w:jc w:val="right"/>
              <w:ind w:right="215"/>
              <w:spacing w:after="0"/>
              <w:rPr>
                <w:sz w:val="20"/>
                <w:szCs w:val="20"/>
                <w:color w:val="auto"/>
              </w:rPr>
            </w:pPr>
            <w:r>
              <w:rPr>
                <w:rFonts w:ascii="Arial" w:cs="Arial" w:eastAsia="Arial" w:hAnsi="Arial"/>
                <w:sz w:val="13"/>
                <w:szCs w:val="13"/>
                <w:color w:val="auto"/>
              </w:rPr>
              <w:t>3.14%</w:t>
            </w:r>
          </w:p>
        </w:tc>
        <w:tc>
          <w:tcPr>
            <w:tcW w:w="220" w:type="dxa"/>
            <w:vAlign w:val="bottom"/>
            <w:shd w:val="clear" w:color="auto" w:fill="CCEEFF"/>
          </w:tcPr>
          <w:p>
            <w:pPr>
              <w:spacing w:after="0"/>
              <w:rPr>
                <w:sz w:val="21"/>
                <w:szCs w:val="21"/>
                <w:color w:val="auto"/>
              </w:rPr>
            </w:pPr>
          </w:p>
        </w:tc>
        <w:tc>
          <w:tcPr>
            <w:tcW w:w="760" w:type="dxa"/>
            <w:vAlign w:val="bottom"/>
            <w:shd w:val="clear" w:color="auto" w:fill="CCEEFF"/>
          </w:tcPr>
          <w:p>
            <w:pPr>
              <w:jc w:val="center"/>
              <w:ind w:left="96"/>
              <w:spacing w:after="0"/>
              <w:rPr>
                <w:sz w:val="20"/>
                <w:szCs w:val="20"/>
                <w:color w:val="auto"/>
              </w:rPr>
            </w:pPr>
            <w:r>
              <w:rPr>
                <w:rFonts w:ascii="Arial" w:cs="Arial" w:eastAsia="Arial" w:hAnsi="Arial"/>
                <w:sz w:val="13"/>
                <w:szCs w:val="13"/>
                <w:color w:val="auto"/>
                <w:w w:val="90"/>
              </w:rPr>
              <w:t>$1,538</w:t>
            </w:r>
          </w:p>
        </w:tc>
        <w:tc>
          <w:tcPr>
            <w:tcW w:w="1160" w:type="dxa"/>
            <w:vAlign w:val="bottom"/>
            <w:gridSpan w:val="3"/>
            <w:shd w:val="clear" w:color="auto" w:fill="CCEEFF"/>
          </w:tcPr>
          <w:p>
            <w:pPr>
              <w:jc w:val="right"/>
              <w:ind w:right="213"/>
              <w:spacing w:after="0"/>
              <w:rPr>
                <w:sz w:val="20"/>
                <w:szCs w:val="20"/>
                <w:color w:val="auto"/>
              </w:rPr>
            </w:pPr>
            <w:r>
              <w:rPr>
                <w:rFonts w:ascii="Arial" w:cs="Arial" w:eastAsia="Arial" w:hAnsi="Arial"/>
                <w:sz w:val="13"/>
                <w:szCs w:val="13"/>
                <w:color w:val="auto"/>
              </w:rPr>
              <w:t>2.82%</w:t>
            </w:r>
          </w:p>
        </w:tc>
        <w:tc>
          <w:tcPr>
            <w:tcW w:w="12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$756</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680" w:type="dxa"/>
            <w:vAlign w:val="bottom"/>
            <w:shd w:val="clear" w:color="auto" w:fill="CCEEFF"/>
          </w:tcPr>
          <w:p>
            <w:pPr>
              <w:jc w:val="right"/>
              <w:ind w:right="175"/>
              <w:spacing w:after="0"/>
              <w:rPr>
                <w:sz w:val="20"/>
                <w:szCs w:val="20"/>
                <w:color w:val="auto"/>
              </w:rPr>
            </w:pPr>
            <w:r>
              <w:rPr>
                <w:rFonts w:ascii="Arial" w:cs="Arial" w:eastAsia="Arial" w:hAnsi="Arial"/>
                <w:sz w:val="13"/>
                <w:szCs w:val="13"/>
                <w:color w:val="auto"/>
              </w:rPr>
              <w:t>3.25%</w:t>
            </w:r>
          </w:p>
        </w:tc>
        <w:tc>
          <w:tcPr>
            <w:tcW w:w="0" w:type="dxa"/>
            <w:vAlign w:val="bottom"/>
          </w:tcPr>
          <w:p>
            <w:pPr>
              <w:spacing w:after="0"/>
              <w:rPr>
                <w:sz w:val="1"/>
                <w:szCs w:val="1"/>
                <w:color w:val="auto"/>
              </w:rPr>
            </w:pPr>
          </w:p>
        </w:tc>
      </w:tr>
      <w:tr>
        <w:trPr>
          <w:trHeight w:val="20"/>
        </w:trPr>
        <w:tc>
          <w:tcPr>
            <w:tcW w:w="32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4"/>
                <w:szCs w:val="14"/>
                <w:color w:val="auto"/>
              </w:rPr>
              <w:t>Actual portfolio CPR</w:t>
            </w: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3200" w:type="dxa"/>
            <w:vAlign w:val="bottom"/>
            <w:vMerge w:val="continue"/>
          </w:tcPr>
          <w:p>
            <w:pPr>
              <w:spacing w:after="0"/>
              <w:rPr>
                <w:sz w:val="21"/>
                <w:szCs w:val="21"/>
                <w:color w:val="auto"/>
              </w:rPr>
            </w:pPr>
          </w:p>
        </w:tc>
        <w:tc>
          <w:tcPr>
            <w:tcW w:w="1040" w:type="dxa"/>
            <w:vAlign w:val="bottom"/>
          </w:tcPr>
          <w:p>
            <w:pPr>
              <w:jc w:val="center"/>
              <w:spacing w:after="0"/>
              <w:rPr>
                <w:sz w:val="20"/>
                <w:szCs w:val="20"/>
                <w:color w:val="auto"/>
              </w:rPr>
            </w:pPr>
            <w:r>
              <w:rPr>
                <w:rFonts w:ascii="Arial" w:cs="Arial" w:eastAsia="Arial" w:hAnsi="Arial"/>
                <w:sz w:val="13"/>
                <w:szCs w:val="13"/>
                <w:color w:val="auto"/>
                <w:w w:val="95"/>
              </w:rPr>
              <w:t>9%</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5"/>
              </w:rPr>
              <w:t>8%</w:t>
            </w:r>
          </w:p>
        </w:tc>
        <w:tc>
          <w:tcPr>
            <w:tcW w:w="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center"/>
              <w:ind w:left="96"/>
              <w:spacing w:after="0"/>
              <w:rPr>
                <w:sz w:val="20"/>
                <w:szCs w:val="20"/>
                <w:color w:val="auto"/>
              </w:rPr>
            </w:pPr>
            <w:r>
              <w:rPr>
                <w:rFonts w:ascii="Arial" w:cs="Arial" w:eastAsia="Arial" w:hAnsi="Arial"/>
                <w:sz w:val="13"/>
                <w:szCs w:val="13"/>
                <w:color w:val="auto"/>
                <w:w w:val="92"/>
              </w:rPr>
              <w:t>10%</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84"/>
              </w:rPr>
              <w:t>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320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Projected life CPR as of period end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4"/>
              </w:rPr>
              <w:t>14%</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4"/>
              </w:rPr>
              <w:t>13%</w:t>
            </w: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center"/>
              <w:ind w:left="96"/>
              <w:spacing w:after="0"/>
              <w:rPr>
                <w:sz w:val="20"/>
                <w:szCs w:val="20"/>
                <w:color w:val="auto"/>
              </w:rPr>
            </w:pPr>
            <w:r>
              <w:rPr>
                <w:rFonts w:ascii="Arial" w:cs="Arial" w:eastAsia="Arial" w:hAnsi="Arial"/>
                <w:sz w:val="13"/>
                <w:szCs w:val="13"/>
                <w:color w:val="auto"/>
                <w:w w:val="92"/>
              </w:rPr>
              <w:t>14%</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3200" w:type="dxa"/>
            <w:vAlign w:val="bottom"/>
          </w:tcPr>
          <w:p>
            <w:pPr>
              <w:ind w:left="40"/>
              <w:spacing w:after="0"/>
              <w:rPr>
                <w:sz w:val="20"/>
                <w:szCs w:val="20"/>
                <w:color w:val="auto"/>
              </w:rPr>
            </w:pPr>
            <w:r>
              <w:rPr>
                <w:rFonts w:ascii="Arial" w:cs="Arial" w:eastAsia="Arial" w:hAnsi="Arial"/>
                <w:sz w:val="14"/>
                <w:szCs w:val="14"/>
                <w:color w:val="auto"/>
              </w:rPr>
              <w:t>10-year U.S. Treasury rate as of period end</w:t>
            </w:r>
          </w:p>
        </w:tc>
        <w:tc>
          <w:tcPr>
            <w:tcW w:w="1040" w:type="dxa"/>
            <w:vAlign w:val="bottom"/>
          </w:tcPr>
          <w:p>
            <w:pPr>
              <w:jc w:val="center"/>
              <w:spacing w:after="0"/>
              <w:rPr>
                <w:sz w:val="20"/>
                <w:szCs w:val="20"/>
                <w:color w:val="auto"/>
              </w:rPr>
            </w:pPr>
            <w:r>
              <w:rPr>
                <w:rFonts w:ascii="Arial" w:cs="Arial" w:eastAsia="Arial" w:hAnsi="Arial"/>
                <w:sz w:val="13"/>
                <w:szCs w:val="13"/>
                <w:color w:val="auto"/>
                <w:w w:val="92"/>
              </w:rPr>
              <w:t>1.63%</w:t>
            </w: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3.16%</w:t>
            </w: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center"/>
              <w:ind w:left="96"/>
              <w:spacing w:after="0"/>
              <w:rPr>
                <w:sz w:val="20"/>
                <w:szCs w:val="20"/>
                <w:color w:val="auto"/>
              </w:rPr>
            </w:pPr>
            <w:r>
              <w:rPr>
                <w:rFonts w:ascii="Arial" w:cs="Arial" w:eastAsia="Arial" w:hAnsi="Arial"/>
                <w:sz w:val="13"/>
                <w:szCs w:val="13"/>
                <w:color w:val="auto"/>
                <w:w w:val="86"/>
              </w:rPr>
              <w:t>1.63%</w:t>
            </w: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86"/>
              </w:rPr>
              <w:t>3.16%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79"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Interest income was $520 million and $327 million for the three month periods ended September 30, 2012 and 2011, respectively, and $1.5 billion and $756 million for the nine month periods ended September 30, 2012 and 2011, respectively. The increase in interest income was due to an increase in our average investment portfolio, partially offset by a decline in our average asset yield.</w:t>
      </w:r>
    </w:p>
    <w:p>
      <w:pPr>
        <w:spacing w:after="0" w:line="12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average asset yield declined 59 bps to 2.55% from 3.14% for the current and prior year three month periods, respectively, and declined 43 bps to 2.82% from 3.25% for the current and prior year nine month periods, respectively. The decline in our average asset yield is reflective of the decline in long-term interest rates, higher projected prepayments and the result of acquiring lower yielding securities due to changes in portfolio composition, reinvestment of proceeds received from principal repayments and deployment of capital from equity raises.</w:t>
      </w:r>
    </w:p>
    <w:p>
      <w:pPr>
        <w:spacing w:after="0" w:line="133"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We amortize premiums and discounts associated with agency securities into interest income over the life of such securities using the effective yield method. The effective yield (or asset yield) on our agency securities is based on actual CPRs realized for individual securities in our investment portfolio through the reporting date and assumes a projected CPR over the remaining life of our investment portfolio. We estimate projected CPRs on our agency securities using a third-party service and market data. We update our estimates on at least a quarterly basis, and more frequently when economic or market conditions warrant. The effective yield on our securities is adjusted retrospectively when we make changes to our CPR forecasts or when differences occur between our actual prepayment experience and our prior projections. Our projected CPR estimate increased to 14% as of September 30, 2012 from 13% as of September 30, 2011. The actual CPR realized for individual securities in our investment portfolio was approximately 9% and 8% for the current and prior year three month periods, respectively, and 10% and 9% for the</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634"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color w:val="auto"/>
        </w:rPr>
        <w:t>current and prior year nine month periods, respectively.</w:t>
      </w:r>
    </w:p>
    <w:p>
      <w:pPr>
        <w:spacing w:after="0" w:line="171"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Interest income was net of premium amortization of $219 million and $113 million for the current and prior year three month periods, respectively, and $515 million and $240 million for the current and prior year nine month periods, respectively. The net unamortized premium balance of our investment portfolio, including interest-only and principal-only strips, was $4.4 billion and $2.4 billion as of September 30, 2012 and December 31, 2011, respectively.</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85"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Our leverage was 7.1 and 7.7 times our stockholders' equity, as of September 30, 2012 and December 31, 2011, respectively. When adjusted for the net payables and receivables for unsettled securities, our leverage ratio was 7.0 and 7.9 times our stockholders' equity as of September 30, 2012 and December 31, 2011, respectively. Our actual leverage will vary from time to time based on various factors, including our Manager's opinion of the level of risk of our assets and liabilities, our liquidity position, our level of unused borrowing capacity, over-collateralization levels required by lenders when we pledge securities to secure our borrowings and the current market value of our investment portfolio. In addition, certain of our master repurchase agreements and master swap agreements contain a restriction that prohibits our leverage (as defined pursuant to each agreement) from exceeding levels ranging from 12 to 16 times the amount of our stockholders' equity. Additionally, under certain of our master repurchase agreements, we could be required to settle our obligations under the agreements if we fail to maintain minimum shareholders’ equity thresholds or our REIT status.</w:t>
      </w:r>
    </w:p>
    <w:p>
      <w:pPr>
        <w:spacing w:after="0" w:line="138"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table below presents our quarterly average and quarter-end repurchase agreement and debt of consolidated VIEs balance outstanding ("other debt")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and leverage ratios for the nine months ended September 30, 2012 and 2011 (dollars in millions):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4"/>
              </w:rPr>
              <w:t>Leverage</w:t>
            </w:r>
          </w:p>
        </w:tc>
        <w:tc>
          <w:tcPr>
            <w:tcW w:w="0" w:type="dxa"/>
            <w:vAlign w:val="bottom"/>
          </w:tcPr>
          <w:p>
            <w:pPr>
              <w:spacing w:after="0"/>
              <w:rPr>
                <w:sz w:val="1"/>
                <w:szCs w:val="1"/>
                <w:color w:val="auto"/>
              </w:rPr>
            </w:pPr>
          </w:p>
        </w:tc>
      </w:tr>
      <w:tr>
        <w:trPr>
          <w:trHeight w:val="158"/>
        </w:trPr>
        <w:tc>
          <w:tcPr>
            <w:tcW w:w="1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700" w:type="dxa"/>
            <w:vAlign w:val="bottom"/>
            <w:gridSpan w:val="7"/>
          </w:tcPr>
          <w:p>
            <w:pPr>
              <w:jc w:val="center"/>
              <w:ind w:right="48"/>
              <w:spacing w:after="0" w:line="158" w:lineRule="exact"/>
              <w:rPr>
                <w:sz w:val="20"/>
                <w:szCs w:val="20"/>
                <w:color w:val="auto"/>
              </w:rPr>
            </w:pPr>
            <w:r>
              <w:rPr>
                <w:rFonts w:ascii="Arial" w:cs="Arial" w:eastAsia="Arial" w:hAnsi="Arial"/>
                <w:sz w:val="14"/>
                <w:szCs w:val="14"/>
                <w:b w:val="1"/>
                <w:bCs w:val="1"/>
                <w:color w:val="auto"/>
                <w:w w:val="92"/>
              </w:rPr>
              <w:t>Repurchase Agreements and Other Debt</w:t>
            </w:r>
          </w:p>
        </w:tc>
        <w:tc>
          <w:tcPr>
            <w:tcW w:w="100" w:type="dxa"/>
            <w:vAlign w:val="bottom"/>
          </w:tcPr>
          <w:p>
            <w:pPr>
              <w:spacing w:after="0"/>
              <w:rPr>
                <w:sz w:val="13"/>
                <w:szCs w:val="13"/>
                <w:color w:val="auto"/>
              </w:rPr>
            </w:pPr>
          </w:p>
        </w:tc>
        <w:tc>
          <w:tcPr>
            <w:tcW w:w="124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0"/>
              </w:rPr>
              <w:t>Average</w:t>
            </w:r>
          </w:p>
        </w:tc>
        <w:tc>
          <w:tcPr>
            <w:tcW w:w="124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0"/>
              </w:rPr>
              <w:t>Average</w:t>
            </w: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54"/>
        </w:trPr>
        <w:tc>
          <w:tcPr>
            <w:tcW w:w="1960" w:type="dxa"/>
            <w:vAlign w:val="bottom"/>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2"/>
            <w:vMerge w:val="restart"/>
          </w:tcPr>
          <w:p>
            <w:pPr>
              <w:jc w:val="center"/>
              <w:ind w:right="100"/>
              <w:spacing w:after="0" w:line="139" w:lineRule="exact"/>
              <w:rPr>
                <w:sz w:val="20"/>
                <w:szCs w:val="20"/>
                <w:color w:val="auto"/>
              </w:rPr>
            </w:pPr>
            <w:r>
              <w:rPr>
                <w:rFonts w:ascii="Arial" w:cs="Arial" w:eastAsia="Arial" w:hAnsi="Arial"/>
                <w:sz w:val="14"/>
                <w:szCs w:val="14"/>
                <w:b w:val="1"/>
                <w:bCs w:val="1"/>
                <w:color w:val="auto"/>
              </w:rPr>
              <w:t>Daily</w:t>
            </w:r>
          </w:p>
        </w:tc>
        <w:tc>
          <w:tcPr>
            <w:tcW w:w="1240" w:type="dxa"/>
            <w:vAlign w:val="bottom"/>
            <w:gridSpan w:val="2"/>
            <w:vMerge w:val="restart"/>
          </w:tcPr>
          <w:p>
            <w:pPr>
              <w:jc w:val="center"/>
              <w:ind w:right="80"/>
              <w:spacing w:after="0" w:line="139" w:lineRule="exact"/>
              <w:rPr>
                <w:sz w:val="20"/>
                <w:szCs w:val="20"/>
                <w:color w:val="auto"/>
              </w:rPr>
            </w:pPr>
            <w:r>
              <w:rPr>
                <w:rFonts w:ascii="Arial" w:cs="Arial" w:eastAsia="Arial" w:hAnsi="Arial"/>
                <w:sz w:val="14"/>
                <w:szCs w:val="14"/>
                <w:b w:val="1"/>
                <w:bCs w:val="1"/>
                <w:color w:val="auto"/>
                <w:w w:val="94"/>
              </w:rPr>
              <w:t>Interest</w:t>
            </w:r>
          </w:p>
        </w:tc>
        <w:tc>
          <w:tcPr>
            <w:tcW w:w="1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Leverage</w:t>
            </w: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6"/>
              </w:rPr>
              <w:t>Period</w:t>
            </w:r>
          </w:p>
        </w:tc>
        <w:tc>
          <w:tcPr>
            <w:tcW w:w="0" w:type="dxa"/>
            <w:vAlign w:val="bottom"/>
          </w:tcPr>
          <w:p>
            <w:pPr>
              <w:spacing w:after="0"/>
              <w:rPr>
                <w:sz w:val="1"/>
                <w:szCs w:val="1"/>
                <w:color w:val="auto"/>
              </w:rPr>
            </w:pPr>
          </w:p>
        </w:tc>
      </w:tr>
      <w:tr>
        <w:trPr>
          <w:trHeight w:val="65"/>
        </w:trPr>
        <w:tc>
          <w:tcPr>
            <w:tcW w:w="19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0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9"/>
        </w:trPr>
        <w:tc>
          <w:tcPr>
            <w:tcW w:w="1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Average Daily</w:t>
            </w:r>
          </w:p>
        </w:tc>
        <w:tc>
          <w:tcPr>
            <w:tcW w:w="140" w:type="dxa"/>
            <w:vAlign w:val="bottom"/>
          </w:tcPr>
          <w:p>
            <w:pPr>
              <w:spacing w:after="0"/>
              <w:rPr>
                <w:sz w:val="12"/>
                <w:szCs w:val="12"/>
                <w:color w:val="auto"/>
              </w:rPr>
            </w:pPr>
          </w:p>
        </w:tc>
        <w:tc>
          <w:tcPr>
            <w:tcW w:w="12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9"/>
              </w:rPr>
              <w:t>Maximum</w:t>
            </w:r>
          </w:p>
        </w:tc>
        <w:tc>
          <w:tcPr>
            <w:tcW w:w="140" w:type="dxa"/>
            <w:vAlign w:val="bottom"/>
          </w:tcPr>
          <w:p>
            <w:pPr>
              <w:spacing w:after="0"/>
              <w:rPr>
                <w:sz w:val="12"/>
                <w:szCs w:val="12"/>
                <w:color w:val="auto"/>
              </w:rPr>
            </w:pPr>
          </w:p>
        </w:tc>
        <w:tc>
          <w:tcPr>
            <w:tcW w:w="1000" w:type="dxa"/>
            <w:vAlign w:val="bottom"/>
            <w:vMerge w:val="restart"/>
          </w:tcPr>
          <w:p>
            <w:pPr>
              <w:jc w:val="center"/>
              <w:ind w:right="68"/>
              <w:spacing w:after="0"/>
              <w:rPr>
                <w:sz w:val="20"/>
                <w:szCs w:val="20"/>
                <w:color w:val="auto"/>
              </w:rPr>
            </w:pPr>
            <w:r>
              <w:rPr>
                <w:rFonts w:ascii="Arial" w:cs="Arial" w:eastAsia="Arial" w:hAnsi="Arial"/>
                <w:sz w:val="14"/>
                <w:szCs w:val="14"/>
                <w:b w:val="1"/>
                <w:bCs w:val="1"/>
                <w:color w:val="auto"/>
                <w:w w:val="96"/>
              </w:rPr>
              <w:t>Ending</w:t>
            </w:r>
          </w:p>
        </w:tc>
        <w:tc>
          <w:tcPr>
            <w:tcW w:w="100" w:type="dxa"/>
            <w:vAlign w:val="bottom"/>
          </w:tcPr>
          <w:p>
            <w:pPr>
              <w:spacing w:after="0"/>
              <w:rPr>
                <w:sz w:val="12"/>
                <w:szCs w:val="12"/>
                <w:color w:val="auto"/>
              </w:rPr>
            </w:pP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Interest</w:t>
            </w:r>
          </w:p>
        </w:tc>
        <w:tc>
          <w:tcPr>
            <w:tcW w:w="12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3"/>
              </w:rPr>
              <w:t>Rate on</w:t>
            </w: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8"/>
              </w:rPr>
              <w:t>End,</w:t>
            </w:r>
          </w:p>
        </w:tc>
        <w:tc>
          <w:tcPr>
            <w:tcW w:w="0" w:type="dxa"/>
            <w:vAlign w:val="bottom"/>
          </w:tcPr>
          <w:p>
            <w:pPr>
              <w:spacing w:after="0"/>
              <w:rPr>
                <w:sz w:val="1"/>
                <w:szCs w:val="1"/>
                <w:color w:val="auto"/>
              </w:rPr>
            </w:pPr>
          </w:p>
        </w:tc>
      </w:tr>
      <w:tr>
        <w:trPr>
          <w:trHeight w:val="149"/>
        </w:trPr>
        <w:tc>
          <w:tcPr>
            <w:tcW w:w="1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Rate on</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Ending</w:t>
            </w:r>
          </w:p>
        </w:tc>
        <w:tc>
          <w:tcPr>
            <w:tcW w:w="114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0"/>
              </w:rPr>
              <w:t>Average</w:t>
            </w:r>
          </w:p>
        </w:tc>
        <w:tc>
          <w:tcPr>
            <w:tcW w:w="10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as of</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Net of</w:t>
            </w:r>
          </w:p>
        </w:tc>
        <w:tc>
          <w:tcPr>
            <w:tcW w:w="0" w:type="dxa"/>
            <w:vAlign w:val="bottom"/>
          </w:tcPr>
          <w:p>
            <w:pPr>
              <w:spacing w:after="0"/>
              <w:rPr>
                <w:sz w:val="1"/>
                <w:szCs w:val="1"/>
                <w:color w:val="auto"/>
              </w:rPr>
            </w:pPr>
          </w:p>
        </w:tc>
      </w:tr>
      <w:tr>
        <w:trPr>
          <w:trHeight w:val="149"/>
        </w:trPr>
        <w:tc>
          <w:tcPr>
            <w:tcW w:w="19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Quarter Ended</w:t>
            </w:r>
          </w:p>
        </w:tc>
        <w:tc>
          <w:tcPr>
            <w:tcW w:w="120" w:type="dxa"/>
            <w:vAlign w:val="bottom"/>
          </w:tcPr>
          <w:p>
            <w:pPr>
              <w:spacing w:after="0"/>
              <w:rPr>
                <w:sz w:val="12"/>
                <w:szCs w:val="12"/>
                <w:color w:val="auto"/>
              </w:rPr>
            </w:pPr>
          </w:p>
        </w:tc>
        <w:tc>
          <w:tcPr>
            <w:tcW w:w="11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Amount</w:t>
            </w:r>
          </w:p>
        </w:tc>
        <w:tc>
          <w:tcPr>
            <w:tcW w:w="140" w:type="dxa"/>
            <w:vAlign w:val="bottom"/>
          </w:tcPr>
          <w:p>
            <w:pPr>
              <w:spacing w:after="0"/>
              <w:rPr>
                <w:sz w:val="12"/>
                <w:szCs w:val="12"/>
                <w:color w:val="auto"/>
              </w:rPr>
            </w:pPr>
          </w:p>
        </w:tc>
        <w:tc>
          <w:tcPr>
            <w:tcW w:w="12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7"/>
              </w:rPr>
              <w:t>Daily Amount</w:t>
            </w:r>
          </w:p>
        </w:tc>
        <w:tc>
          <w:tcPr>
            <w:tcW w:w="140" w:type="dxa"/>
            <w:vAlign w:val="bottom"/>
          </w:tcPr>
          <w:p>
            <w:pPr>
              <w:spacing w:after="0"/>
              <w:rPr>
                <w:sz w:val="12"/>
                <w:szCs w:val="12"/>
                <w:color w:val="auto"/>
              </w:rPr>
            </w:pPr>
          </w:p>
        </w:tc>
        <w:tc>
          <w:tcPr>
            <w:tcW w:w="100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2"/>
                <w:szCs w:val="12"/>
                <w:color w:val="auto"/>
              </w:rPr>
            </w:pPr>
          </w:p>
        </w:tc>
        <w:tc>
          <w:tcPr>
            <w:tcW w:w="12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Amounts</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Amount</w:t>
            </w:r>
          </w:p>
        </w:tc>
        <w:tc>
          <w:tcPr>
            <w:tcW w:w="1140" w:type="dxa"/>
            <w:vAlign w:val="bottom"/>
            <w:gridSpan w:val="2"/>
            <w:vMerge w:val="continue"/>
          </w:tcPr>
          <w:p>
            <w:pPr>
              <w:spacing w:after="0"/>
              <w:rPr>
                <w:sz w:val="12"/>
                <w:szCs w:val="12"/>
                <w:color w:val="auto"/>
              </w:rPr>
            </w:pPr>
          </w:p>
        </w:tc>
        <w:tc>
          <w:tcPr>
            <w:tcW w:w="10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Period</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Unsettled</w:t>
            </w:r>
          </w:p>
        </w:tc>
        <w:tc>
          <w:tcPr>
            <w:tcW w:w="0" w:type="dxa"/>
            <w:vAlign w:val="bottom"/>
          </w:tcPr>
          <w:p>
            <w:pPr>
              <w:spacing w:after="0"/>
              <w:rPr>
                <w:sz w:val="1"/>
                <w:szCs w:val="1"/>
                <w:color w:val="auto"/>
              </w:rPr>
            </w:pPr>
          </w:p>
        </w:tc>
      </w:tr>
      <w:tr>
        <w:trPr>
          <w:trHeight w:val="198"/>
        </w:trPr>
        <w:tc>
          <w:tcPr>
            <w:tcW w:w="1960" w:type="dxa"/>
            <w:vAlign w:val="bottom"/>
            <w:tcBorders>
              <w:bottom w:val="single" w:sz="8" w:color="auto"/>
            </w:tcBorders>
            <w:vMerge w:val="continue"/>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Outstanding</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2"/>
              </w:rPr>
              <w:t>Outstanding</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Outstanding</w:t>
            </w:r>
          </w:p>
        </w:tc>
        <w:tc>
          <w:tcPr>
            <w:tcW w:w="100" w:type="dxa"/>
            <w:vAlign w:val="bottom"/>
            <w:tcBorders>
              <w:bottom w:val="single" w:sz="8" w:color="CCEEFF"/>
            </w:tcBorders>
          </w:tcPr>
          <w:p>
            <w:pPr>
              <w:spacing w:after="0"/>
              <w:rPr>
                <w:sz w:val="17"/>
                <w:szCs w:val="17"/>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Outstanding</w:t>
            </w:r>
          </w:p>
        </w:tc>
        <w:tc>
          <w:tcPr>
            <w:tcW w:w="100" w:type="dxa"/>
            <w:vAlign w:val="bottom"/>
            <w:tcBorders>
              <w:bottom w:val="single" w:sz="8" w:color="CCEEFF"/>
            </w:tcBorders>
          </w:tcPr>
          <w:p>
            <w:pPr>
              <w:spacing w:after="0"/>
              <w:rPr>
                <w:sz w:val="17"/>
                <w:szCs w:val="17"/>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Outstanding</w:t>
            </w:r>
          </w:p>
        </w:tc>
        <w:tc>
          <w:tcPr>
            <w:tcW w:w="100" w:type="dxa"/>
            <w:vAlign w:val="bottom"/>
            <w:tcBorders>
              <w:bottom w:val="single" w:sz="8" w:color="CCEEFF"/>
            </w:tcBorders>
          </w:tcPr>
          <w:p>
            <w:pPr>
              <w:spacing w:after="0"/>
              <w:rPr>
                <w:sz w:val="17"/>
                <w:szCs w:val="17"/>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Leverage</w:t>
            </w:r>
            <w:r>
              <w:rPr>
                <w:rFonts w:ascii="Arial" w:cs="Arial" w:eastAsia="Arial" w:hAnsi="Arial"/>
                <w:sz w:val="8"/>
                <w:szCs w:val="8"/>
                <w:b w:val="1"/>
                <w:bCs w:val="1"/>
                <w:color w:val="auto"/>
                <w:w w:val="95"/>
              </w:rPr>
              <w:t>(1)</w:t>
            </w:r>
          </w:p>
        </w:tc>
        <w:tc>
          <w:tcPr>
            <w:tcW w:w="100" w:type="dxa"/>
            <w:vAlign w:val="bottom"/>
            <w:tcBorders>
              <w:bottom w:val="single" w:sz="8" w:color="CCEEFF"/>
            </w:tcBorders>
          </w:tcPr>
          <w:p>
            <w:pPr>
              <w:spacing w:after="0"/>
              <w:rPr>
                <w:sz w:val="17"/>
                <w:szCs w:val="17"/>
                <w:color w:val="auto"/>
              </w:rPr>
            </w:pPr>
          </w:p>
        </w:tc>
        <w:tc>
          <w:tcPr>
            <w:tcW w:w="900" w:type="dxa"/>
            <w:vAlign w:val="bottom"/>
            <w:tcBorders>
              <w:bottom w:val="single" w:sz="8" w:color="auto"/>
            </w:tcBorders>
          </w:tcPr>
          <w:p>
            <w:pPr>
              <w:jc w:val="center"/>
              <w:spacing w:after="0" w:line="199" w:lineRule="exact"/>
              <w:rPr>
                <w:sz w:val="20"/>
                <w:szCs w:val="20"/>
                <w:color w:val="auto"/>
              </w:rPr>
            </w:pPr>
            <w:r>
              <w:rPr>
                <w:rFonts w:ascii="Arial" w:cs="Arial" w:eastAsia="Arial" w:hAnsi="Arial"/>
                <w:sz w:val="22"/>
                <w:szCs w:val="22"/>
                <w:b w:val="1"/>
                <w:bCs w:val="1"/>
                <w:color w:val="auto"/>
                <w:w w:val="95"/>
                <w:vertAlign w:val="subscript"/>
              </w:rPr>
              <w:t>End</w:t>
            </w:r>
            <w:r>
              <w:rPr>
                <w:rFonts w:ascii="Arial" w:cs="Arial" w:eastAsia="Arial" w:hAnsi="Arial"/>
                <w:sz w:val="8"/>
                <w:szCs w:val="8"/>
                <w:b w:val="1"/>
                <w:bCs w:val="1"/>
                <w:color w:val="auto"/>
                <w:w w:val="95"/>
              </w:rPr>
              <w:t>(2)</w:t>
            </w:r>
          </w:p>
        </w:tc>
        <w:tc>
          <w:tcPr>
            <w:tcW w:w="120" w:type="dxa"/>
            <w:vAlign w:val="bottom"/>
            <w:tcBorders>
              <w:bottom w:val="single" w:sz="8" w:color="CCEEFF"/>
            </w:tcBorders>
          </w:tcPr>
          <w:p>
            <w:pPr>
              <w:spacing w:after="0"/>
              <w:rPr>
                <w:sz w:val="17"/>
                <w:szCs w:val="17"/>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Trades</w:t>
            </w:r>
            <w:r>
              <w:rPr>
                <w:rFonts w:ascii="Arial" w:cs="Arial" w:eastAsia="Arial" w:hAnsi="Arial"/>
                <w:sz w:val="8"/>
                <w:szCs w:val="8"/>
                <w:b w:val="1"/>
                <w:bCs w:val="1"/>
                <w:color w:val="auto"/>
                <w:w w:val="96"/>
              </w:rPr>
              <w:t>(3)</w:t>
            </w:r>
          </w:p>
        </w:tc>
        <w:tc>
          <w:tcPr>
            <w:tcW w:w="0" w:type="dxa"/>
            <w:vAlign w:val="bottom"/>
          </w:tcPr>
          <w:p>
            <w:pPr>
              <w:spacing w:after="0"/>
              <w:rPr>
                <w:sz w:val="1"/>
                <w:szCs w:val="1"/>
                <w:color w:val="auto"/>
              </w:rPr>
            </w:pPr>
          </w:p>
        </w:tc>
      </w:tr>
      <w:tr>
        <w:trPr>
          <w:trHeight w:val="250"/>
        </w:trPr>
        <w:tc>
          <w:tcPr>
            <w:tcW w:w="1960" w:type="dxa"/>
            <w:vAlign w:val="bottom"/>
            <w:shd w:val="clear" w:color="auto" w:fill="CCEEFF"/>
          </w:tcPr>
          <w:p>
            <w:pPr>
              <w:ind w:left="40"/>
              <w:spacing w:after="0"/>
              <w:rPr>
                <w:sz w:val="20"/>
                <w:szCs w:val="20"/>
                <w:color w:val="auto"/>
              </w:rPr>
            </w:pPr>
            <w:r>
              <w:rPr>
                <w:rFonts w:ascii="Arial" w:cs="Arial" w:eastAsia="Arial" w:hAnsi="Arial"/>
                <w:sz w:val="14"/>
                <w:szCs w:val="14"/>
                <w:color w:val="auto"/>
              </w:rPr>
              <w:t>September 30, 2012</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75,106</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81,227</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80,262</w:t>
            </w:r>
          </w:p>
        </w:tc>
        <w:tc>
          <w:tcPr>
            <w:tcW w:w="124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95"/>
              </w:rPr>
              <w:t>0.47%</w:t>
            </w:r>
          </w:p>
        </w:tc>
        <w:tc>
          <w:tcPr>
            <w:tcW w:w="100" w:type="dxa"/>
            <w:vAlign w:val="bottom"/>
            <w:shd w:val="clear" w:color="auto" w:fill="CCEEFF"/>
          </w:tcPr>
          <w:p>
            <w:pPr>
              <w:spacing w:after="0"/>
              <w:rPr>
                <w:sz w:val="21"/>
                <w:szCs w:val="21"/>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0.46%</w:t>
            </w:r>
          </w:p>
        </w:tc>
        <w:tc>
          <w:tcPr>
            <w:tcW w:w="100" w:type="dxa"/>
            <w:vAlign w:val="bottom"/>
            <w:shd w:val="clear" w:color="auto" w:fill="CCEEFF"/>
          </w:tcPr>
          <w:p>
            <w:pPr>
              <w:spacing w:after="0"/>
              <w:rPr>
                <w:sz w:val="21"/>
                <w:szCs w:val="21"/>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7.1:1</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7.1:1</w:t>
            </w:r>
          </w:p>
        </w:tc>
        <w:tc>
          <w:tcPr>
            <w:tcW w:w="12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7.0:1</w:t>
            </w:r>
          </w:p>
        </w:tc>
        <w:tc>
          <w:tcPr>
            <w:tcW w:w="0" w:type="dxa"/>
            <w:vAlign w:val="bottom"/>
          </w:tcPr>
          <w:p>
            <w:pPr>
              <w:spacing w:after="0"/>
              <w:rPr>
                <w:sz w:val="1"/>
                <w:szCs w:val="1"/>
                <w:color w:val="auto"/>
              </w:rPr>
            </w:pPr>
          </w:p>
        </w:tc>
      </w:tr>
      <w:tr>
        <w:trPr>
          <w:trHeight w:val="264"/>
        </w:trPr>
        <w:tc>
          <w:tcPr>
            <w:tcW w:w="1960" w:type="dxa"/>
            <w:vAlign w:val="bottom"/>
          </w:tcPr>
          <w:p>
            <w:pPr>
              <w:ind w:left="40"/>
              <w:spacing w:after="0"/>
              <w:rPr>
                <w:sz w:val="20"/>
                <w:szCs w:val="20"/>
                <w:color w:val="auto"/>
              </w:rPr>
            </w:pPr>
            <w:r>
              <w:rPr>
                <w:rFonts w:ascii="Arial" w:cs="Arial" w:eastAsia="Arial" w:hAnsi="Arial"/>
                <w:sz w:val="14"/>
                <w:szCs w:val="14"/>
                <w:color w:val="auto"/>
              </w:rPr>
              <w:t>June 30, 2012</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67,997</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70,495</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70,494</w:t>
            </w:r>
          </w:p>
        </w:tc>
        <w:tc>
          <w:tcPr>
            <w:tcW w:w="1240" w:type="dxa"/>
            <w:vAlign w:val="bottom"/>
            <w:gridSpan w:val="2"/>
          </w:tcPr>
          <w:p>
            <w:pPr>
              <w:jc w:val="center"/>
              <w:ind w:left="28"/>
              <w:spacing w:after="0"/>
              <w:rPr>
                <w:sz w:val="20"/>
                <w:szCs w:val="20"/>
                <w:color w:val="auto"/>
              </w:rPr>
            </w:pPr>
            <w:r>
              <w:rPr>
                <w:rFonts w:ascii="Arial" w:cs="Arial" w:eastAsia="Arial" w:hAnsi="Arial"/>
                <w:sz w:val="14"/>
                <w:szCs w:val="14"/>
                <w:color w:val="auto"/>
                <w:w w:val="95"/>
              </w:rPr>
              <w:t>0.40%</w:t>
            </w:r>
          </w:p>
        </w:tc>
        <w:tc>
          <w:tcPr>
            <w:tcW w:w="100" w:type="dxa"/>
            <w:vAlign w:val="bottom"/>
          </w:tcPr>
          <w:p>
            <w:pPr>
              <w:spacing w:after="0"/>
              <w:rPr>
                <w:sz w:val="22"/>
                <w:szCs w:val="22"/>
                <w:color w:val="auto"/>
              </w:rPr>
            </w:pPr>
          </w:p>
        </w:tc>
        <w:tc>
          <w:tcPr>
            <w:tcW w:w="1140" w:type="dxa"/>
            <w:vAlign w:val="bottom"/>
          </w:tcPr>
          <w:p>
            <w:pPr>
              <w:jc w:val="center"/>
              <w:spacing w:after="0"/>
              <w:rPr>
                <w:sz w:val="20"/>
                <w:szCs w:val="20"/>
                <w:color w:val="auto"/>
              </w:rPr>
            </w:pPr>
            <w:r>
              <w:rPr>
                <w:rFonts w:ascii="Arial" w:cs="Arial" w:eastAsia="Arial" w:hAnsi="Arial"/>
                <w:sz w:val="14"/>
                <w:szCs w:val="14"/>
                <w:color w:val="auto"/>
                <w:w w:val="95"/>
              </w:rPr>
              <w:t>0.42%</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89"/>
              </w:rPr>
              <w:t>7.5:1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7.7:1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7.6:1</w:t>
            </w:r>
          </w:p>
        </w:tc>
        <w:tc>
          <w:tcPr>
            <w:tcW w:w="0" w:type="dxa"/>
            <w:vAlign w:val="bottom"/>
          </w:tcPr>
          <w:p>
            <w:pPr>
              <w:spacing w:after="0"/>
              <w:rPr>
                <w:sz w:val="1"/>
                <w:szCs w:val="1"/>
                <w:color w:val="auto"/>
              </w:rPr>
            </w:pPr>
          </w:p>
        </w:tc>
      </w:tr>
      <w:tr>
        <w:trPr>
          <w:trHeight w:val="276"/>
        </w:trPr>
        <w:tc>
          <w:tcPr>
            <w:tcW w:w="1960" w:type="dxa"/>
            <w:vAlign w:val="bottom"/>
            <w:shd w:val="clear" w:color="auto" w:fill="CCEEFF"/>
          </w:tcPr>
          <w:p>
            <w:pPr>
              <w:ind w:left="40"/>
              <w:spacing w:after="0"/>
              <w:rPr>
                <w:sz w:val="20"/>
                <w:szCs w:val="20"/>
                <w:color w:val="auto"/>
              </w:rPr>
            </w:pPr>
            <w:r>
              <w:rPr>
                <w:rFonts w:ascii="Arial" w:cs="Arial" w:eastAsia="Arial" w:hAnsi="Arial"/>
                <w:sz w:val="14"/>
                <w:szCs w:val="14"/>
                <w:color w:val="auto"/>
              </w:rPr>
              <w:t>March 31, 2012</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57,480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69,867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69,866</w:t>
            </w:r>
          </w:p>
        </w:tc>
        <w:tc>
          <w:tcPr>
            <w:tcW w:w="124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95"/>
              </w:rPr>
              <w:t>0.38%</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0.37%</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8.2:1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8.0:1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8.4:1</w:t>
            </w:r>
          </w:p>
        </w:tc>
        <w:tc>
          <w:tcPr>
            <w:tcW w:w="0" w:type="dxa"/>
            <w:vAlign w:val="bottom"/>
          </w:tcPr>
          <w:p>
            <w:pPr>
              <w:spacing w:after="0"/>
              <w:rPr>
                <w:sz w:val="1"/>
                <w:szCs w:val="1"/>
                <w:color w:val="auto"/>
              </w:rPr>
            </w:pPr>
          </w:p>
        </w:tc>
      </w:tr>
      <w:tr>
        <w:trPr>
          <w:trHeight w:val="264"/>
        </w:trPr>
        <w:tc>
          <w:tcPr>
            <w:tcW w:w="1960" w:type="dxa"/>
            <w:vAlign w:val="bottom"/>
          </w:tcPr>
          <w:p>
            <w:pPr>
              <w:ind w:left="40"/>
              <w:spacing w:after="0"/>
              <w:rPr>
                <w:sz w:val="20"/>
                <w:szCs w:val="20"/>
                <w:color w:val="auto"/>
              </w:rPr>
            </w:pPr>
            <w:r>
              <w:rPr>
                <w:rFonts w:ascii="Arial" w:cs="Arial" w:eastAsia="Arial" w:hAnsi="Arial"/>
                <w:sz w:val="14"/>
                <w:szCs w:val="14"/>
                <w:color w:val="auto"/>
              </w:rPr>
              <w:t>September 30, 2011</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38,484</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41,638</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38,898</w:t>
            </w:r>
          </w:p>
        </w:tc>
        <w:tc>
          <w:tcPr>
            <w:tcW w:w="1240" w:type="dxa"/>
            <w:vAlign w:val="bottom"/>
            <w:gridSpan w:val="2"/>
          </w:tcPr>
          <w:p>
            <w:pPr>
              <w:jc w:val="center"/>
              <w:ind w:left="28"/>
              <w:spacing w:after="0"/>
              <w:rPr>
                <w:sz w:val="20"/>
                <w:szCs w:val="20"/>
                <w:color w:val="auto"/>
              </w:rPr>
            </w:pPr>
            <w:r>
              <w:rPr>
                <w:rFonts w:ascii="Arial" w:cs="Arial" w:eastAsia="Arial" w:hAnsi="Arial"/>
                <w:sz w:val="14"/>
                <w:szCs w:val="14"/>
                <w:color w:val="auto"/>
                <w:w w:val="95"/>
              </w:rPr>
              <w:t>0.25%</w:t>
            </w:r>
          </w:p>
        </w:tc>
        <w:tc>
          <w:tcPr>
            <w:tcW w:w="100" w:type="dxa"/>
            <w:vAlign w:val="bottom"/>
          </w:tcPr>
          <w:p>
            <w:pPr>
              <w:spacing w:after="0"/>
              <w:rPr>
                <w:sz w:val="22"/>
                <w:szCs w:val="22"/>
                <w:color w:val="auto"/>
              </w:rPr>
            </w:pPr>
          </w:p>
        </w:tc>
        <w:tc>
          <w:tcPr>
            <w:tcW w:w="1140" w:type="dxa"/>
            <w:vAlign w:val="bottom"/>
          </w:tcPr>
          <w:p>
            <w:pPr>
              <w:jc w:val="center"/>
              <w:spacing w:after="0"/>
              <w:rPr>
                <w:sz w:val="20"/>
                <w:szCs w:val="20"/>
                <w:color w:val="auto"/>
              </w:rPr>
            </w:pPr>
            <w:r>
              <w:rPr>
                <w:rFonts w:ascii="Arial" w:cs="Arial" w:eastAsia="Arial" w:hAnsi="Arial"/>
                <w:sz w:val="14"/>
                <w:szCs w:val="14"/>
                <w:color w:val="auto"/>
                <w:w w:val="95"/>
              </w:rPr>
              <w:t>0.28%</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89"/>
              </w:rPr>
              <w:t>7.9:1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7.9:1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7.7:1</w:t>
            </w:r>
          </w:p>
        </w:tc>
        <w:tc>
          <w:tcPr>
            <w:tcW w:w="0" w:type="dxa"/>
            <w:vAlign w:val="bottom"/>
          </w:tcPr>
          <w:p>
            <w:pPr>
              <w:spacing w:after="0"/>
              <w:rPr>
                <w:sz w:val="1"/>
                <w:szCs w:val="1"/>
                <w:color w:val="auto"/>
              </w:rPr>
            </w:pPr>
          </w:p>
        </w:tc>
      </w:tr>
      <w:tr>
        <w:trPr>
          <w:trHeight w:val="276"/>
        </w:trPr>
        <w:tc>
          <w:tcPr>
            <w:tcW w:w="196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June 30, 2011 </w:t>
            </w:r>
            <w:r>
              <w:rPr>
                <w:rFonts w:ascii="Arial" w:cs="Arial" w:eastAsia="Arial" w:hAnsi="Arial"/>
                <w:sz w:val="8"/>
                <w:szCs w:val="8"/>
                <w:color w:val="auto"/>
              </w:rPr>
              <w:t>(4)</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28,668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33,567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33,567</w:t>
            </w:r>
          </w:p>
        </w:tc>
        <w:tc>
          <w:tcPr>
            <w:tcW w:w="124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95"/>
              </w:rPr>
              <w:t>0.25%</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0.23%</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7.6:1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7.0:1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7.5:1</w:t>
            </w:r>
          </w:p>
        </w:tc>
        <w:tc>
          <w:tcPr>
            <w:tcW w:w="0" w:type="dxa"/>
            <w:vAlign w:val="bottom"/>
          </w:tcPr>
          <w:p>
            <w:pPr>
              <w:spacing w:after="0"/>
              <w:rPr>
                <w:sz w:val="1"/>
                <w:szCs w:val="1"/>
                <w:color w:val="auto"/>
              </w:rPr>
            </w:pPr>
          </w:p>
        </w:tc>
      </w:tr>
      <w:tr>
        <w:trPr>
          <w:trHeight w:val="258"/>
        </w:trPr>
        <w:tc>
          <w:tcPr>
            <w:tcW w:w="1960" w:type="dxa"/>
            <w:vAlign w:val="bottom"/>
          </w:tcPr>
          <w:p>
            <w:pPr>
              <w:ind w:left="40"/>
              <w:spacing w:after="0"/>
              <w:rPr>
                <w:sz w:val="20"/>
                <w:szCs w:val="20"/>
                <w:color w:val="auto"/>
              </w:rPr>
            </w:pPr>
            <w:r>
              <w:rPr>
                <w:rFonts w:ascii="Arial" w:cs="Arial" w:eastAsia="Arial" w:hAnsi="Arial"/>
                <w:sz w:val="14"/>
                <w:szCs w:val="14"/>
                <w:color w:val="auto"/>
              </w:rPr>
              <w:t xml:space="preserve">March 31, 2011 </w:t>
            </w:r>
            <w:r>
              <w:rPr>
                <w:rFonts w:ascii="Arial" w:cs="Arial" w:eastAsia="Arial" w:hAnsi="Arial"/>
                <w:sz w:val="8"/>
                <w:szCs w:val="8"/>
                <w:color w:val="auto"/>
              </w:rPr>
              <w:t>(4)</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17,756</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22,147</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22,062</w:t>
            </w:r>
          </w:p>
        </w:tc>
        <w:tc>
          <w:tcPr>
            <w:tcW w:w="1240" w:type="dxa"/>
            <w:vAlign w:val="bottom"/>
            <w:gridSpan w:val="2"/>
          </w:tcPr>
          <w:p>
            <w:pPr>
              <w:jc w:val="center"/>
              <w:ind w:left="28"/>
              <w:spacing w:after="0"/>
              <w:rPr>
                <w:sz w:val="20"/>
                <w:szCs w:val="20"/>
                <w:color w:val="auto"/>
              </w:rPr>
            </w:pPr>
            <w:r>
              <w:rPr>
                <w:rFonts w:ascii="Arial" w:cs="Arial" w:eastAsia="Arial" w:hAnsi="Arial"/>
                <w:sz w:val="14"/>
                <w:szCs w:val="14"/>
                <w:color w:val="auto"/>
                <w:w w:val="95"/>
              </w:rPr>
              <w:t>0.28%</w:t>
            </w:r>
          </w:p>
        </w:tc>
        <w:tc>
          <w:tcPr>
            <w:tcW w:w="100" w:type="dxa"/>
            <w:vAlign w:val="bottom"/>
          </w:tcPr>
          <w:p>
            <w:pPr>
              <w:spacing w:after="0"/>
              <w:rPr>
                <w:sz w:val="22"/>
                <w:szCs w:val="22"/>
                <w:color w:val="auto"/>
              </w:rPr>
            </w:pPr>
          </w:p>
        </w:tc>
        <w:tc>
          <w:tcPr>
            <w:tcW w:w="1140" w:type="dxa"/>
            <w:vAlign w:val="bottom"/>
          </w:tcPr>
          <w:p>
            <w:pPr>
              <w:jc w:val="center"/>
              <w:spacing w:after="0"/>
              <w:rPr>
                <w:sz w:val="20"/>
                <w:szCs w:val="20"/>
                <w:color w:val="auto"/>
              </w:rPr>
            </w:pPr>
            <w:r>
              <w:rPr>
                <w:rFonts w:ascii="Arial" w:cs="Arial" w:eastAsia="Arial" w:hAnsi="Arial"/>
                <w:sz w:val="14"/>
                <w:szCs w:val="14"/>
                <w:color w:val="auto"/>
                <w:w w:val="95"/>
              </w:rPr>
              <w:t>0.28%</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89"/>
              </w:rPr>
              <w:t>7.4:1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6.6:1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7.6:1</w:t>
            </w:r>
          </w:p>
        </w:tc>
        <w:tc>
          <w:tcPr>
            <w:tcW w:w="0" w:type="dxa"/>
            <w:vAlign w:val="bottom"/>
          </w:tcPr>
          <w:p>
            <w:pPr>
              <w:spacing w:after="0"/>
              <w:rPr>
                <w:sz w:val="1"/>
                <w:szCs w:val="1"/>
                <w:color w:val="auto"/>
              </w:rPr>
            </w:pPr>
          </w:p>
        </w:tc>
      </w:tr>
    </w:tbl>
    <w:p>
      <w:pPr>
        <w:spacing w:after="0" w:line="236" w:lineRule="exact"/>
        <w:rPr>
          <w:sz w:val="20"/>
          <w:szCs w:val="20"/>
          <w:color w:val="auto"/>
        </w:rPr>
      </w:pPr>
    </w:p>
    <w:p>
      <w:pPr>
        <w:ind w:left="660" w:hanging="328"/>
        <w:spacing w:after="0" w:line="250"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leverage during the period was calculated by dividing the daily weighted average repurchase agreements and debt of consolidated VIEs outstanding, less amounts used to fund short-term investments in U.S. Treasury securities, for the period by our average month-ended stockholders’ equity for the period.</w:t>
      </w:r>
    </w:p>
    <w:p>
      <w:pPr>
        <w:ind w:left="660" w:hanging="328"/>
        <w:spacing w:after="0"/>
        <w:tabs>
          <w:tab w:leader="none" w:pos="660" w:val="left"/>
        </w:tabs>
        <w:numPr>
          <w:ilvl w:val="0"/>
          <w:numId w:val="22"/>
        </w:numPr>
        <w:rPr>
          <w:rFonts w:ascii="Arial" w:cs="Arial" w:eastAsia="Arial" w:hAnsi="Arial"/>
          <w:sz w:val="13"/>
          <w:szCs w:val="13"/>
          <w:color w:val="auto"/>
        </w:rPr>
      </w:pPr>
      <w:r>
        <w:rPr>
          <w:rFonts w:ascii="Arial" w:cs="Arial" w:eastAsia="Arial" w:hAnsi="Arial"/>
          <w:sz w:val="13"/>
          <w:szCs w:val="13"/>
          <w:color w:val="auto"/>
        </w:rPr>
        <w:t>Leverage as of period end was calculated by dividing the amount outstanding under our repurchase agreements and debt of consolidated VIEs by our stockholders’ equity at period end.</w:t>
      </w:r>
    </w:p>
    <w:p>
      <w:pPr>
        <w:spacing w:after="0" w:line="12" w:lineRule="exact"/>
        <w:rPr>
          <w:rFonts w:ascii="Arial" w:cs="Arial" w:eastAsia="Arial" w:hAnsi="Arial"/>
          <w:sz w:val="13"/>
          <w:szCs w:val="13"/>
          <w:color w:val="auto"/>
        </w:rPr>
      </w:pPr>
    </w:p>
    <w:p>
      <w:pPr>
        <w:ind w:left="660" w:hanging="328"/>
        <w:spacing w:after="0" w:line="241"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Leverage as of period end, net of unsettled trades was calculated by dividing the sum of the amount outstanding under our repurchase agreements, net liabilities and receivables for unsettled agency securities and debt of consolidated VIEs by our total stockholders’ equity at period end.</w:t>
      </w:r>
    </w:p>
    <w:p>
      <w:pPr>
        <w:ind w:left="660" w:hanging="328"/>
        <w:spacing w:after="0" w:line="255"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 xml:space="preserve">Average leverage for the quarters ended March 31, 2011 and June 30, 2011 was 8.2x and 8.3x, </w:t>
      </w:r>
      <w:r>
        <w:rPr>
          <w:rFonts w:ascii="Arial" w:cs="Arial" w:eastAsia="Arial" w:hAnsi="Arial"/>
          <w:sz w:val="14"/>
          <w:szCs w:val="14"/>
          <w:i w:val="1"/>
          <w:iCs w:val="1"/>
          <w:color w:val="auto"/>
        </w:rPr>
        <w:t>pro forma</w:t>
      </w:r>
      <w:r>
        <w:rPr>
          <w:rFonts w:ascii="Arial" w:cs="Arial" w:eastAsia="Arial" w:hAnsi="Arial"/>
          <w:sz w:val="14"/>
          <w:szCs w:val="14"/>
          <w:color w:val="auto"/>
        </w:rPr>
        <w:t>, when average equity is adjusted to exclude the March 2011 and June 2011 follow-on equity offerings that closed on March 25, 2011 and June 28, 2011, respectively.</w:t>
      </w:r>
    </w:p>
    <w:p>
      <w:pPr>
        <w:spacing w:after="0" w:line="190" w:lineRule="exact"/>
        <w:rPr>
          <w:sz w:val="20"/>
          <w:szCs w:val="20"/>
          <w:color w:val="auto"/>
        </w:rPr>
      </w:pPr>
    </w:p>
    <w:p>
      <w:pPr>
        <w:jc w:val="both"/>
        <w:ind w:left="60" w:firstLine="405"/>
        <w:spacing w:after="0" w:line="259" w:lineRule="auto"/>
        <w:rPr>
          <w:sz w:val="20"/>
          <w:szCs w:val="20"/>
          <w:color w:val="auto"/>
        </w:rPr>
      </w:pPr>
      <w:r>
        <w:rPr>
          <w:rFonts w:ascii="Arial" w:cs="Arial" w:eastAsia="Arial" w:hAnsi="Arial"/>
          <w:sz w:val="18"/>
          <w:szCs w:val="18"/>
          <w:color w:val="auto"/>
        </w:rPr>
        <w:t>Our leverage included in the table above does not include the impact of TBA and forward settling agency securities positions, which have the effect of increasing or decreasing our "at risk" leverage. A net long position increases our at risk leverage, while a net short position reduces our at risk leverage. As of September 30, 2012, we had a net long TBA and forward settling agency securities position of $3.8 billion notional value and at risk leverage of 7.4:1, net of unsettled securities.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239"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Interest expense of $139 million and $365 million for the three and nine months ended September 30, 2012, respectively, was primarily comprised of interest expense on our repurchase agreements and the reclassification of accumulated OCI into interest expense related to previously de-designated interest rate swaps described further below. When adjusted for other periodic swap expense included in our consolidated statement of comprehensive income in gain (loss) on derivative instruments and other securities, net, our adjusted net interest expense was $213 million and $540 million for the three and nine months ended September 30, 2012, respectively.</w:t>
      </w:r>
    </w:p>
    <w:p>
      <w:pPr>
        <w:spacing w:after="0" w:line="188" w:lineRule="exact"/>
        <w:rPr>
          <w:sz w:val="20"/>
          <w:szCs w:val="20"/>
          <w:color w:val="auto"/>
        </w:rPr>
      </w:pPr>
    </w:p>
    <w:p>
      <w:pPr>
        <w:ind w:left="500"/>
        <w:spacing w:after="0"/>
        <w:rPr>
          <w:sz w:val="20"/>
          <w:szCs w:val="20"/>
          <w:color w:val="auto"/>
        </w:rPr>
      </w:pPr>
      <w:r>
        <w:rPr>
          <w:rFonts w:ascii="Arial" w:cs="Arial" w:eastAsia="Arial" w:hAnsi="Arial"/>
          <w:sz w:val="18"/>
          <w:szCs w:val="18"/>
          <w:color w:val="auto"/>
        </w:rPr>
        <w:t>Interest expense of $95 million and $195 million for the three and nine months ended September 30, 2011, respectively,</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746" w:right="239" w:bottom="1440" w:gutter="0" w:footer="0" w:header="0"/>
        </w:sectPr>
      </w:pPr>
    </w:p>
    <w:bookmarkStart w:id="35" w:name="page36"/>
    <w:bookmarkEnd w:id="35"/>
    <w:p>
      <w:pPr>
        <w:jc w:val="both"/>
        <w:ind w:right="20"/>
        <w:spacing w:after="0" w:line="312" w:lineRule="auto"/>
        <w:rPr>
          <w:sz w:val="20"/>
          <w:szCs w:val="20"/>
          <w:color w:val="auto"/>
        </w:rPr>
      </w:pPr>
      <w:r>
        <w:rPr>
          <w:rFonts w:ascii="Arial" w:cs="Arial" w:eastAsia="Arial" w:hAnsi="Arial"/>
          <w:sz w:val="16"/>
          <w:szCs w:val="16"/>
          <w:color w:val="auto"/>
        </w:rPr>
        <w:t>was primarily comprised of interest expense on our repurchase agreements and periodic swap costs for the period prior to hedge de-designation. When adjusted for other periodic swap expense included in our consolidated statement of comprehensive income in gain (loss) on derivative instruments and other securities, net, our adjusted net interest expense was $97 million and $197 million for the three and nine months ended September 30, 2011, respectively.</w:t>
      </w:r>
    </w:p>
    <w:p>
      <w:pPr>
        <w:spacing w:after="0" w:line="93"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7"/>
          <w:szCs w:val="17"/>
          <w:color w:val="auto"/>
        </w:rPr>
        <w:t>Prior to the third quarter of 2011, we entered into interest rate swap agreements typically with the intention of qualifying for hedge accounting under GAAP. However, as of September 30, 2011, we elected to discontinue hedge accounting for our interest rate swaps in order to increase our funding flexibility (refer to Note 3 of our consolidated financial statements in this Quarterly Report on Form 10-Q regarding our discontinuance of hedge accounting). Subsequent to our discontinuance of hedge accounting, the net deferred loss related to our de-designated interest rate swaps is being reclassified from accumulated OCI into interest expense on a straight-line basis over the remaining term of each interest rate swap. Although the reclassification of accumulated OCI into interest expense is similar to as if the interest rate swaps had not been de-designated, the actual net periodic interest costs associated with our de-designated interest rates swaps may be greater or less than the amounts reclassified into interest expense. The difference, as well as net periodic interest costs on interest rate swaps that were never in a hedge designation, is reported in our consolidated statement of comprehensive income in gain (loss) on derivative instruments and other securities, net. We refer to the sum of our total net periodic interest costs on our interest rate swaps and interest expense on our repurchase agreements and other debt as our "adjusted net interest expense" or as our "cost of funds" when stated as a percentage of our outstanding repurchase agreements and other debt balance. Our cost of funds does not include swap termination fees and costs associated with our other supplemental hedges, such as swaptions, short U.S. Treasury or TBA positions.</w:t>
      </w:r>
    </w:p>
    <w:p>
      <w:pPr>
        <w:spacing w:after="0" w:line="126"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table below presents a reconciliation of our interest expense (the most comparable GAAP financial measure) to our adjusted net interest expense (a non-GAAP financial measure) for the three and nine months ended September 30, 2012 and 2011 (dollars in millions).</w:t>
      </w:r>
    </w:p>
    <w:p>
      <w:pPr>
        <w:spacing w:after="0" w:line="200" w:lineRule="exact"/>
        <w:rPr>
          <w:sz w:val="20"/>
          <w:szCs w:val="20"/>
          <w:color w:val="auto"/>
        </w:rPr>
      </w:pPr>
    </w:p>
    <w:p>
      <w:pPr>
        <w:spacing w:after="0" w:line="210" w:lineRule="exact"/>
        <w:rPr>
          <w:sz w:val="20"/>
          <w:szCs w:val="20"/>
          <w:color w:val="auto"/>
        </w:rPr>
      </w:pPr>
    </w:p>
    <w:tbl>
      <w:tblPr>
        <w:tblLayout w:type="fixed"/>
        <w:tblInd w:w="1120" w:type="dxa"/>
        <w:tblCellMar>
          <w:top w:w="0" w:type="dxa"/>
          <w:left w:w="0" w:type="dxa"/>
          <w:bottom w:w="0" w:type="dxa"/>
          <w:right w:w="0" w:type="dxa"/>
        </w:tblCellMar>
      </w:tblPr>
      <w:tr>
        <w:trPr>
          <w:trHeight w:val="174"/>
        </w:trPr>
        <w:tc>
          <w:tcPr>
            <w:tcW w:w="3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740" w:type="dxa"/>
            <w:vAlign w:val="bottom"/>
            <w:gridSpan w:val="7"/>
          </w:tcPr>
          <w:p>
            <w:pPr>
              <w:ind w:left="300"/>
              <w:spacing w:after="0"/>
              <w:rPr>
                <w:sz w:val="20"/>
                <w:szCs w:val="20"/>
                <w:color w:val="auto"/>
              </w:rPr>
            </w:pPr>
            <w:r>
              <w:rPr>
                <w:rFonts w:ascii="Arial" w:cs="Arial" w:eastAsia="Arial" w:hAnsi="Arial"/>
                <w:sz w:val="13"/>
                <w:szCs w:val="13"/>
                <w:b w:val="1"/>
                <w:bCs w:val="1"/>
                <w:color w:val="auto"/>
              </w:rPr>
              <w:t>Three Months Ended September 30,</w:t>
            </w:r>
          </w:p>
        </w:tc>
        <w:tc>
          <w:tcPr>
            <w:tcW w:w="100" w:type="dxa"/>
            <w:vAlign w:val="bottom"/>
          </w:tcPr>
          <w:p>
            <w:pPr>
              <w:spacing w:after="0"/>
              <w:rPr>
                <w:sz w:val="15"/>
                <w:szCs w:val="15"/>
                <w:color w:val="auto"/>
              </w:rPr>
            </w:pPr>
          </w:p>
        </w:tc>
        <w:tc>
          <w:tcPr>
            <w:tcW w:w="2540" w:type="dxa"/>
            <w:vAlign w:val="bottom"/>
            <w:gridSpan w:val="6"/>
          </w:tcPr>
          <w:p>
            <w:pPr>
              <w:jc w:val="right"/>
              <w:ind w:right="313"/>
              <w:spacing w:after="0"/>
              <w:rPr>
                <w:sz w:val="20"/>
                <w:szCs w:val="20"/>
                <w:color w:val="auto"/>
              </w:rPr>
            </w:pPr>
            <w:r>
              <w:rPr>
                <w:rFonts w:ascii="Arial" w:cs="Arial" w:eastAsia="Arial" w:hAnsi="Arial"/>
                <w:sz w:val="13"/>
                <w:szCs w:val="13"/>
                <w:b w:val="1"/>
                <w:bCs w:val="1"/>
                <w:color w:val="auto"/>
              </w:rPr>
              <w:t>Nine Months Ended September 30,</w:t>
            </w:r>
          </w:p>
        </w:tc>
      </w:tr>
      <w:tr>
        <w:trPr>
          <w:trHeight w:val="264"/>
        </w:trPr>
        <w:tc>
          <w:tcPr>
            <w:tcW w:w="3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2012</w:t>
            </w:r>
          </w:p>
        </w:tc>
        <w:tc>
          <w:tcPr>
            <w:tcW w:w="48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2011</w:t>
            </w:r>
          </w:p>
        </w:tc>
        <w:tc>
          <w:tcPr>
            <w:tcW w:w="50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2012</w:t>
            </w:r>
          </w:p>
        </w:tc>
        <w:tc>
          <w:tcPr>
            <w:tcW w:w="48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2011</w:t>
            </w:r>
          </w:p>
        </w:tc>
        <w:tc>
          <w:tcPr>
            <w:tcW w:w="480" w:type="dxa"/>
            <w:vAlign w:val="bottom"/>
            <w:tcBorders>
              <w:top w:val="single" w:sz="8" w:color="auto"/>
              <w:bottom w:val="single" w:sz="8" w:color="auto"/>
            </w:tcBorders>
          </w:tcPr>
          <w:p>
            <w:pPr>
              <w:spacing w:after="0"/>
              <w:rPr>
                <w:sz w:val="22"/>
                <w:szCs w:val="22"/>
                <w:color w:val="auto"/>
              </w:rPr>
            </w:pPr>
          </w:p>
        </w:tc>
      </w:tr>
      <w:tr>
        <w:trPr>
          <w:trHeight w:val="257"/>
        </w:trPr>
        <w:tc>
          <w:tcPr>
            <w:tcW w:w="36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Adjusted Net Interest Expense and Cost of Funds</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w w:val="85"/>
              </w:rPr>
              <w:t>Amount</w:t>
            </w:r>
          </w:p>
        </w:tc>
        <w:tc>
          <w:tcPr>
            <w:tcW w:w="480" w:type="dxa"/>
            <w:vAlign w:val="bottom"/>
            <w:tcBorders>
              <w:bottom w:val="single" w:sz="8" w:color="auto"/>
            </w:tcBorders>
          </w:tcPr>
          <w:p>
            <w:pPr>
              <w:jc w:val="right"/>
              <w:ind w:right="113"/>
              <w:spacing w:after="0" w:line="257" w:lineRule="exact"/>
              <w:rPr>
                <w:sz w:val="20"/>
                <w:szCs w:val="20"/>
                <w:color w:val="auto"/>
              </w:rPr>
            </w:pPr>
            <w:r>
              <w:rPr>
                <w:rFonts w:ascii="Arial" w:cs="Arial" w:eastAsia="Arial" w:hAnsi="Arial"/>
                <w:sz w:val="25"/>
                <w:szCs w:val="25"/>
                <w:b w:val="1"/>
                <w:bCs w:val="1"/>
                <w:color w:val="auto"/>
                <w:w w:val="98"/>
                <w:vertAlign w:val="subscript"/>
              </w:rPr>
              <w:t>%</w:t>
            </w:r>
            <w:r>
              <w:rPr>
                <w:rFonts w:ascii="Arial" w:cs="Arial" w:eastAsia="Arial" w:hAnsi="Arial"/>
                <w:sz w:val="9"/>
                <w:szCs w:val="9"/>
                <w:b w:val="1"/>
                <w:bCs w:val="1"/>
                <w:color w:val="auto"/>
                <w:w w:val="98"/>
              </w:rPr>
              <w:t xml:space="preserve"> (1)</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w w:val="89"/>
              </w:rPr>
              <w:t>Amount</w:t>
            </w:r>
          </w:p>
        </w:tc>
        <w:tc>
          <w:tcPr>
            <w:tcW w:w="500" w:type="dxa"/>
            <w:vAlign w:val="bottom"/>
            <w:tcBorders>
              <w:bottom w:val="single" w:sz="8" w:color="auto"/>
            </w:tcBorders>
          </w:tcPr>
          <w:p>
            <w:pPr>
              <w:jc w:val="right"/>
              <w:ind w:right="133"/>
              <w:spacing w:after="0" w:line="257" w:lineRule="exact"/>
              <w:rPr>
                <w:sz w:val="20"/>
                <w:szCs w:val="20"/>
                <w:color w:val="auto"/>
              </w:rPr>
            </w:pPr>
            <w:r>
              <w:rPr>
                <w:rFonts w:ascii="Arial" w:cs="Arial" w:eastAsia="Arial" w:hAnsi="Arial"/>
                <w:sz w:val="25"/>
                <w:szCs w:val="25"/>
                <w:b w:val="1"/>
                <w:bCs w:val="1"/>
                <w:color w:val="auto"/>
                <w:w w:val="98"/>
                <w:vertAlign w:val="subscript"/>
              </w:rPr>
              <w:t>%</w:t>
            </w:r>
            <w:r>
              <w:rPr>
                <w:rFonts w:ascii="Arial" w:cs="Arial" w:eastAsia="Arial" w:hAnsi="Arial"/>
                <w:sz w:val="9"/>
                <w:szCs w:val="9"/>
                <w:b w:val="1"/>
                <w:bCs w:val="1"/>
                <w:color w:val="auto"/>
                <w:w w:val="98"/>
              </w:rPr>
              <w:t xml:space="preserve"> (1)</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71"/>
              <w:spacing w:after="0"/>
              <w:rPr>
                <w:sz w:val="20"/>
                <w:szCs w:val="20"/>
                <w:color w:val="auto"/>
              </w:rPr>
            </w:pPr>
            <w:r>
              <w:rPr>
                <w:rFonts w:ascii="Arial" w:cs="Arial" w:eastAsia="Arial" w:hAnsi="Arial"/>
                <w:sz w:val="13"/>
                <w:szCs w:val="13"/>
                <w:b w:val="1"/>
                <w:bCs w:val="1"/>
                <w:color w:val="auto"/>
                <w:w w:val="85"/>
              </w:rPr>
              <w:t>Amount</w:t>
            </w:r>
          </w:p>
        </w:tc>
        <w:tc>
          <w:tcPr>
            <w:tcW w:w="480" w:type="dxa"/>
            <w:vAlign w:val="bottom"/>
            <w:tcBorders>
              <w:bottom w:val="single" w:sz="8" w:color="auto"/>
            </w:tcBorders>
          </w:tcPr>
          <w:p>
            <w:pPr>
              <w:jc w:val="right"/>
              <w:ind w:right="113"/>
              <w:spacing w:after="0" w:line="257" w:lineRule="exact"/>
              <w:rPr>
                <w:sz w:val="20"/>
                <w:szCs w:val="20"/>
                <w:color w:val="auto"/>
              </w:rPr>
            </w:pPr>
            <w:r>
              <w:rPr>
                <w:rFonts w:ascii="Arial" w:cs="Arial" w:eastAsia="Arial" w:hAnsi="Arial"/>
                <w:sz w:val="25"/>
                <w:szCs w:val="25"/>
                <w:b w:val="1"/>
                <w:bCs w:val="1"/>
                <w:color w:val="auto"/>
                <w:w w:val="98"/>
                <w:vertAlign w:val="subscript"/>
              </w:rPr>
              <w:t>%</w:t>
            </w:r>
            <w:r>
              <w:rPr>
                <w:rFonts w:ascii="Arial" w:cs="Arial" w:eastAsia="Arial" w:hAnsi="Arial"/>
                <w:sz w:val="9"/>
                <w:szCs w:val="9"/>
                <w:b w:val="1"/>
                <w:bCs w:val="1"/>
                <w:color w:val="auto"/>
                <w:w w:val="98"/>
              </w:rPr>
              <w:t xml:space="preserve"> (1)</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191"/>
              <w:spacing w:after="0"/>
              <w:rPr>
                <w:sz w:val="20"/>
                <w:szCs w:val="20"/>
                <w:color w:val="auto"/>
              </w:rPr>
            </w:pPr>
            <w:r>
              <w:rPr>
                <w:rFonts w:ascii="Arial" w:cs="Arial" w:eastAsia="Arial" w:hAnsi="Arial"/>
                <w:sz w:val="13"/>
                <w:szCs w:val="13"/>
                <w:b w:val="1"/>
                <w:bCs w:val="1"/>
                <w:color w:val="auto"/>
                <w:w w:val="85"/>
              </w:rPr>
              <w:t>Amount</w:t>
            </w:r>
          </w:p>
        </w:tc>
        <w:tc>
          <w:tcPr>
            <w:tcW w:w="480" w:type="dxa"/>
            <w:vAlign w:val="bottom"/>
            <w:tcBorders>
              <w:bottom w:val="single" w:sz="8" w:color="auto"/>
            </w:tcBorders>
          </w:tcPr>
          <w:p>
            <w:pPr>
              <w:jc w:val="right"/>
              <w:ind w:right="113"/>
              <w:spacing w:after="0" w:line="257" w:lineRule="exact"/>
              <w:rPr>
                <w:sz w:val="20"/>
                <w:szCs w:val="20"/>
                <w:color w:val="auto"/>
              </w:rPr>
            </w:pPr>
            <w:r>
              <w:rPr>
                <w:rFonts w:ascii="Arial" w:cs="Arial" w:eastAsia="Arial" w:hAnsi="Arial"/>
                <w:sz w:val="25"/>
                <w:szCs w:val="25"/>
                <w:b w:val="1"/>
                <w:bCs w:val="1"/>
                <w:color w:val="auto"/>
                <w:w w:val="98"/>
                <w:vertAlign w:val="subscript"/>
              </w:rPr>
              <w:t>%</w:t>
            </w:r>
            <w:r>
              <w:rPr>
                <w:rFonts w:ascii="Arial" w:cs="Arial" w:eastAsia="Arial" w:hAnsi="Arial"/>
                <w:sz w:val="9"/>
                <w:szCs w:val="9"/>
                <w:b w:val="1"/>
                <w:bCs w:val="1"/>
                <w:color w:val="auto"/>
                <w:w w:val="98"/>
              </w:rPr>
              <w:t xml:space="preserve"> (1)</w:t>
            </w:r>
          </w:p>
        </w:tc>
      </w:tr>
      <w:tr>
        <w:trPr>
          <w:trHeight w:val="264"/>
        </w:trPr>
        <w:tc>
          <w:tcPr>
            <w:tcW w:w="37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Interest expense:</w:t>
            </w:r>
          </w:p>
        </w:tc>
        <w:tc>
          <w:tcPr>
            <w:tcW w:w="12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r>
      <w:tr>
        <w:trPr>
          <w:trHeight w:val="264"/>
        </w:trPr>
        <w:tc>
          <w:tcPr>
            <w:tcW w:w="3700" w:type="dxa"/>
            <w:vAlign w:val="bottom"/>
            <w:gridSpan w:val="2"/>
          </w:tcPr>
          <w:p>
            <w:pPr>
              <w:ind w:left="340"/>
              <w:spacing w:after="0"/>
              <w:rPr>
                <w:sz w:val="20"/>
                <w:szCs w:val="20"/>
                <w:color w:val="auto"/>
              </w:rPr>
            </w:pPr>
            <w:r>
              <w:rPr>
                <w:rFonts w:ascii="Arial" w:cs="Arial" w:eastAsia="Arial" w:hAnsi="Arial"/>
                <w:sz w:val="14"/>
                <w:szCs w:val="14"/>
                <w:color w:val="auto"/>
                <w:w w:val="96"/>
              </w:rPr>
              <w:t>Repurchase agreement and other debt interest expense</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11"/>
              <w:spacing w:after="0"/>
              <w:rPr>
                <w:sz w:val="20"/>
                <w:szCs w:val="20"/>
                <w:color w:val="auto"/>
              </w:rPr>
            </w:pPr>
            <w:r>
              <w:rPr>
                <w:rFonts w:ascii="Arial" w:cs="Arial" w:eastAsia="Arial" w:hAnsi="Arial"/>
                <w:sz w:val="14"/>
                <w:szCs w:val="14"/>
                <w:color w:val="auto"/>
              </w:rPr>
              <w:t>88</w:t>
            </w:r>
          </w:p>
        </w:tc>
        <w:tc>
          <w:tcPr>
            <w:tcW w:w="480" w:type="dxa"/>
            <w:vAlign w:val="bottom"/>
          </w:tcPr>
          <w:p>
            <w:pPr>
              <w:jc w:val="right"/>
              <w:spacing w:after="0"/>
              <w:rPr>
                <w:sz w:val="20"/>
                <w:szCs w:val="20"/>
                <w:color w:val="auto"/>
              </w:rPr>
            </w:pPr>
            <w:r>
              <w:rPr>
                <w:rFonts w:ascii="Arial" w:cs="Arial" w:eastAsia="Arial" w:hAnsi="Arial"/>
                <w:sz w:val="14"/>
                <w:szCs w:val="14"/>
                <w:color w:val="auto"/>
              </w:rPr>
              <w:t>0.47%</w:t>
            </w: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31"/>
              <w:spacing w:after="0"/>
              <w:rPr>
                <w:sz w:val="20"/>
                <w:szCs w:val="20"/>
                <w:color w:val="auto"/>
              </w:rPr>
            </w:pPr>
            <w:r>
              <w:rPr>
                <w:rFonts w:ascii="Arial" w:cs="Arial" w:eastAsia="Arial" w:hAnsi="Arial"/>
                <w:sz w:val="14"/>
                <w:szCs w:val="14"/>
                <w:color w:val="auto"/>
              </w:rPr>
              <w:t>24</w:t>
            </w:r>
          </w:p>
        </w:tc>
        <w:tc>
          <w:tcPr>
            <w:tcW w:w="500" w:type="dxa"/>
            <w:vAlign w:val="bottom"/>
          </w:tcPr>
          <w:p>
            <w:pPr>
              <w:jc w:val="right"/>
              <w:spacing w:after="0"/>
              <w:rPr>
                <w:sz w:val="20"/>
                <w:szCs w:val="20"/>
                <w:color w:val="auto"/>
              </w:rPr>
            </w:pPr>
            <w:r>
              <w:rPr>
                <w:rFonts w:ascii="Arial" w:cs="Arial" w:eastAsia="Arial" w:hAnsi="Arial"/>
                <w:sz w:val="14"/>
                <w:szCs w:val="14"/>
                <w:color w:val="auto"/>
              </w:rPr>
              <w:t>0.25%</w:t>
            </w: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171"/>
              <w:spacing w:after="0"/>
              <w:rPr>
                <w:sz w:val="20"/>
                <w:szCs w:val="20"/>
                <w:color w:val="auto"/>
              </w:rPr>
            </w:pPr>
            <w:r>
              <w:rPr>
                <w:rFonts w:ascii="Arial" w:cs="Arial" w:eastAsia="Arial" w:hAnsi="Arial"/>
                <w:sz w:val="14"/>
                <w:szCs w:val="14"/>
                <w:color w:val="auto"/>
              </w:rPr>
              <w:t>210</w:t>
            </w:r>
          </w:p>
        </w:tc>
        <w:tc>
          <w:tcPr>
            <w:tcW w:w="480" w:type="dxa"/>
            <w:vAlign w:val="bottom"/>
          </w:tcPr>
          <w:p>
            <w:pPr>
              <w:jc w:val="right"/>
              <w:spacing w:after="0"/>
              <w:rPr>
                <w:sz w:val="20"/>
                <w:szCs w:val="20"/>
                <w:color w:val="auto"/>
              </w:rPr>
            </w:pPr>
            <w:r>
              <w:rPr>
                <w:rFonts w:ascii="Arial" w:cs="Arial" w:eastAsia="Arial" w:hAnsi="Arial"/>
                <w:sz w:val="14"/>
                <w:szCs w:val="14"/>
                <w:color w:val="auto"/>
              </w:rPr>
              <w:t>0.42%</w:t>
            </w: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171"/>
              <w:spacing w:after="0"/>
              <w:rPr>
                <w:sz w:val="20"/>
                <w:szCs w:val="20"/>
                <w:color w:val="auto"/>
              </w:rPr>
            </w:pPr>
            <w:r>
              <w:rPr>
                <w:rFonts w:ascii="Arial" w:cs="Arial" w:eastAsia="Arial" w:hAnsi="Arial"/>
                <w:sz w:val="14"/>
                <w:szCs w:val="14"/>
                <w:color w:val="auto"/>
              </w:rPr>
              <w:t>55</w:t>
            </w:r>
          </w:p>
        </w:tc>
        <w:tc>
          <w:tcPr>
            <w:tcW w:w="480" w:type="dxa"/>
            <w:vAlign w:val="bottom"/>
          </w:tcPr>
          <w:p>
            <w:pPr>
              <w:jc w:val="right"/>
              <w:spacing w:after="0"/>
              <w:rPr>
                <w:sz w:val="20"/>
                <w:szCs w:val="20"/>
                <w:color w:val="auto"/>
              </w:rPr>
            </w:pPr>
            <w:r>
              <w:rPr>
                <w:rFonts w:ascii="Arial" w:cs="Arial" w:eastAsia="Arial" w:hAnsi="Arial"/>
                <w:sz w:val="14"/>
                <w:szCs w:val="14"/>
                <w:color w:val="auto"/>
              </w:rPr>
              <w:t>0.26%</w:t>
            </w:r>
          </w:p>
        </w:tc>
      </w:tr>
      <w:tr>
        <w:trPr>
          <w:trHeight w:val="163"/>
        </w:trPr>
        <w:tc>
          <w:tcPr>
            <w:tcW w:w="370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w w:val="97"/>
              </w:rPr>
              <w:t>Periodic interest costs of interest rate swaps previously</w:t>
            </w:r>
          </w:p>
        </w:tc>
        <w:tc>
          <w:tcPr>
            <w:tcW w:w="12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r>
      <w:tr>
        <w:trPr>
          <w:trHeight w:val="194"/>
        </w:trPr>
        <w:tc>
          <w:tcPr>
            <w:tcW w:w="3700" w:type="dxa"/>
            <w:vAlign w:val="bottom"/>
            <w:gridSpan w:val="2"/>
            <w:shd w:val="clear" w:color="auto" w:fill="CCEEFF"/>
          </w:tcPr>
          <w:p>
            <w:pPr>
              <w:ind w:left="660"/>
              <w:spacing w:after="0"/>
              <w:rPr>
                <w:sz w:val="20"/>
                <w:szCs w:val="20"/>
                <w:color w:val="auto"/>
              </w:rPr>
            </w:pPr>
            <w:r>
              <w:rPr>
                <w:rFonts w:ascii="Arial" w:cs="Arial" w:eastAsia="Arial" w:hAnsi="Arial"/>
                <w:sz w:val="14"/>
                <w:szCs w:val="14"/>
                <w:color w:val="auto"/>
              </w:rPr>
              <w:t>designated as hedges under GAAP, net</w:t>
            </w:r>
          </w:p>
        </w:tc>
        <w:tc>
          <w:tcPr>
            <w:tcW w:w="12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111"/>
              <w:spacing w:after="0"/>
              <w:rPr>
                <w:sz w:val="20"/>
                <w:szCs w:val="20"/>
                <w:color w:val="auto"/>
              </w:rPr>
            </w:pPr>
            <w:r>
              <w:rPr>
                <w:rFonts w:ascii="Arial" w:cs="Arial" w:eastAsia="Arial" w:hAnsi="Arial"/>
                <w:sz w:val="14"/>
                <w:szCs w:val="14"/>
                <w:color w:val="auto"/>
              </w:rPr>
              <w:t>51</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0.27%</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ind w:right="131"/>
              <w:spacing w:after="0"/>
              <w:rPr>
                <w:sz w:val="20"/>
                <w:szCs w:val="20"/>
                <w:color w:val="auto"/>
              </w:rPr>
            </w:pPr>
            <w:r>
              <w:rPr>
                <w:rFonts w:ascii="Arial" w:cs="Arial" w:eastAsia="Arial" w:hAnsi="Arial"/>
                <w:sz w:val="14"/>
                <w:szCs w:val="14"/>
                <w:color w:val="auto"/>
              </w:rPr>
              <w:t>71</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0.73%</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ind w:right="171"/>
              <w:spacing w:after="0"/>
              <w:rPr>
                <w:sz w:val="20"/>
                <w:szCs w:val="20"/>
                <w:color w:val="auto"/>
              </w:rPr>
            </w:pPr>
            <w:r>
              <w:rPr>
                <w:rFonts w:ascii="Arial" w:cs="Arial" w:eastAsia="Arial" w:hAnsi="Arial"/>
                <w:sz w:val="14"/>
                <w:szCs w:val="14"/>
                <w:color w:val="auto"/>
              </w:rPr>
              <w:t>155</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0.31%</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ind w:right="171"/>
              <w:spacing w:after="0"/>
              <w:rPr>
                <w:sz w:val="20"/>
                <w:szCs w:val="20"/>
                <w:color w:val="auto"/>
              </w:rPr>
            </w:pPr>
            <w:r>
              <w:rPr>
                <w:rFonts w:ascii="Arial" w:cs="Arial" w:eastAsia="Arial" w:hAnsi="Arial"/>
                <w:sz w:val="14"/>
                <w:szCs w:val="14"/>
                <w:color w:val="auto"/>
              </w:rPr>
              <w:t>140</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0.66%</w:t>
            </w:r>
          </w:p>
        </w:tc>
      </w:tr>
      <w:tr>
        <w:trPr>
          <w:trHeight w:val="244"/>
        </w:trPr>
        <w:tc>
          <w:tcPr>
            <w:tcW w:w="3700" w:type="dxa"/>
            <w:vAlign w:val="bottom"/>
            <w:gridSpan w:val="2"/>
          </w:tcPr>
          <w:p>
            <w:pPr>
              <w:ind w:left="20"/>
              <w:spacing w:after="0"/>
              <w:rPr>
                <w:sz w:val="20"/>
                <w:szCs w:val="20"/>
                <w:color w:val="auto"/>
              </w:rPr>
            </w:pPr>
            <w:r>
              <w:rPr>
                <w:rFonts w:ascii="Arial" w:cs="Arial" w:eastAsia="Arial" w:hAnsi="Arial"/>
                <w:sz w:val="14"/>
                <w:szCs w:val="14"/>
                <w:b w:val="1"/>
                <w:bCs w:val="1"/>
                <w:color w:val="auto"/>
              </w:rPr>
              <w:t>Total interest expense</w:t>
            </w:r>
          </w:p>
        </w:tc>
        <w:tc>
          <w:tcPr>
            <w:tcW w:w="120" w:type="dxa"/>
            <w:vAlign w:val="bottom"/>
          </w:tcPr>
          <w:p>
            <w:pPr>
              <w:spacing w:after="0"/>
              <w:rPr>
                <w:sz w:val="21"/>
                <w:szCs w:val="21"/>
                <w:color w:val="auto"/>
              </w:rPr>
            </w:pPr>
          </w:p>
        </w:tc>
        <w:tc>
          <w:tcPr>
            <w:tcW w:w="720" w:type="dxa"/>
            <w:vAlign w:val="bottom"/>
          </w:tcPr>
          <w:p>
            <w:pPr>
              <w:jc w:val="right"/>
              <w:ind w:right="111"/>
              <w:spacing w:after="0"/>
              <w:rPr>
                <w:sz w:val="20"/>
                <w:szCs w:val="20"/>
                <w:color w:val="auto"/>
              </w:rPr>
            </w:pPr>
            <w:r>
              <w:rPr>
                <w:rFonts w:ascii="Arial" w:cs="Arial" w:eastAsia="Arial" w:hAnsi="Arial"/>
                <w:sz w:val="14"/>
                <w:szCs w:val="14"/>
                <w:color w:val="auto"/>
              </w:rPr>
              <w:t>139</w:t>
            </w:r>
          </w:p>
        </w:tc>
        <w:tc>
          <w:tcPr>
            <w:tcW w:w="480" w:type="dxa"/>
            <w:vAlign w:val="bottom"/>
          </w:tcPr>
          <w:p>
            <w:pPr>
              <w:jc w:val="right"/>
              <w:spacing w:after="0"/>
              <w:rPr>
                <w:sz w:val="20"/>
                <w:szCs w:val="20"/>
                <w:color w:val="auto"/>
              </w:rPr>
            </w:pPr>
            <w:r>
              <w:rPr>
                <w:rFonts w:ascii="Arial" w:cs="Arial" w:eastAsia="Arial" w:hAnsi="Arial"/>
                <w:sz w:val="14"/>
                <w:szCs w:val="14"/>
                <w:color w:val="auto"/>
              </w:rPr>
              <w:t>0.74%</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jc w:val="right"/>
              <w:ind w:right="131"/>
              <w:spacing w:after="0"/>
              <w:rPr>
                <w:sz w:val="20"/>
                <w:szCs w:val="20"/>
                <w:color w:val="auto"/>
              </w:rPr>
            </w:pPr>
            <w:r>
              <w:rPr>
                <w:rFonts w:ascii="Arial" w:cs="Arial" w:eastAsia="Arial" w:hAnsi="Arial"/>
                <w:sz w:val="14"/>
                <w:szCs w:val="14"/>
                <w:color w:val="auto"/>
              </w:rPr>
              <w:t>95</w:t>
            </w:r>
          </w:p>
        </w:tc>
        <w:tc>
          <w:tcPr>
            <w:tcW w:w="500" w:type="dxa"/>
            <w:vAlign w:val="bottom"/>
          </w:tcPr>
          <w:p>
            <w:pPr>
              <w:jc w:val="right"/>
              <w:spacing w:after="0"/>
              <w:rPr>
                <w:sz w:val="20"/>
                <w:szCs w:val="20"/>
                <w:color w:val="auto"/>
              </w:rPr>
            </w:pPr>
            <w:r>
              <w:rPr>
                <w:rFonts w:ascii="Arial" w:cs="Arial" w:eastAsia="Arial" w:hAnsi="Arial"/>
                <w:sz w:val="14"/>
                <w:szCs w:val="14"/>
                <w:color w:val="auto"/>
              </w:rPr>
              <w:t>0.98%</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80" w:type="dxa"/>
            <w:vAlign w:val="bottom"/>
          </w:tcPr>
          <w:p>
            <w:pPr>
              <w:jc w:val="right"/>
              <w:ind w:right="171"/>
              <w:spacing w:after="0"/>
              <w:rPr>
                <w:sz w:val="20"/>
                <w:szCs w:val="20"/>
                <w:color w:val="auto"/>
              </w:rPr>
            </w:pPr>
            <w:r>
              <w:rPr>
                <w:rFonts w:ascii="Arial" w:cs="Arial" w:eastAsia="Arial" w:hAnsi="Arial"/>
                <w:sz w:val="14"/>
                <w:szCs w:val="14"/>
                <w:color w:val="auto"/>
              </w:rPr>
              <w:t>365</w:t>
            </w:r>
          </w:p>
        </w:tc>
        <w:tc>
          <w:tcPr>
            <w:tcW w:w="480" w:type="dxa"/>
            <w:vAlign w:val="bottom"/>
          </w:tcPr>
          <w:p>
            <w:pPr>
              <w:jc w:val="right"/>
              <w:spacing w:after="0"/>
              <w:rPr>
                <w:sz w:val="20"/>
                <w:szCs w:val="20"/>
                <w:color w:val="auto"/>
              </w:rPr>
            </w:pPr>
            <w:r>
              <w:rPr>
                <w:rFonts w:ascii="Arial" w:cs="Arial" w:eastAsia="Arial" w:hAnsi="Arial"/>
                <w:sz w:val="14"/>
                <w:szCs w:val="14"/>
                <w:color w:val="auto"/>
              </w:rPr>
              <w:t>0.73%</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00" w:type="dxa"/>
            <w:vAlign w:val="bottom"/>
          </w:tcPr>
          <w:p>
            <w:pPr>
              <w:jc w:val="right"/>
              <w:ind w:right="171"/>
              <w:spacing w:after="0"/>
              <w:rPr>
                <w:sz w:val="20"/>
                <w:szCs w:val="20"/>
                <w:color w:val="auto"/>
              </w:rPr>
            </w:pPr>
            <w:r>
              <w:rPr>
                <w:rFonts w:ascii="Arial" w:cs="Arial" w:eastAsia="Arial" w:hAnsi="Arial"/>
                <w:sz w:val="14"/>
                <w:szCs w:val="14"/>
                <w:color w:val="auto"/>
              </w:rPr>
              <w:t>195</w:t>
            </w:r>
          </w:p>
        </w:tc>
        <w:tc>
          <w:tcPr>
            <w:tcW w:w="480" w:type="dxa"/>
            <w:vAlign w:val="bottom"/>
          </w:tcPr>
          <w:p>
            <w:pPr>
              <w:jc w:val="right"/>
              <w:spacing w:after="0"/>
              <w:rPr>
                <w:sz w:val="20"/>
                <w:szCs w:val="20"/>
                <w:color w:val="auto"/>
              </w:rPr>
            </w:pPr>
            <w:r>
              <w:rPr>
                <w:rFonts w:ascii="Arial" w:cs="Arial" w:eastAsia="Arial" w:hAnsi="Arial"/>
                <w:sz w:val="14"/>
                <w:szCs w:val="14"/>
                <w:color w:val="auto"/>
              </w:rPr>
              <w:t>0.92%</w:t>
            </w:r>
          </w:p>
        </w:tc>
      </w:tr>
      <w:tr>
        <w:trPr>
          <w:trHeight w:val="270"/>
        </w:trPr>
        <w:tc>
          <w:tcPr>
            <w:tcW w:w="37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Other periodic interest costs of interest rate swaps, net</w:t>
            </w:r>
          </w:p>
        </w:tc>
        <w:tc>
          <w:tcPr>
            <w:tcW w:w="1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111"/>
              <w:spacing w:after="0"/>
              <w:rPr>
                <w:sz w:val="20"/>
                <w:szCs w:val="20"/>
                <w:color w:val="auto"/>
              </w:rPr>
            </w:pPr>
            <w:r>
              <w:rPr>
                <w:rFonts w:ascii="Arial" w:cs="Arial" w:eastAsia="Arial" w:hAnsi="Arial"/>
                <w:sz w:val="14"/>
                <w:szCs w:val="14"/>
                <w:color w:val="auto"/>
              </w:rPr>
              <w:t>74</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0.39%</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131"/>
              <w:spacing w:after="0"/>
              <w:rPr>
                <w:sz w:val="20"/>
                <w:szCs w:val="20"/>
                <w:color w:val="auto"/>
              </w:rPr>
            </w:pPr>
            <w:r>
              <w:rPr>
                <w:rFonts w:ascii="Arial" w:cs="Arial" w:eastAsia="Arial" w:hAnsi="Arial"/>
                <w:sz w:val="14"/>
                <w:szCs w:val="14"/>
                <w:color w:val="auto"/>
              </w:rPr>
              <w:t>2</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0.02%</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171"/>
              <w:spacing w:after="0"/>
              <w:rPr>
                <w:sz w:val="20"/>
                <w:szCs w:val="20"/>
                <w:color w:val="auto"/>
              </w:rPr>
            </w:pPr>
            <w:r>
              <w:rPr>
                <w:rFonts w:ascii="Arial" w:cs="Arial" w:eastAsia="Arial" w:hAnsi="Arial"/>
                <w:sz w:val="14"/>
                <w:szCs w:val="14"/>
                <w:color w:val="auto"/>
              </w:rPr>
              <w:t>175</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0.35%</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171"/>
              <w:spacing w:after="0"/>
              <w:rPr>
                <w:sz w:val="20"/>
                <w:szCs w:val="20"/>
                <w:color w:val="auto"/>
              </w:rPr>
            </w:pPr>
            <w:r>
              <w:rPr>
                <w:rFonts w:ascii="Arial" w:cs="Arial" w:eastAsia="Arial" w:hAnsi="Arial"/>
                <w:sz w:val="14"/>
                <w:szCs w:val="14"/>
                <w:color w:val="auto"/>
              </w:rPr>
              <w:t>2</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0.01%</w:t>
            </w:r>
          </w:p>
        </w:tc>
      </w:tr>
      <w:tr>
        <w:trPr>
          <w:trHeight w:val="243"/>
        </w:trPr>
        <w:tc>
          <w:tcPr>
            <w:tcW w:w="3700" w:type="dxa"/>
            <w:vAlign w:val="bottom"/>
            <w:gridSpan w:val="2"/>
          </w:tcPr>
          <w:p>
            <w:pPr>
              <w:ind w:left="20"/>
              <w:spacing w:after="0"/>
              <w:rPr>
                <w:sz w:val="20"/>
                <w:szCs w:val="20"/>
                <w:color w:val="auto"/>
              </w:rPr>
            </w:pPr>
            <w:r>
              <w:rPr>
                <w:rFonts w:ascii="Arial" w:cs="Arial" w:eastAsia="Arial" w:hAnsi="Arial"/>
                <w:sz w:val="14"/>
                <w:szCs w:val="14"/>
                <w:b w:val="1"/>
                <w:bCs w:val="1"/>
                <w:color w:val="auto"/>
              </w:rPr>
              <w:t>Total adjusted net interest expense and cost of funds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111"/>
              <w:spacing w:after="0"/>
              <w:rPr>
                <w:sz w:val="20"/>
                <w:szCs w:val="20"/>
                <w:color w:val="auto"/>
              </w:rPr>
            </w:pPr>
            <w:r>
              <w:rPr>
                <w:rFonts w:ascii="Arial" w:cs="Arial" w:eastAsia="Arial" w:hAnsi="Arial"/>
                <w:sz w:val="14"/>
                <w:szCs w:val="14"/>
                <w:color w:val="auto"/>
              </w:rPr>
              <w:t>213</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w:t>
            </w:r>
          </w:p>
        </w:tc>
        <w:tc>
          <w:tcPr>
            <w:tcW w:w="10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ind w:right="131"/>
              <w:spacing w:after="0"/>
              <w:rPr>
                <w:sz w:val="20"/>
                <w:szCs w:val="20"/>
                <w:color w:val="auto"/>
              </w:rPr>
            </w:pPr>
            <w:r>
              <w:rPr>
                <w:rFonts w:ascii="Arial" w:cs="Arial" w:eastAsia="Arial" w:hAnsi="Arial"/>
                <w:sz w:val="14"/>
                <w:szCs w:val="14"/>
                <w:color w:val="auto"/>
              </w:rPr>
              <w:t>97</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10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color w:val="auto"/>
              </w:rPr>
              <w:t>540</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1.08%</w:t>
            </w:r>
          </w:p>
        </w:tc>
        <w:tc>
          <w:tcPr>
            <w:tcW w:w="10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color w:val="auto"/>
              </w:rPr>
              <w:t>197</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0.93%</w:t>
            </w:r>
          </w:p>
        </w:tc>
      </w:tr>
      <w:tr>
        <w:trPr>
          <w:trHeight w:val="20"/>
        </w:trPr>
        <w:tc>
          <w:tcPr>
            <w:tcW w:w="3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r>
    </w:tbl>
    <w:p>
      <w:pPr>
        <w:ind w:left="60"/>
        <w:spacing w:after="0"/>
        <w:rPr>
          <w:sz w:val="20"/>
          <w:szCs w:val="20"/>
          <w:color w:val="auto"/>
        </w:rPr>
      </w:pPr>
      <w:r>
        <w:rPr>
          <w:rFonts w:ascii="Arial" w:cs="Arial" w:eastAsia="Arial" w:hAnsi="Arial"/>
          <w:sz w:val="18"/>
          <w:szCs w:val="18"/>
          <w:color w:val="auto"/>
        </w:rPr>
        <w:t>_______________________</w:t>
      </w:r>
    </w:p>
    <w:p>
      <w:pPr>
        <w:spacing w:after="0" w:line="2" w:lineRule="exact"/>
        <w:rPr>
          <w:sz w:val="20"/>
          <w:szCs w:val="20"/>
          <w:color w:val="auto"/>
        </w:rPr>
      </w:pP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Percent of our average repurchase agreements and other debt outstanding for the period annualized.</w:t>
      </w:r>
    </w:p>
    <w:p>
      <w:pPr>
        <w:spacing w:after="0" w:line="156"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The table below presents a summary of our debt and interest rate swaps outstanding for the three and nine months ended September 30, 2012 and 2011 (dollars in millions).</w:t>
      </w:r>
    </w:p>
    <w:p>
      <w:pPr>
        <w:spacing w:after="0" w:line="356" w:lineRule="exact"/>
        <w:rPr>
          <w:sz w:val="20"/>
          <w:szCs w:val="20"/>
          <w:color w:val="auto"/>
        </w:rPr>
      </w:pPr>
    </w:p>
    <w:tbl>
      <w:tblPr>
        <w:tblLayout w:type="fixed"/>
        <w:tblInd w:w="420" w:type="dxa"/>
        <w:tblCellMar>
          <w:top w:w="0" w:type="dxa"/>
          <w:left w:w="0" w:type="dxa"/>
          <w:bottom w:w="0" w:type="dxa"/>
          <w:right w:w="0" w:type="dxa"/>
        </w:tblCellMar>
      </w:tblPr>
      <w:tr>
        <w:trPr>
          <w:trHeight w:val="174"/>
        </w:trPr>
        <w:tc>
          <w:tcPr>
            <w:tcW w:w="6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180" w:type="dxa"/>
            <w:vAlign w:val="bottom"/>
            <w:gridSpan w:val="6"/>
          </w:tcPr>
          <w:p>
            <w:pPr>
              <w:ind w:left="80"/>
              <w:spacing w:after="0"/>
              <w:rPr>
                <w:sz w:val="20"/>
                <w:szCs w:val="20"/>
                <w:color w:val="auto"/>
              </w:rPr>
            </w:pPr>
            <w:r>
              <w:rPr>
                <w:rFonts w:ascii="Arial" w:cs="Arial" w:eastAsia="Arial" w:hAnsi="Arial"/>
                <w:sz w:val="13"/>
                <w:szCs w:val="13"/>
                <w:b w:val="1"/>
                <w:bCs w:val="1"/>
                <w:color w:val="auto"/>
                <w:w w:val="94"/>
              </w:rPr>
              <w:t>Three Months Ended September 30,</w:t>
            </w:r>
          </w:p>
        </w:tc>
        <w:tc>
          <w:tcPr>
            <w:tcW w:w="120" w:type="dxa"/>
            <w:vAlign w:val="bottom"/>
          </w:tcPr>
          <w:p>
            <w:pPr>
              <w:spacing w:after="0"/>
              <w:rPr>
                <w:sz w:val="15"/>
                <w:szCs w:val="15"/>
                <w:color w:val="auto"/>
              </w:rPr>
            </w:pPr>
          </w:p>
        </w:tc>
        <w:tc>
          <w:tcPr>
            <w:tcW w:w="1980" w:type="dxa"/>
            <w:vAlign w:val="bottom"/>
            <w:gridSpan w:val="4"/>
          </w:tcPr>
          <w:p>
            <w:pPr>
              <w:jc w:val="center"/>
              <w:ind w:right="30"/>
              <w:spacing w:after="0"/>
              <w:rPr>
                <w:sz w:val="20"/>
                <w:szCs w:val="20"/>
                <w:color w:val="auto"/>
              </w:rPr>
            </w:pPr>
            <w:r>
              <w:rPr>
                <w:rFonts w:ascii="Arial" w:cs="Arial" w:eastAsia="Arial" w:hAnsi="Arial"/>
                <w:sz w:val="13"/>
                <w:szCs w:val="13"/>
                <w:b w:val="1"/>
                <w:bCs w:val="1"/>
                <w:color w:val="auto"/>
                <w:w w:val="87"/>
              </w:rPr>
              <w:t>Nine Months Ended September 30,</w:t>
            </w:r>
          </w:p>
        </w:tc>
      </w:tr>
      <w:tr>
        <w:trPr>
          <w:trHeight w:val="264"/>
        </w:trPr>
        <w:tc>
          <w:tcPr>
            <w:tcW w:w="62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Average Debt and Interest Rate Swaps Outstanding</w:t>
            </w:r>
          </w:p>
        </w:tc>
        <w:tc>
          <w:tcPr>
            <w:tcW w:w="12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3"/>
                <w:szCs w:val="13"/>
                <w:b w:val="1"/>
                <w:bCs w:val="1"/>
                <w:color w:val="auto"/>
              </w:rPr>
              <w:t>2012</w:t>
            </w:r>
          </w:p>
        </w:tc>
        <w:tc>
          <w:tcPr>
            <w:tcW w:w="100" w:type="dxa"/>
            <w:vAlign w:val="bottom"/>
            <w:tcBorders>
              <w:top w:val="single" w:sz="8" w:color="auto"/>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3"/>
                <w:szCs w:val="13"/>
                <w:b w:val="1"/>
                <w:bCs w:val="1"/>
                <w:color w:val="auto"/>
              </w:rPr>
              <w:t>2011</w:t>
            </w:r>
          </w:p>
        </w:tc>
        <w:tc>
          <w:tcPr>
            <w:tcW w:w="100" w:type="dxa"/>
            <w:vAlign w:val="bottom"/>
            <w:tcBorders>
              <w:bottom w:val="single" w:sz="8" w:color="CCEEFF"/>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780" w:type="dxa"/>
            <w:vAlign w:val="bottom"/>
            <w:tcBorders>
              <w:top w:val="single" w:sz="8" w:color="auto"/>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2012</w:t>
            </w:r>
          </w:p>
        </w:tc>
        <w:tc>
          <w:tcPr>
            <w:tcW w:w="10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3"/>
                <w:szCs w:val="13"/>
                <w:b w:val="1"/>
                <w:bCs w:val="1"/>
                <w:color w:val="auto"/>
              </w:rPr>
              <w:t>2011</w:t>
            </w:r>
          </w:p>
        </w:tc>
      </w:tr>
      <w:tr>
        <w:trPr>
          <w:trHeight w:val="256"/>
        </w:trPr>
        <w:tc>
          <w:tcPr>
            <w:tcW w:w="6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Average repurchase agreements and other debt </w:t>
            </w:r>
            <w:r>
              <w:rPr>
                <w:rFonts w:ascii="Arial" w:cs="Arial" w:eastAsia="Arial" w:hAnsi="Arial"/>
                <w:sz w:val="8"/>
                <w:szCs w:val="8"/>
                <w:color w:val="auto"/>
              </w:rPr>
              <w:t>(1)</w:t>
            </w:r>
          </w:p>
        </w:tc>
        <w:tc>
          <w:tcPr>
            <w:tcW w:w="22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75,106</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38,484</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91"/>
              <w:spacing w:after="0"/>
              <w:rPr>
                <w:sz w:val="20"/>
                <w:szCs w:val="20"/>
                <w:color w:val="auto"/>
              </w:rPr>
            </w:pPr>
            <w:r>
              <w:rPr>
                <w:rFonts w:ascii="Arial" w:cs="Arial" w:eastAsia="Arial" w:hAnsi="Arial"/>
                <w:sz w:val="14"/>
                <w:szCs w:val="14"/>
                <w:color w:val="auto"/>
              </w:rPr>
              <w:t>66,890</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center"/>
              <w:ind w:right="68"/>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28,355</w:t>
            </w:r>
          </w:p>
        </w:tc>
      </w:tr>
      <w:tr>
        <w:trPr>
          <w:trHeight w:val="264"/>
        </w:trPr>
        <w:tc>
          <w:tcPr>
            <w:tcW w:w="6320" w:type="dxa"/>
            <w:vAlign w:val="bottom"/>
            <w:gridSpan w:val="2"/>
          </w:tcPr>
          <w:p>
            <w:pPr>
              <w:ind w:left="20"/>
              <w:spacing w:after="0"/>
              <w:rPr>
                <w:sz w:val="20"/>
                <w:szCs w:val="20"/>
                <w:color w:val="auto"/>
              </w:rPr>
            </w:pPr>
            <w:r>
              <w:rPr>
                <w:rFonts w:ascii="Arial" w:cs="Arial" w:eastAsia="Arial" w:hAnsi="Arial"/>
                <w:sz w:val="14"/>
                <w:szCs w:val="14"/>
                <w:color w:val="auto"/>
              </w:rPr>
              <w:t>Average notional amount of interest rate swaps</w:t>
            </w:r>
          </w:p>
        </w:tc>
        <w:tc>
          <w:tcPr>
            <w:tcW w:w="22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70"/>
              <w:spacing w:after="0"/>
              <w:rPr>
                <w:sz w:val="20"/>
                <w:szCs w:val="20"/>
                <w:color w:val="auto"/>
              </w:rPr>
            </w:pPr>
            <w:r>
              <w:rPr>
                <w:rFonts w:ascii="Arial" w:cs="Arial" w:eastAsia="Arial" w:hAnsi="Arial"/>
                <w:sz w:val="14"/>
                <w:szCs w:val="14"/>
                <w:color w:val="auto"/>
              </w:rPr>
              <w:t>44,170</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0"/>
              <w:spacing w:after="0"/>
              <w:rPr>
                <w:sz w:val="20"/>
                <w:szCs w:val="20"/>
                <w:color w:val="auto"/>
              </w:rPr>
            </w:pPr>
            <w:r>
              <w:rPr>
                <w:rFonts w:ascii="Arial" w:cs="Arial" w:eastAsia="Arial" w:hAnsi="Arial"/>
                <w:sz w:val="14"/>
                <w:szCs w:val="14"/>
                <w:color w:val="auto"/>
              </w:rPr>
              <w:t>19,938</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91"/>
              <w:spacing w:after="0"/>
              <w:rPr>
                <w:sz w:val="20"/>
                <w:szCs w:val="20"/>
                <w:color w:val="auto"/>
              </w:rPr>
            </w:pPr>
            <w:r>
              <w:rPr>
                <w:rFonts w:ascii="Arial" w:cs="Arial" w:eastAsia="Arial" w:hAnsi="Arial"/>
                <w:sz w:val="14"/>
                <w:szCs w:val="14"/>
                <w:color w:val="auto"/>
              </w:rPr>
              <w:t>37,209</w:t>
            </w:r>
          </w:p>
        </w:tc>
        <w:tc>
          <w:tcPr>
            <w:tcW w:w="100" w:type="dxa"/>
            <w:vAlign w:val="bottom"/>
          </w:tcPr>
          <w:p>
            <w:pPr>
              <w:spacing w:after="0"/>
              <w:rPr>
                <w:sz w:val="22"/>
                <w:szCs w:val="22"/>
                <w:color w:val="auto"/>
              </w:rPr>
            </w:pPr>
          </w:p>
        </w:tc>
        <w:tc>
          <w:tcPr>
            <w:tcW w:w="260" w:type="dxa"/>
            <w:vAlign w:val="bottom"/>
          </w:tcPr>
          <w:p>
            <w:pPr>
              <w:jc w:val="center"/>
              <w:ind w:right="68"/>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90"/>
              <w:spacing w:after="0"/>
              <w:rPr>
                <w:sz w:val="20"/>
                <w:szCs w:val="20"/>
                <w:color w:val="auto"/>
              </w:rPr>
            </w:pPr>
            <w:r>
              <w:rPr>
                <w:rFonts w:ascii="Arial" w:cs="Arial" w:eastAsia="Arial" w:hAnsi="Arial"/>
                <w:sz w:val="14"/>
                <w:szCs w:val="14"/>
                <w:color w:val="auto"/>
              </w:rPr>
              <w:t>13,078</w:t>
            </w:r>
          </w:p>
        </w:tc>
      </w:tr>
      <w:tr>
        <w:trPr>
          <w:trHeight w:val="276"/>
        </w:trPr>
        <w:tc>
          <w:tcPr>
            <w:tcW w:w="6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w w:val="95"/>
              </w:rPr>
              <w:t>Average notional amount of interest rate swaps as a percentage of repurchase agreements and other debt</w:t>
            </w: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w:t>
            </w:r>
          </w:p>
        </w:tc>
      </w:tr>
      <w:tr>
        <w:trPr>
          <w:trHeight w:val="258"/>
        </w:trPr>
        <w:tc>
          <w:tcPr>
            <w:tcW w:w="6320" w:type="dxa"/>
            <w:vAlign w:val="bottom"/>
            <w:gridSpan w:val="2"/>
          </w:tcPr>
          <w:p>
            <w:pPr>
              <w:ind w:left="20"/>
              <w:spacing w:after="0"/>
              <w:rPr>
                <w:sz w:val="20"/>
                <w:szCs w:val="20"/>
                <w:color w:val="auto"/>
              </w:rPr>
            </w:pPr>
            <w:r>
              <w:rPr>
                <w:rFonts w:ascii="Arial" w:cs="Arial" w:eastAsia="Arial" w:hAnsi="Arial"/>
                <w:sz w:val="14"/>
                <w:szCs w:val="14"/>
                <w:color w:val="auto"/>
              </w:rPr>
              <w:t>Weighted average pay rate on interest rate swaps</w:t>
            </w: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1.47%</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1.63%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1.51%</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1.66%</w:t>
            </w:r>
          </w:p>
        </w:tc>
      </w:tr>
    </w:tbl>
    <w:p>
      <w:pPr>
        <w:ind w:left="60"/>
        <w:spacing w:after="0"/>
        <w:rPr>
          <w:sz w:val="20"/>
          <w:szCs w:val="20"/>
          <w:color w:val="auto"/>
        </w:rPr>
      </w:pPr>
      <w:r>
        <w:rPr>
          <w:rFonts w:ascii="Arial" w:cs="Arial" w:eastAsia="Arial" w:hAnsi="Arial"/>
          <w:sz w:val="18"/>
          <w:szCs w:val="18"/>
          <w:color w:val="auto"/>
        </w:rPr>
        <w:t>_______________________</w:t>
      </w:r>
    </w:p>
    <w:p>
      <w:pPr>
        <w:spacing w:after="0" w:line="14" w:lineRule="exact"/>
        <w:rPr>
          <w:sz w:val="20"/>
          <w:szCs w:val="20"/>
          <w:color w:val="auto"/>
        </w:rPr>
      </w:pPr>
    </w:p>
    <w:p>
      <w:pPr>
        <w:ind w:left="660" w:hanging="328"/>
        <w:spacing w:after="0"/>
        <w:tabs>
          <w:tab w:leader="none" w:pos="660" w:val="left"/>
        </w:tabs>
        <w:numPr>
          <w:ilvl w:val="0"/>
          <w:numId w:val="24"/>
        </w:numPr>
        <w:rPr>
          <w:rFonts w:ascii="Arial" w:cs="Arial" w:eastAsia="Arial" w:hAnsi="Arial"/>
          <w:sz w:val="13"/>
          <w:szCs w:val="13"/>
          <w:color w:val="auto"/>
        </w:rPr>
      </w:pPr>
      <w:r>
        <w:rPr>
          <w:rFonts w:ascii="Arial" w:cs="Arial" w:eastAsia="Arial" w:hAnsi="Arial"/>
          <w:sz w:val="13"/>
          <w:szCs w:val="13"/>
          <w:color w:val="auto"/>
        </w:rPr>
        <w:t>Represents daily weighted average balance of repurchase agreement and other debt outstanding, less amounts used to fund short-term investments in U.S. Treasury securities.</w:t>
      </w:r>
    </w:p>
    <w:p>
      <w:pPr>
        <w:spacing w:after="0" w:line="167" w:lineRule="exact"/>
        <w:rPr>
          <w:sz w:val="20"/>
          <w:szCs w:val="20"/>
          <w:color w:val="auto"/>
        </w:rPr>
      </w:pPr>
    </w:p>
    <w:p>
      <w:pPr>
        <w:jc w:val="both"/>
        <w:ind w:left="60" w:firstLine="486"/>
        <w:spacing w:after="0" w:line="293" w:lineRule="auto"/>
        <w:rPr>
          <w:sz w:val="20"/>
          <w:szCs w:val="20"/>
          <w:color w:val="auto"/>
        </w:rPr>
      </w:pPr>
      <w:r>
        <w:rPr>
          <w:rFonts w:ascii="Arial" w:cs="Arial" w:eastAsia="Arial" w:hAnsi="Arial"/>
          <w:sz w:val="16"/>
          <w:szCs w:val="16"/>
          <w:color w:val="auto"/>
        </w:rPr>
        <w:t>Our average interest rate swaps outstanding in the table above exclude our forward starting swaps not in effect during the periods presented. Forward starting interest rate swaps do not impact our adjusted net interest expense and cost of funds until they commence accruing net interest settlements on their forward start dates. We enter into forward starting interest rate swaps based on a variety of factors, including our Manager's view of the forward yield curve and the timing of potential changes in short-term interest rates, time to deploy new capital, amount and timing of expirations of our existing interest swap portfolio and current and anticipated swap spreads. As of September 30, 2012, we had $3.1 billion of forward starting interest rate swaps outstanding with forward start dates through March 2013, compared to $550 million of interest rate swaps set to expire over the same time</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584" w:right="239" w:bottom="1440" w:gutter="0" w:footer="0" w:header="0"/>
        </w:sectPr>
      </w:pPr>
    </w:p>
    <w:bookmarkStart w:id="36" w:name="page37"/>
    <w:bookmarkEnd w:id="36"/>
    <w:p>
      <w:pPr>
        <w:ind w:left="60"/>
        <w:spacing w:after="0"/>
        <w:rPr>
          <w:sz w:val="20"/>
          <w:szCs w:val="20"/>
          <w:color w:val="auto"/>
        </w:rPr>
      </w:pPr>
      <w:r>
        <w:rPr>
          <w:rFonts w:ascii="Arial" w:cs="Arial" w:eastAsia="Arial" w:hAnsi="Arial"/>
          <w:sz w:val="18"/>
          <w:szCs w:val="18"/>
          <w:color w:val="auto"/>
        </w:rPr>
        <w:t>period.</w:t>
      </w:r>
    </w:p>
    <w:p>
      <w:pPr>
        <w:spacing w:after="0" w:line="171"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The period-over-period increase in our adjusted net interest expense was largely attributable to the increase in our investment portfolio and the corresponding increase in our average repurchase agreements and other debt balances outstanding and a higher cost of funds. Our higher cost of funds was reflective of higher repo rates and a higher ratio of interest rate swaps outstanding to repurchase agreements and other debt, which was partially offset by a decrease in the weighted average pay rate on our interest rate swaps. Our higher repo cost is primarily a function of higher repo rates in the market and, to a lesser extent, a function of extending the average original days-to-maturity of our repo funding to 141 days as of September 30, 2012 from 57 days as of September 30, 2011.</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Spread Income</w:t>
      </w:r>
    </w:p>
    <w:p>
      <w:pPr>
        <w:spacing w:after="0" w:line="171" w:lineRule="exact"/>
        <w:rPr>
          <w:sz w:val="20"/>
          <w:szCs w:val="20"/>
          <w:color w:val="auto"/>
        </w:rPr>
      </w:pPr>
    </w:p>
    <w:p>
      <w:pPr>
        <w:jc w:val="both"/>
        <w:ind w:right="20" w:firstLine="486"/>
        <w:spacing w:after="0" w:line="277" w:lineRule="auto"/>
        <w:rPr>
          <w:sz w:val="20"/>
          <w:szCs w:val="20"/>
          <w:color w:val="auto"/>
        </w:rPr>
      </w:pPr>
      <w:r>
        <w:rPr>
          <w:rFonts w:ascii="Arial" w:cs="Arial" w:eastAsia="Arial" w:hAnsi="Arial"/>
          <w:sz w:val="18"/>
          <w:szCs w:val="18"/>
          <w:color w:val="auto"/>
        </w:rPr>
        <w:t>The table below presents a reconciliation of our net interest income (the most comparable GAAP financial measure) to our net spread income (a non-GAAP financial measure) for the three and nine months ended September 30, 2012 and 2011 (dollars in millions).</w:t>
      </w:r>
    </w:p>
    <w:p>
      <w:pPr>
        <w:spacing w:after="0" w:line="279" w:lineRule="exact"/>
        <w:rPr>
          <w:sz w:val="20"/>
          <w:szCs w:val="20"/>
          <w:color w:val="auto"/>
        </w:rPr>
      </w:pPr>
    </w:p>
    <w:tbl>
      <w:tblPr>
        <w:tblLayout w:type="fixed"/>
        <w:tblInd w:w="1260" w:type="dxa"/>
        <w:tblCellMar>
          <w:top w:w="0" w:type="dxa"/>
          <w:left w:w="0" w:type="dxa"/>
          <w:bottom w:w="0" w:type="dxa"/>
          <w:right w:w="0" w:type="dxa"/>
        </w:tblCellMar>
      </w:tblPr>
      <w:tr>
        <w:trPr>
          <w:trHeight w:val="203"/>
        </w:trPr>
        <w:tc>
          <w:tcPr>
            <w:tcW w:w="49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60" w:type="dxa"/>
            <w:vAlign w:val="bottom"/>
            <w:gridSpan w:val="5"/>
          </w:tcPr>
          <w:p>
            <w:pPr>
              <w:jc w:val="center"/>
              <w:ind w:right="260"/>
              <w:spacing w:after="0"/>
              <w:rPr>
                <w:sz w:val="20"/>
                <w:szCs w:val="20"/>
                <w:color w:val="auto"/>
              </w:rPr>
            </w:pPr>
            <w:r>
              <w:rPr>
                <w:rFonts w:ascii="Arial" w:cs="Arial" w:eastAsia="Arial" w:hAnsi="Arial"/>
                <w:sz w:val="16"/>
                <w:szCs w:val="16"/>
                <w:b w:val="1"/>
                <w:bCs w:val="1"/>
                <w:color w:val="auto"/>
                <w:w w:val="88"/>
              </w:rPr>
              <w:t>Three months ended</w:t>
            </w:r>
          </w:p>
        </w:tc>
        <w:tc>
          <w:tcPr>
            <w:tcW w:w="180" w:type="dxa"/>
            <w:vAlign w:val="bottom"/>
          </w:tcPr>
          <w:p>
            <w:pPr>
              <w:spacing w:after="0"/>
              <w:rPr>
                <w:sz w:val="17"/>
                <w:szCs w:val="17"/>
                <w:color w:val="auto"/>
              </w:rPr>
            </w:pPr>
          </w:p>
        </w:tc>
        <w:tc>
          <w:tcPr>
            <w:tcW w:w="1720" w:type="dxa"/>
            <w:vAlign w:val="bottom"/>
            <w:gridSpan w:val="4"/>
          </w:tcPr>
          <w:p>
            <w:pPr>
              <w:jc w:val="right"/>
              <w:ind w:right="187"/>
              <w:spacing w:after="0"/>
              <w:rPr>
                <w:sz w:val="20"/>
                <w:szCs w:val="20"/>
                <w:color w:val="auto"/>
              </w:rPr>
            </w:pPr>
            <w:r>
              <w:rPr>
                <w:rFonts w:ascii="Arial" w:cs="Arial" w:eastAsia="Arial" w:hAnsi="Arial"/>
                <w:sz w:val="16"/>
                <w:szCs w:val="16"/>
                <w:b w:val="1"/>
                <w:bCs w:val="1"/>
                <w:color w:val="auto"/>
                <w:w w:val="96"/>
              </w:rPr>
              <w:t>Nine months ended</w:t>
            </w:r>
          </w:p>
        </w:tc>
      </w:tr>
      <w:tr>
        <w:trPr>
          <w:trHeight w:val="210"/>
        </w:trPr>
        <w:tc>
          <w:tcPr>
            <w:tcW w:w="4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60" w:type="dxa"/>
            <w:vAlign w:val="bottom"/>
            <w:gridSpan w:val="5"/>
          </w:tcPr>
          <w:p>
            <w:pPr>
              <w:jc w:val="center"/>
              <w:ind w:right="260"/>
              <w:spacing w:after="0"/>
              <w:rPr>
                <w:sz w:val="20"/>
                <w:szCs w:val="20"/>
                <w:color w:val="auto"/>
              </w:rPr>
            </w:pPr>
            <w:r>
              <w:rPr>
                <w:rFonts w:ascii="Arial" w:cs="Arial" w:eastAsia="Arial" w:hAnsi="Arial"/>
                <w:sz w:val="16"/>
                <w:szCs w:val="16"/>
                <w:b w:val="1"/>
                <w:bCs w:val="1"/>
                <w:color w:val="auto"/>
                <w:w w:val="91"/>
              </w:rPr>
              <w:t>September 30,</w:t>
            </w:r>
          </w:p>
        </w:tc>
        <w:tc>
          <w:tcPr>
            <w:tcW w:w="180" w:type="dxa"/>
            <w:vAlign w:val="bottom"/>
          </w:tcPr>
          <w:p>
            <w:pPr>
              <w:spacing w:after="0"/>
              <w:rPr>
                <w:sz w:val="18"/>
                <w:szCs w:val="18"/>
                <w:color w:val="auto"/>
              </w:rPr>
            </w:pPr>
          </w:p>
        </w:tc>
        <w:tc>
          <w:tcPr>
            <w:tcW w:w="1720" w:type="dxa"/>
            <w:vAlign w:val="bottom"/>
            <w:gridSpan w:val="4"/>
          </w:tcPr>
          <w:p>
            <w:pPr>
              <w:jc w:val="right"/>
              <w:ind w:right="367"/>
              <w:spacing w:after="0"/>
              <w:rPr>
                <w:sz w:val="20"/>
                <w:szCs w:val="20"/>
                <w:color w:val="auto"/>
              </w:rPr>
            </w:pPr>
            <w:r>
              <w:rPr>
                <w:rFonts w:ascii="Arial" w:cs="Arial" w:eastAsia="Arial" w:hAnsi="Arial"/>
                <w:sz w:val="16"/>
                <w:szCs w:val="16"/>
                <w:b w:val="1"/>
                <w:bCs w:val="1"/>
                <w:color w:val="auto"/>
              </w:rPr>
              <w:t>September 30,</w:t>
            </w:r>
          </w:p>
        </w:tc>
      </w:tr>
      <w:tr>
        <w:trPr>
          <w:trHeight w:val="33"/>
        </w:trPr>
        <w:tc>
          <w:tcPr>
            <w:tcW w:w="49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r>
      <w:tr>
        <w:trPr>
          <w:trHeight w:val="231"/>
        </w:trPr>
        <w:tc>
          <w:tcPr>
            <w:tcW w:w="49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jc w:val="right"/>
              <w:ind w:right="246"/>
              <w:spacing w:after="0"/>
              <w:rPr>
                <w:sz w:val="20"/>
                <w:szCs w:val="20"/>
                <w:color w:val="auto"/>
              </w:rPr>
            </w:pPr>
            <w:r>
              <w:rPr>
                <w:rFonts w:ascii="Arial" w:cs="Arial" w:eastAsia="Arial" w:hAnsi="Arial"/>
                <w:sz w:val="16"/>
                <w:szCs w:val="16"/>
                <w:b w:val="1"/>
                <w:bCs w:val="1"/>
                <w:color w:val="auto"/>
              </w:rPr>
              <w:t>2012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ind w:right="207"/>
              <w:spacing w:after="0"/>
              <w:rPr>
                <w:sz w:val="20"/>
                <w:szCs w:val="20"/>
                <w:color w:val="auto"/>
              </w:rPr>
            </w:pPr>
            <w:r>
              <w:rPr>
                <w:rFonts w:ascii="Arial" w:cs="Arial" w:eastAsia="Arial" w:hAnsi="Arial"/>
                <w:sz w:val="16"/>
                <w:szCs w:val="16"/>
                <w:b w:val="1"/>
                <w:bCs w:val="1"/>
                <w:color w:val="auto"/>
              </w:rPr>
              <w:t>2011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jc w:val="right"/>
              <w:ind w:right="186"/>
              <w:spacing w:after="0"/>
              <w:rPr>
                <w:sz w:val="20"/>
                <w:szCs w:val="20"/>
                <w:color w:val="auto"/>
              </w:rPr>
            </w:pPr>
            <w:r>
              <w:rPr>
                <w:rFonts w:ascii="Arial" w:cs="Arial" w:eastAsia="Arial" w:hAnsi="Arial"/>
                <w:sz w:val="16"/>
                <w:szCs w:val="16"/>
                <w:b w:val="1"/>
                <w:bCs w:val="1"/>
                <w:color w:val="auto"/>
              </w:rPr>
              <w:t>2012</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jc w:val="right"/>
              <w:ind w:right="247"/>
              <w:spacing w:after="0"/>
              <w:rPr>
                <w:sz w:val="20"/>
                <w:szCs w:val="20"/>
                <w:color w:val="auto"/>
              </w:rPr>
            </w:pPr>
            <w:r>
              <w:rPr>
                <w:rFonts w:ascii="Arial" w:cs="Arial" w:eastAsia="Arial" w:hAnsi="Arial"/>
                <w:sz w:val="16"/>
                <w:szCs w:val="16"/>
                <w:b w:val="1"/>
                <w:bCs w:val="1"/>
                <w:color w:val="auto"/>
              </w:rPr>
              <w:t>2011</w:t>
            </w:r>
          </w:p>
        </w:tc>
      </w:tr>
      <w:tr>
        <w:trPr>
          <w:trHeight w:val="33"/>
        </w:trPr>
        <w:tc>
          <w:tcPr>
            <w:tcW w:w="49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r>
      <w:tr>
        <w:trPr>
          <w:trHeight w:val="250"/>
        </w:trPr>
        <w:tc>
          <w:tcPr>
            <w:tcW w:w="4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381</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232</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1,173</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561</w:t>
            </w:r>
          </w:p>
        </w:tc>
      </w:tr>
      <w:tr>
        <w:trPr>
          <w:trHeight w:val="264"/>
        </w:trPr>
        <w:tc>
          <w:tcPr>
            <w:tcW w:w="498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Other periodic interest costs of interest rate swaps, net</w:t>
            </w:r>
          </w:p>
        </w:tc>
        <w:tc>
          <w:tcPr>
            <w:tcW w:w="1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175</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r>
      <w:tr>
        <w:trPr>
          <w:trHeight w:val="256"/>
        </w:trPr>
        <w:tc>
          <w:tcPr>
            <w:tcW w:w="4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net interest income</w:t>
            </w:r>
          </w:p>
        </w:tc>
        <w:tc>
          <w:tcPr>
            <w:tcW w:w="180" w:type="dxa"/>
            <w:vAlign w:val="bottom"/>
            <w:shd w:val="clear" w:color="auto" w:fill="CCEEFF"/>
          </w:tcPr>
          <w:p>
            <w:pPr>
              <w:spacing w:after="0"/>
              <w:rPr>
                <w:sz w:val="22"/>
                <w:szCs w:val="22"/>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307</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998</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559</w:t>
            </w:r>
          </w:p>
        </w:tc>
      </w:tr>
      <w:tr>
        <w:trPr>
          <w:trHeight w:val="264"/>
        </w:trPr>
        <w:tc>
          <w:tcPr>
            <w:tcW w:w="498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Operating expenses</w:t>
            </w:r>
          </w:p>
        </w:tc>
        <w:tc>
          <w:tcPr>
            <w:tcW w:w="1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w:t>
            </w:r>
          </w:p>
        </w:tc>
      </w:tr>
      <w:tr>
        <w:trPr>
          <w:trHeight w:val="256"/>
        </w:trPr>
        <w:tc>
          <w:tcPr>
            <w:tcW w:w="4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income</w:t>
            </w:r>
          </w:p>
        </w:tc>
        <w:tc>
          <w:tcPr>
            <w:tcW w:w="180" w:type="dxa"/>
            <w:vAlign w:val="bottom"/>
            <w:shd w:val="clear" w:color="auto" w:fill="CCEEFF"/>
          </w:tcPr>
          <w:p>
            <w:pPr>
              <w:spacing w:after="0"/>
              <w:rPr>
                <w:sz w:val="22"/>
                <w:szCs w:val="22"/>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267</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894</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510</w:t>
            </w:r>
          </w:p>
        </w:tc>
      </w:tr>
      <w:tr>
        <w:trPr>
          <w:trHeight w:val="264"/>
        </w:trPr>
        <w:tc>
          <w:tcPr>
            <w:tcW w:w="4980" w:type="dxa"/>
            <w:vAlign w:val="bottom"/>
          </w:tcPr>
          <w:p>
            <w:pPr>
              <w:ind w:left="160"/>
              <w:spacing w:after="0"/>
              <w:rPr>
                <w:sz w:val="20"/>
                <w:szCs w:val="20"/>
                <w:color w:val="auto"/>
              </w:rPr>
            </w:pPr>
            <w:r>
              <w:rPr>
                <w:rFonts w:ascii="Arial" w:cs="Arial" w:eastAsia="Arial" w:hAnsi="Arial"/>
                <w:sz w:val="14"/>
                <w:szCs w:val="14"/>
                <w:color w:val="auto"/>
              </w:rPr>
              <w:t>Dividend on preferred stock</w:t>
            </w:r>
          </w:p>
        </w:tc>
        <w:tc>
          <w:tcPr>
            <w:tcW w:w="18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243"/>
        </w:trPr>
        <w:tc>
          <w:tcPr>
            <w:tcW w:w="49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income available to common shareholders</w:t>
            </w: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888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510</w:t>
            </w:r>
          </w:p>
        </w:tc>
      </w:tr>
      <w:tr>
        <w:trPr>
          <w:trHeight w:val="20"/>
        </w:trPr>
        <w:tc>
          <w:tcPr>
            <w:tcW w:w="49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50"/>
        </w:trPr>
        <w:tc>
          <w:tcPr>
            <w:tcW w:w="49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 and diluted</w:t>
            </w:r>
          </w:p>
        </w:tc>
        <w:tc>
          <w:tcPr>
            <w:tcW w:w="1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332.8</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180.7</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291.6</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134.2</w:t>
            </w:r>
          </w:p>
        </w:tc>
      </w:tr>
      <w:tr>
        <w:trPr>
          <w:trHeight w:val="210"/>
        </w:trPr>
        <w:tc>
          <w:tcPr>
            <w:tcW w:w="4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income per common share - basic and diluted</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0.79</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3.05</w:t>
            </w: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3.80</w:t>
            </w:r>
          </w:p>
        </w:tc>
      </w:tr>
      <w:tr>
        <w:trPr>
          <w:trHeight w:val="20"/>
        </w:trPr>
        <w:tc>
          <w:tcPr>
            <w:tcW w:w="49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period-over-period decline in net spread income is primarily a function of margin compression due to lower asset yields and higher cost of funds.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 of Agency Securities, Net</w:t>
      </w:r>
    </w:p>
    <w:p>
      <w:pPr>
        <w:spacing w:after="0" w:line="18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is a summary of our net gain on sale of agency MBS for the current and prior year periods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78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 September 30,</w:t>
            </w:r>
          </w:p>
        </w:tc>
        <w:tc>
          <w:tcPr>
            <w:tcW w:w="220" w:type="dxa"/>
            <w:vAlign w:val="bottom"/>
          </w:tcPr>
          <w:p>
            <w:pPr>
              <w:spacing w:after="0"/>
              <w:rPr>
                <w:sz w:val="16"/>
                <w:szCs w:val="16"/>
                <w:color w:val="auto"/>
              </w:rPr>
            </w:pPr>
          </w:p>
        </w:tc>
        <w:tc>
          <w:tcPr>
            <w:tcW w:w="258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w w:val="97"/>
              </w:rPr>
              <w:t>Nine Months Ended September 30,</w:t>
            </w: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2011</w:t>
            </w:r>
          </w:p>
        </w:tc>
        <w:tc>
          <w:tcPr>
            <w:tcW w:w="12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Agency MBS sold, at cost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(10,172)</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(14,046)</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(45,258)</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(26,429)</w:t>
            </w: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 xml:space="preserve">Proceeds from agency MBS sold </w:t>
            </w:r>
            <w:r>
              <w:rPr>
                <w:rFonts w:ascii="Arial" w:cs="Arial" w:eastAsia="Arial" w:hAnsi="Arial"/>
                <w:sz w:val="8"/>
                <w:szCs w:val="8"/>
                <w:color w:val="auto"/>
              </w:rPr>
              <w:t>(1)</w:t>
            </w:r>
          </w:p>
        </w:tc>
        <w:tc>
          <w:tcPr>
            <w:tcW w:w="2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10,382</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14,309</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46,101</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26,790</w:t>
            </w:r>
          </w:p>
        </w:tc>
        <w:tc>
          <w:tcPr>
            <w:tcW w:w="0" w:type="dxa"/>
            <w:vAlign w:val="bottom"/>
          </w:tcPr>
          <w:p>
            <w:pPr>
              <w:spacing w:after="0"/>
              <w:rPr>
                <w:sz w:val="1"/>
                <w:szCs w:val="1"/>
                <w:color w:val="auto"/>
              </w:rPr>
            </w:pP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gains on sale of agency MBS</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361</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56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Gross gains on sale of agency MBS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210</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268</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855</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377</w:t>
            </w:r>
          </w:p>
        </w:tc>
        <w:tc>
          <w:tcPr>
            <w:tcW w:w="0" w:type="dxa"/>
            <w:vAlign w:val="bottom"/>
          </w:tcPr>
          <w:p>
            <w:pPr>
              <w:spacing w:after="0"/>
              <w:rPr>
                <w:sz w:val="1"/>
                <w:szCs w:val="1"/>
                <w:color w:val="auto"/>
              </w:rPr>
            </w:pP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color w:val="auto"/>
              </w:rPr>
              <w:t>Gross losses on sale of agency MBS</w:t>
            </w:r>
          </w:p>
        </w:tc>
        <w:tc>
          <w:tcPr>
            <w:tcW w:w="2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243"/>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gains on sale of agency MBS</w:t>
            </w:r>
          </w:p>
        </w:tc>
        <w:tc>
          <w:tcPr>
            <w:tcW w:w="2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1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361</w:t>
            </w:r>
          </w:p>
        </w:tc>
        <w:tc>
          <w:tcPr>
            <w:tcW w:w="0" w:type="dxa"/>
            <w:vAlign w:val="bottom"/>
          </w:tcPr>
          <w:p>
            <w:pPr>
              <w:spacing w:after="0"/>
              <w:rPr>
                <w:sz w:val="1"/>
                <w:szCs w:val="1"/>
                <w:color w:val="auto"/>
              </w:rPr>
            </w:pPr>
          </w:p>
        </w:tc>
      </w:tr>
      <w:tr>
        <w:trPr>
          <w:trHeight w:val="20"/>
        </w:trPr>
        <w:tc>
          <w:tcPr>
            <w:tcW w:w="5620" w:type="dxa"/>
            <w:vAlign w:val="bottom"/>
            <w:vMerge w:val="restart"/>
          </w:tcPr>
          <w:p>
            <w:pPr>
              <w:ind w:left="60"/>
              <w:spacing w:after="0"/>
              <w:rPr>
                <w:sz w:val="20"/>
                <w:szCs w:val="20"/>
                <w:color w:val="auto"/>
              </w:rPr>
            </w:pPr>
            <w:r>
              <w:rPr>
                <w:rFonts w:ascii="Arial" w:cs="Arial" w:eastAsia="Arial" w:hAnsi="Arial"/>
                <w:sz w:val="18"/>
                <w:szCs w:val="18"/>
                <w:color w:val="auto"/>
              </w:rPr>
              <w:t>_______________________</w:t>
            </w: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62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agency MBS sold during the period as of period end.</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Asset sales during the periods presented were primarily a function of repositioning our agency MBS portfolio towards securities with attributes our Manager believes provide a greater relative value and risk-adjusted returns in light of current and anticipated interest rates, federal government programs, general economic conditions and other factors.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is a summary of our gain (loss) on derivative instruments and other securities, net for the three and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2012 and 2011 (in millions):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746" w:right="239" w:bottom="1440" w:gutter="0" w:footer="0" w:header="0"/>
        </w:sectPr>
      </w:pPr>
    </w:p>
    <w:bookmarkStart w:id="37" w:name="page38"/>
    <w:bookmarkEnd w:id="37"/>
    <w:tbl>
      <w:tblPr>
        <w:tblLayout w:type="fixed"/>
        <w:tblInd w:w="0" w:type="dxa"/>
        <w:tblCellMar>
          <w:top w:w="0" w:type="dxa"/>
          <w:left w:w="0" w:type="dxa"/>
          <w:bottom w:w="0" w:type="dxa"/>
          <w:right w:w="0" w:type="dxa"/>
        </w:tblCellMar>
      </w:tblPr>
      <w:tr>
        <w:trPr>
          <w:trHeight w:val="192"/>
        </w:trPr>
        <w:tc>
          <w:tcPr>
            <w:tcW w:w="6400" w:type="dxa"/>
            <w:vAlign w:val="bottom"/>
          </w:tcPr>
          <w:p>
            <w:pPr>
              <w:spacing w:after="0"/>
              <w:rPr>
                <w:sz w:val="16"/>
                <w:szCs w:val="16"/>
                <w:color w:val="auto"/>
              </w:rPr>
            </w:pPr>
          </w:p>
        </w:tc>
        <w:tc>
          <w:tcPr>
            <w:tcW w:w="2680" w:type="dxa"/>
            <w:vAlign w:val="bottom"/>
            <w:gridSpan w:val="6"/>
          </w:tcPr>
          <w:p>
            <w:pPr>
              <w:ind w:left="180"/>
              <w:spacing w:after="0"/>
              <w:rPr>
                <w:sz w:val="20"/>
                <w:szCs w:val="20"/>
                <w:color w:val="auto"/>
              </w:rPr>
            </w:pPr>
            <w:r>
              <w:rPr>
                <w:rFonts w:ascii="Arial" w:cs="Arial" w:eastAsia="Arial" w:hAnsi="Arial"/>
                <w:sz w:val="14"/>
                <w:szCs w:val="14"/>
                <w:b w:val="1"/>
                <w:bCs w:val="1"/>
                <w:color w:val="auto"/>
              </w:rPr>
              <w:t>Three Months Ended September 30,</w:t>
            </w:r>
          </w:p>
        </w:tc>
        <w:tc>
          <w:tcPr>
            <w:tcW w:w="100" w:type="dxa"/>
            <w:vAlign w:val="bottom"/>
          </w:tcPr>
          <w:p>
            <w:pPr>
              <w:spacing w:after="0"/>
              <w:rPr>
                <w:sz w:val="16"/>
                <w:szCs w:val="16"/>
                <w:color w:val="auto"/>
              </w:rPr>
            </w:pPr>
          </w:p>
        </w:tc>
        <w:tc>
          <w:tcPr>
            <w:tcW w:w="2240" w:type="dxa"/>
            <w:vAlign w:val="bottom"/>
            <w:gridSpan w:val="4"/>
          </w:tcPr>
          <w:p>
            <w:pPr>
              <w:jc w:val="right"/>
              <w:ind w:right="8"/>
              <w:spacing w:after="0"/>
              <w:rPr>
                <w:sz w:val="20"/>
                <w:szCs w:val="20"/>
                <w:color w:val="auto"/>
              </w:rPr>
            </w:pPr>
            <w:r>
              <w:rPr>
                <w:rFonts w:ascii="Arial" w:cs="Arial" w:eastAsia="Arial" w:hAnsi="Arial"/>
                <w:sz w:val="14"/>
                <w:szCs w:val="14"/>
                <w:b w:val="1"/>
                <w:bCs w:val="1"/>
                <w:color w:val="auto"/>
                <w:w w:val="92"/>
              </w:rPr>
              <w:t>Nine Months Ended September 30,</w:t>
            </w:r>
          </w:p>
        </w:tc>
        <w:tc>
          <w:tcPr>
            <w:tcW w:w="0" w:type="dxa"/>
            <w:vAlign w:val="bottom"/>
          </w:tcPr>
          <w:p>
            <w:pPr>
              <w:spacing w:after="0"/>
              <w:rPr>
                <w:sz w:val="1"/>
                <w:szCs w:val="1"/>
                <w:color w:val="auto"/>
              </w:rPr>
            </w:pPr>
          </w:p>
        </w:tc>
      </w:tr>
      <w:tr>
        <w:trPr>
          <w:trHeight w:val="264"/>
        </w:trPr>
        <w:tc>
          <w:tcPr>
            <w:tcW w:w="6400" w:type="dxa"/>
            <w:vAlign w:val="bottom"/>
            <w:tcBorders>
              <w:bottom w:val="single" w:sz="8" w:color="CCEEFF"/>
            </w:tcBorders>
          </w:tcPr>
          <w:p>
            <w:pPr>
              <w:spacing w:after="0"/>
              <w:rPr>
                <w:sz w:val="22"/>
                <w:szCs w:val="22"/>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2012</w:t>
            </w:r>
          </w:p>
        </w:tc>
        <w:tc>
          <w:tcPr>
            <w:tcW w:w="42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980" w:type="dxa"/>
            <w:vAlign w:val="bottom"/>
            <w:tcBorders>
              <w:top w:val="single" w:sz="8" w:color="auto"/>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2011</w:t>
            </w:r>
          </w:p>
        </w:tc>
        <w:tc>
          <w:tcPr>
            <w:tcW w:w="120" w:type="dxa"/>
            <w:vAlign w:val="bottom"/>
            <w:tcBorders>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6"/>
        </w:trPr>
        <w:tc>
          <w:tcPr>
            <w:tcW w:w="640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Periodic interest costs of interest rate swaps, net </w:t>
            </w:r>
            <w:r>
              <w:rPr>
                <w:rFonts w:ascii="Arial" w:cs="Arial" w:eastAsia="Arial" w:hAnsi="Arial"/>
                <w:sz w:val="8"/>
                <w:szCs w:val="8"/>
                <w:color w:val="auto"/>
              </w:rPr>
              <w:t>(1)</w:t>
            </w:r>
          </w:p>
        </w:tc>
        <w:tc>
          <w:tcPr>
            <w:tcW w:w="760" w:type="dxa"/>
            <w:vAlign w:val="bottom"/>
            <w:tcBorders>
              <w:bottom w:val="single" w:sz="8" w:color="auto"/>
            </w:tcBorders>
            <w:shd w:val="clear" w:color="auto" w:fill="CCEEFF"/>
          </w:tcPr>
          <w:p>
            <w:pPr>
              <w:jc w:val="right"/>
              <w:ind w:right="58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(74)</w:t>
            </w:r>
          </w:p>
        </w:tc>
        <w:tc>
          <w:tcPr>
            <w:tcW w:w="120" w:type="dxa"/>
            <w:vAlign w:val="bottom"/>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(175)</w:t>
            </w:r>
          </w:p>
        </w:tc>
        <w:tc>
          <w:tcPr>
            <w:tcW w:w="100" w:type="dxa"/>
            <w:vAlign w:val="bottom"/>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58"/>
        </w:trPr>
        <w:tc>
          <w:tcPr>
            <w:tcW w:w="6400" w:type="dxa"/>
            <w:vAlign w:val="bottom"/>
          </w:tcPr>
          <w:p>
            <w:pPr>
              <w:ind w:left="40"/>
              <w:spacing w:after="0"/>
              <w:rPr>
                <w:sz w:val="20"/>
                <w:szCs w:val="20"/>
                <w:color w:val="auto"/>
              </w:rPr>
            </w:pPr>
            <w:r>
              <w:rPr>
                <w:rFonts w:ascii="Arial" w:cs="Arial" w:eastAsia="Arial" w:hAnsi="Arial"/>
                <w:sz w:val="14"/>
                <w:szCs w:val="14"/>
                <w:color w:val="auto"/>
              </w:rPr>
              <w:t>Realized gain (loss) on derivative instruments and other securities, net:</w:t>
            </w:r>
          </w:p>
        </w:tc>
        <w:tc>
          <w:tcPr>
            <w:tcW w:w="7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Purchase of TBAs and forward settling agency securities</w:t>
            </w:r>
          </w:p>
        </w:tc>
        <w:tc>
          <w:tcPr>
            <w:tcW w:w="7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67</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232</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98</w:t>
            </w:r>
          </w:p>
        </w:tc>
        <w:tc>
          <w:tcPr>
            <w:tcW w:w="0" w:type="dxa"/>
            <w:vAlign w:val="bottom"/>
          </w:tcPr>
          <w:p>
            <w:pPr>
              <w:spacing w:after="0"/>
              <w:rPr>
                <w:sz w:val="1"/>
                <w:szCs w:val="1"/>
                <w:color w:val="auto"/>
              </w:rPr>
            </w:pPr>
          </w:p>
        </w:tc>
      </w:tr>
      <w:tr>
        <w:trPr>
          <w:trHeight w:val="264"/>
        </w:trPr>
        <w:tc>
          <w:tcPr>
            <w:tcW w:w="6400" w:type="dxa"/>
            <w:vAlign w:val="bottom"/>
          </w:tcPr>
          <w:p>
            <w:pPr>
              <w:ind w:left="1120"/>
              <w:spacing w:after="0"/>
              <w:rPr>
                <w:sz w:val="20"/>
                <w:szCs w:val="20"/>
                <w:color w:val="auto"/>
              </w:rPr>
            </w:pPr>
            <w:r>
              <w:rPr>
                <w:rFonts w:ascii="Arial" w:cs="Arial" w:eastAsia="Arial" w:hAnsi="Arial"/>
                <w:sz w:val="14"/>
                <w:szCs w:val="14"/>
                <w:color w:val="auto"/>
              </w:rPr>
              <w:t>Sale of TBAs and forward settling agency securities</w:t>
            </w:r>
          </w:p>
        </w:tc>
        <w:tc>
          <w:tcPr>
            <w:tcW w:w="760" w:type="dxa"/>
            <w:vAlign w:val="bottom"/>
          </w:tcPr>
          <w:p>
            <w:pPr>
              <w:spacing w:after="0"/>
              <w:rPr>
                <w:sz w:val="22"/>
                <w:szCs w:val="22"/>
                <w:color w:val="auto"/>
              </w:rPr>
            </w:pPr>
          </w:p>
        </w:tc>
        <w:tc>
          <w:tcPr>
            <w:tcW w:w="420" w:type="dxa"/>
            <w:vAlign w:val="bottom"/>
          </w:tcPr>
          <w:p>
            <w:pPr>
              <w:jc w:val="right"/>
              <w:ind w:right="8"/>
              <w:spacing w:after="0"/>
              <w:rPr>
                <w:sz w:val="20"/>
                <w:szCs w:val="20"/>
                <w:color w:val="auto"/>
              </w:rPr>
            </w:pPr>
            <w:r>
              <w:rPr>
                <w:rFonts w:ascii="Arial" w:cs="Arial" w:eastAsia="Arial" w:hAnsi="Arial"/>
                <w:sz w:val="14"/>
                <w:szCs w:val="14"/>
                <w:color w:val="auto"/>
                <w:w w:val="97"/>
              </w:rPr>
              <w:t>(153)</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(155)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(386)</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(264)</w:t>
            </w: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Interest rate swap termination fees</w:t>
            </w:r>
          </w:p>
        </w:tc>
        <w:tc>
          <w:tcPr>
            <w:tcW w:w="7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(98)</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(149)</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6400" w:type="dxa"/>
            <w:vAlign w:val="bottom"/>
          </w:tcPr>
          <w:p>
            <w:pPr>
              <w:ind w:left="1120"/>
              <w:spacing w:after="0"/>
              <w:rPr>
                <w:sz w:val="20"/>
                <w:szCs w:val="20"/>
                <w:color w:val="auto"/>
              </w:rPr>
            </w:pPr>
            <w:r>
              <w:rPr>
                <w:rFonts w:ascii="Arial" w:cs="Arial" w:eastAsia="Arial" w:hAnsi="Arial"/>
                <w:sz w:val="14"/>
                <w:szCs w:val="14"/>
                <w:color w:val="auto"/>
              </w:rPr>
              <w:t>Interest rate payer swaptions</w:t>
            </w:r>
          </w:p>
        </w:tc>
        <w:tc>
          <w:tcPr>
            <w:tcW w:w="760" w:type="dxa"/>
            <w:vAlign w:val="bottom"/>
          </w:tcPr>
          <w:p>
            <w:pPr>
              <w:spacing w:after="0"/>
              <w:rPr>
                <w:sz w:val="22"/>
                <w:szCs w:val="22"/>
                <w:color w:val="auto"/>
              </w:rPr>
            </w:pP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(13)</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U.S. Treasury securities</w:t>
            </w:r>
          </w:p>
        </w:tc>
        <w:tc>
          <w:tcPr>
            <w:tcW w:w="760" w:type="dxa"/>
            <w:vAlign w:val="bottom"/>
            <w:shd w:val="clear" w:color="auto" w:fill="CCEEFF"/>
          </w:tcPr>
          <w:p>
            <w:pPr>
              <w:spacing w:after="0"/>
              <w:rPr>
                <w:sz w:val="24"/>
                <w:szCs w:val="24"/>
                <w:color w:val="auto"/>
              </w:rPr>
            </w:pPr>
          </w:p>
        </w:tc>
        <w:tc>
          <w:tcPr>
            <w:tcW w:w="5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264"/>
        </w:trPr>
        <w:tc>
          <w:tcPr>
            <w:tcW w:w="6400" w:type="dxa"/>
            <w:vAlign w:val="bottom"/>
          </w:tcPr>
          <w:p>
            <w:pPr>
              <w:ind w:left="1120"/>
              <w:spacing w:after="0"/>
              <w:rPr>
                <w:sz w:val="20"/>
                <w:szCs w:val="20"/>
                <w:color w:val="auto"/>
              </w:rPr>
            </w:pPr>
            <w:r>
              <w:rPr>
                <w:rFonts w:ascii="Arial" w:cs="Arial" w:eastAsia="Arial" w:hAnsi="Arial"/>
                <w:sz w:val="14"/>
                <w:szCs w:val="14"/>
                <w:color w:val="auto"/>
              </w:rPr>
              <w:t>Short sales of U.S. Treasury securities</w:t>
            </w:r>
          </w:p>
        </w:tc>
        <w:tc>
          <w:tcPr>
            <w:tcW w:w="760" w:type="dxa"/>
            <w:vAlign w:val="bottom"/>
          </w:tcPr>
          <w:p>
            <w:pPr>
              <w:spacing w:after="0"/>
              <w:rPr>
                <w:sz w:val="22"/>
                <w:szCs w:val="22"/>
                <w:color w:val="auto"/>
              </w:rPr>
            </w:pP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(73)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(115)</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(88)</w:t>
            </w: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U.S. Treasury futures</w:t>
            </w:r>
          </w:p>
        </w:tc>
        <w:tc>
          <w:tcPr>
            <w:tcW w:w="7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(39)</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6400" w:type="dxa"/>
            <w:vAlign w:val="bottom"/>
          </w:tcPr>
          <w:p>
            <w:pPr>
              <w:ind w:left="280"/>
              <w:spacing w:after="0"/>
              <w:rPr>
                <w:sz w:val="20"/>
                <w:szCs w:val="20"/>
                <w:color w:val="auto"/>
              </w:rPr>
            </w:pPr>
            <w:r>
              <w:rPr>
                <w:rFonts w:ascii="Arial" w:cs="Arial" w:eastAsia="Arial" w:hAnsi="Arial"/>
                <w:sz w:val="14"/>
                <w:szCs w:val="14"/>
                <w:color w:val="auto"/>
              </w:rPr>
              <w:t>Other</w:t>
            </w:r>
          </w:p>
        </w:tc>
        <w:tc>
          <w:tcPr>
            <w:tcW w:w="760" w:type="dxa"/>
            <w:vAlign w:val="bottom"/>
          </w:tcPr>
          <w:p>
            <w:pPr>
              <w:spacing w:after="0"/>
              <w:rPr>
                <w:sz w:val="22"/>
                <w:szCs w:val="22"/>
                <w:color w:val="auto"/>
              </w:rPr>
            </w:pPr>
          </w:p>
        </w:tc>
        <w:tc>
          <w:tcPr>
            <w:tcW w:w="5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56"/>
        </w:trPr>
        <w:tc>
          <w:tcPr>
            <w:tcW w:w="64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realized gain (loss) on derivative instruments and other securities, net</w:t>
            </w:r>
          </w:p>
        </w:tc>
        <w:tc>
          <w:tcPr>
            <w:tcW w:w="760" w:type="dxa"/>
            <w:vAlign w:val="bottom"/>
            <w:tcBorders>
              <w:top w:val="single" w:sz="8" w:color="auto"/>
              <w:bottom w:val="single" w:sz="8" w:color="auto"/>
            </w:tcBorders>
            <w:shd w:val="clear" w:color="auto" w:fill="CCEEFF"/>
          </w:tcPr>
          <w:p>
            <w:pPr>
              <w:spacing w:after="0"/>
              <w:rPr>
                <w:sz w:val="22"/>
                <w:szCs w:val="22"/>
                <w:color w:val="auto"/>
              </w:rPr>
            </w:pPr>
          </w:p>
        </w:tc>
        <w:tc>
          <w:tcPr>
            <w:tcW w:w="4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97"/>
              </w:rPr>
              <w:t>(254)</w:t>
            </w:r>
          </w:p>
        </w:tc>
        <w:tc>
          <w:tcPr>
            <w:tcW w:w="120" w:type="dxa"/>
            <w:vAlign w:val="bottom"/>
            <w:tcBorders>
              <w:top w:val="single" w:sz="8" w:color="CCEEFF"/>
            </w:tcBorders>
            <w:shd w:val="clear" w:color="auto" w:fill="CCEEFF"/>
          </w:tcPr>
          <w:p>
            <w:pPr>
              <w:spacing w:after="0"/>
              <w:rPr>
                <w:sz w:val="22"/>
                <w:szCs w:val="22"/>
                <w:color w:val="auto"/>
              </w:rPr>
            </w:pPr>
          </w:p>
        </w:tc>
        <w:tc>
          <w:tcPr>
            <w:tcW w:w="280" w:type="dxa"/>
            <w:vAlign w:val="bottom"/>
            <w:tcBorders>
              <w:top w:val="single" w:sz="8" w:color="auto"/>
              <w:bottom w:val="single" w:sz="8" w:color="auto"/>
            </w:tcBorders>
            <w:shd w:val="clear" w:color="auto" w:fill="CCEEFF"/>
          </w:tcPr>
          <w:p>
            <w:pPr>
              <w:spacing w:after="0"/>
              <w:rPr>
                <w:sz w:val="22"/>
                <w:szCs w:val="22"/>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(173)</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spacing w:after="0"/>
              <w:rPr>
                <w:sz w:val="22"/>
                <w:szCs w:val="22"/>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(560)</w:t>
            </w:r>
          </w:p>
        </w:tc>
        <w:tc>
          <w:tcPr>
            <w:tcW w:w="100" w:type="dxa"/>
            <w:vAlign w:val="bottom"/>
            <w:tcBorders>
              <w:top w:val="single" w:sz="8" w:color="CCEEFF"/>
            </w:tcBorders>
            <w:shd w:val="clear" w:color="auto" w:fill="CCEEFF"/>
          </w:tcPr>
          <w:p>
            <w:pPr>
              <w:spacing w:after="0"/>
              <w:rPr>
                <w:sz w:val="22"/>
                <w:szCs w:val="22"/>
                <w:color w:val="auto"/>
              </w:rPr>
            </w:pPr>
          </w:p>
        </w:tc>
        <w:tc>
          <w:tcPr>
            <w:tcW w:w="260" w:type="dxa"/>
            <w:vAlign w:val="bottom"/>
            <w:tcBorders>
              <w:top w:val="single" w:sz="8" w:color="auto"/>
              <w:bottom w:val="single" w:sz="8" w:color="auto"/>
            </w:tcBorders>
            <w:shd w:val="clear" w:color="auto" w:fill="CCEEFF"/>
          </w:tcPr>
          <w:p>
            <w:pPr>
              <w:spacing w:after="0"/>
              <w:rPr>
                <w:sz w:val="22"/>
                <w:szCs w:val="22"/>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(222)</w:t>
            </w:r>
          </w:p>
        </w:tc>
        <w:tc>
          <w:tcPr>
            <w:tcW w:w="0" w:type="dxa"/>
            <w:vAlign w:val="bottom"/>
          </w:tcPr>
          <w:p>
            <w:pPr>
              <w:spacing w:after="0"/>
              <w:rPr>
                <w:sz w:val="1"/>
                <w:szCs w:val="1"/>
                <w:color w:val="auto"/>
              </w:rPr>
            </w:pPr>
          </w:p>
        </w:tc>
      </w:tr>
      <w:tr>
        <w:trPr>
          <w:trHeight w:val="258"/>
        </w:trPr>
        <w:tc>
          <w:tcPr>
            <w:tcW w:w="6400" w:type="dxa"/>
            <w:vAlign w:val="bottom"/>
          </w:tcPr>
          <w:p>
            <w:pPr>
              <w:ind w:left="40"/>
              <w:spacing w:after="0"/>
              <w:rPr>
                <w:sz w:val="20"/>
                <w:szCs w:val="20"/>
                <w:color w:val="auto"/>
              </w:rPr>
            </w:pPr>
            <w:r>
              <w:rPr>
                <w:rFonts w:ascii="Arial" w:cs="Arial" w:eastAsia="Arial" w:hAnsi="Arial"/>
                <w:sz w:val="14"/>
                <w:szCs w:val="14"/>
                <w:color w:val="auto"/>
              </w:rPr>
              <w:t xml:space="preserve">Unrealized gain (loss) on derivative instruments and other securities, net: </w:t>
            </w:r>
            <w:r>
              <w:rPr>
                <w:rFonts w:ascii="Arial" w:cs="Arial" w:eastAsia="Arial" w:hAnsi="Arial"/>
                <w:sz w:val="8"/>
                <w:szCs w:val="8"/>
                <w:color w:val="auto"/>
              </w:rPr>
              <w:t>(2)</w:t>
            </w:r>
          </w:p>
        </w:tc>
        <w:tc>
          <w:tcPr>
            <w:tcW w:w="7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Purchase of TBAs and forward settling agency securities</w:t>
            </w:r>
          </w:p>
        </w:tc>
        <w:tc>
          <w:tcPr>
            <w:tcW w:w="7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155</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111</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264"/>
        </w:trPr>
        <w:tc>
          <w:tcPr>
            <w:tcW w:w="6400" w:type="dxa"/>
            <w:vAlign w:val="bottom"/>
          </w:tcPr>
          <w:p>
            <w:pPr>
              <w:ind w:left="1120"/>
              <w:spacing w:after="0"/>
              <w:rPr>
                <w:sz w:val="20"/>
                <w:szCs w:val="20"/>
                <w:color w:val="auto"/>
              </w:rPr>
            </w:pPr>
            <w:r>
              <w:rPr>
                <w:rFonts w:ascii="Arial" w:cs="Arial" w:eastAsia="Arial" w:hAnsi="Arial"/>
                <w:sz w:val="14"/>
                <w:szCs w:val="14"/>
                <w:color w:val="auto"/>
              </w:rPr>
              <w:t>Sale of TBAs and forward settling agency securities</w:t>
            </w:r>
          </w:p>
        </w:tc>
        <w:tc>
          <w:tcPr>
            <w:tcW w:w="760" w:type="dxa"/>
            <w:vAlign w:val="bottom"/>
          </w:tcPr>
          <w:p>
            <w:pPr>
              <w:spacing w:after="0"/>
              <w:rPr>
                <w:sz w:val="22"/>
                <w:szCs w:val="22"/>
                <w:color w:val="auto"/>
              </w:rPr>
            </w:pP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(20)</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(16)</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ind w:left="720"/>
              <w:spacing w:after="0"/>
              <w:rPr>
                <w:sz w:val="20"/>
                <w:szCs w:val="20"/>
                <w:color w:val="auto"/>
              </w:rPr>
            </w:pPr>
            <w:r>
              <w:rPr>
                <w:rFonts w:ascii="Arial" w:cs="Arial" w:eastAsia="Arial" w:hAnsi="Arial"/>
                <w:sz w:val="14"/>
                <w:szCs w:val="14"/>
                <w:color w:val="auto"/>
              </w:rPr>
              <w:t>Interest-only and principal-only strips</w:t>
            </w:r>
          </w:p>
        </w:tc>
        <w:tc>
          <w:tcPr>
            <w:tcW w:w="7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264"/>
        </w:trPr>
        <w:tc>
          <w:tcPr>
            <w:tcW w:w="6400" w:type="dxa"/>
            <w:vAlign w:val="bottom"/>
          </w:tcPr>
          <w:p>
            <w:pPr>
              <w:ind w:left="720"/>
              <w:spacing w:after="0"/>
              <w:rPr>
                <w:sz w:val="20"/>
                <w:szCs w:val="20"/>
                <w:color w:val="auto"/>
              </w:rPr>
            </w:pPr>
            <w:r>
              <w:rPr>
                <w:rFonts w:ascii="Arial" w:cs="Arial" w:eastAsia="Arial" w:hAnsi="Arial"/>
                <w:sz w:val="14"/>
                <w:szCs w:val="14"/>
                <w:color w:val="auto"/>
              </w:rPr>
              <w:t xml:space="preserve">Interest rate swaps not designated as hedges </w:t>
            </w:r>
            <w:r>
              <w:rPr>
                <w:rFonts w:ascii="Arial" w:cs="Arial" w:eastAsia="Arial" w:hAnsi="Arial"/>
                <w:sz w:val="8"/>
                <w:szCs w:val="8"/>
                <w:color w:val="auto"/>
              </w:rPr>
              <w:t>(3)</w:t>
            </w:r>
          </w:p>
        </w:tc>
        <w:tc>
          <w:tcPr>
            <w:tcW w:w="760" w:type="dxa"/>
            <w:vAlign w:val="bottom"/>
          </w:tcPr>
          <w:p>
            <w:pPr>
              <w:spacing w:after="0"/>
              <w:rPr>
                <w:sz w:val="22"/>
                <w:szCs w:val="22"/>
                <w:color w:val="auto"/>
              </w:rPr>
            </w:pPr>
          </w:p>
        </w:tc>
        <w:tc>
          <w:tcPr>
            <w:tcW w:w="420" w:type="dxa"/>
            <w:vAlign w:val="bottom"/>
          </w:tcPr>
          <w:p>
            <w:pPr>
              <w:jc w:val="right"/>
              <w:ind w:right="8"/>
              <w:spacing w:after="0"/>
              <w:rPr>
                <w:sz w:val="20"/>
                <w:szCs w:val="20"/>
                <w:color w:val="auto"/>
              </w:rPr>
            </w:pPr>
            <w:r>
              <w:rPr>
                <w:rFonts w:ascii="Arial" w:cs="Arial" w:eastAsia="Arial" w:hAnsi="Arial"/>
                <w:sz w:val="14"/>
                <w:szCs w:val="14"/>
                <w:color w:val="auto"/>
                <w:w w:val="97"/>
              </w:rPr>
              <w:t>(266)</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(743)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Interest rate payer swaptions</w:t>
            </w:r>
          </w:p>
        </w:tc>
        <w:tc>
          <w:tcPr>
            <w:tcW w:w="7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0" w:type="dxa"/>
            <w:vAlign w:val="bottom"/>
          </w:tcPr>
          <w:p>
            <w:pPr>
              <w:spacing w:after="0"/>
              <w:rPr>
                <w:sz w:val="1"/>
                <w:szCs w:val="1"/>
                <w:color w:val="auto"/>
              </w:rPr>
            </w:pPr>
          </w:p>
        </w:tc>
      </w:tr>
      <w:tr>
        <w:trPr>
          <w:trHeight w:val="264"/>
        </w:trPr>
        <w:tc>
          <w:tcPr>
            <w:tcW w:w="6400" w:type="dxa"/>
            <w:vAlign w:val="bottom"/>
          </w:tcPr>
          <w:p>
            <w:pPr>
              <w:ind w:left="720"/>
              <w:spacing w:after="0"/>
              <w:rPr>
                <w:sz w:val="20"/>
                <w:szCs w:val="20"/>
                <w:color w:val="auto"/>
              </w:rPr>
            </w:pPr>
            <w:r>
              <w:rPr>
                <w:rFonts w:ascii="Arial" w:cs="Arial" w:eastAsia="Arial" w:hAnsi="Arial"/>
                <w:sz w:val="14"/>
                <w:szCs w:val="14"/>
                <w:color w:val="auto"/>
              </w:rPr>
              <w:t>U.S. Treasury securities</w:t>
            </w:r>
          </w:p>
        </w:tc>
        <w:tc>
          <w:tcPr>
            <w:tcW w:w="760" w:type="dxa"/>
            <w:vAlign w:val="bottom"/>
          </w:tcPr>
          <w:p>
            <w:pPr>
              <w:spacing w:after="0"/>
              <w:rPr>
                <w:sz w:val="22"/>
                <w:szCs w:val="22"/>
                <w:color w:val="auto"/>
              </w:rPr>
            </w:pPr>
          </w:p>
        </w:tc>
        <w:tc>
          <w:tcPr>
            <w:tcW w:w="5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Short sales of U.S. Treasury securities</w:t>
            </w:r>
          </w:p>
        </w:tc>
        <w:tc>
          <w:tcPr>
            <w:tcW w:w="7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64"/>
        </w:trPr>
        <w:tc>
          <w:tcPr>
            <w:tcW w:w="6400" w:type="dxa"/>
            <w:vAlign w:val="bottom"/>
          </w:tcPr>
          <w:p>
            <w:pPr>
              <w:ind w:left="1120"/>
              <w:spacing w:after="0"/>
              <w:rPr>
                <w:sz w:val="20"/>
                <w:szCs w:val="20"/>
                <w:color w:val="auto"/>
              </w:rPr>
            </w:pPr>
            <w:r>
              <w:rPr>
                <w:rFonts w:ascii="Arial" w:cs="Arial" w:eastAsia="Arial" w:hAnsi="Arial"/>
                <w:sz w:val="14"/>
                <w:szCs w:val="14"/>
                <w:color w:val="auto"/>
              </w:rPr>
              <w:t>U.S. Treasury futures</w:t>
            </w:r>
          </w:p>
        </w:tc>
        <w:tc>
          <w:tcPr>
            <w:tcW w:w="760" w:type="dxa"/>
            <w:vAlign w:val="bottom"/>
          </w:tcPr>
          <w:p>
            <w:pPr>
              <w:spacing w:after="0"/>
              <w:rPr>
                <w:sz w:val="22"/>
                <w:szCs w:val="22"/>
                <w:color w:val="auto"/>
              </w:rPr>
            </w:pPr>
          </w:p>
        </w:tc>
        <w:tc>
          <w:tcPr>
            <w:tcW w:w="420" w:type="dxa"/>
            <w:vAlign w:val="bottom"/>
          </w:tcPr>
          <w:p>
            <w:pPr>
              <w:jc w:val="right"/>
              <w:ind w:right="68"/>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76"/>
        </w:trPr>
        <w:tc>
          <w:tcPr>
            <w:tcW w:w="6400" w:type="dxa"/>
            <w:vAlign w:val="bottom"/>
            <w:shd w:val="clear" w:color="auto" w:fill="CCEEFF"/>
          </w:tcPr>
          <w:p>
            <w:pPr>
              <w:spacing w:after="0"/>
              <w:rPr>
                <w:sz w:val="20"/>
                <w:szCs w:val="20"/>
                <w:color w:val="auto"/>
              </w:rPr>
            </w:pPr>
            <w:r>
              <w:rPr>
                <w:rFonts w:ascii="Arial" w:cs="Arial" w:eastAsia="Arial" w:hAnsi="Arial"/>
                <w:sz w:val="14"/>
                <w:szCs w:val="14"/>
                <w:color w:val="auto"/>
              </w:rPr>
              <w:t>Unrealized loss on debt of consolidated VIEs</w:t>
            </w:r>
          </w:p>
        </w:tc>
        <w:tc>
          <w:tcPr>
            <w:tcW w:w="7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(24)</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6400" w:type="dxa"/>
            <w:vAlign w:val="bottom"/>
          </w:tcPr>
          <w:p>
            <w:pPr>
              <w:spacing w:after="0"/>
              <w:rPr>
                <w:sz w:val="20"/>
                <w:szCs w:val="20"/>
                <w:color w:val="auto"/>
              </w:rPr>
            </w:pPr>
            <w:r>
              <w:rPr>
                <w:rFonts w:ascii="Arial" w:cs="Arial" w:eastAsia="Arial" w:hAnsi="Arial"/>
                <w:sz w:val="14"/>
                <w:szCs w:val="14"/>
                <w:color w:val="auto"/>
              </w:rPr>
              <w:t>Other</w:t>
            </w:r>
          </w:p>
        </w:tc>
        <w:tc>
          <w:tcPr>
            <w:tcW w:w="760" w:type="dxa"/>
            <w:vAlign w:val="bottom"/>
          </w:tcPr>
          <w:p>
            <w:pPr>
              <w:spacing w:after="0"/>
              <w:rPr>
                <w:sz w:val="22"/>
                <w:szCs w:val="22"/>
                <w:color w:val="auto"/>
              </w:rPr>
            </w:pPr>
          </w:p>
        </w:tc>
        <w:tc>
          <w:tcPr>
            <w:tcW w:w="5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50"/>
        </w:trPr>
        <w:tc>
          <w:tcPr>
            <w:tcW w:w="64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unrealized loss on derivative instruments and other securities, net</w:t>
            </w:r>
          </w:p>
        </w:tc>
        <w:tc>
          <w:tcPr>
            <w:tcW w:w="760" w:type="dxa"/>
            <w:vAlign w:val="bottom"/>
            <w:tcBorders>
              <w:top w:val="single" w:sz="8" w:color="auto"/>
              <w:bottom w:val="single" w:sz="8" w:color="auto"/>
            </w:tcBorders>
            <w:shd w:val="clear" w:color="auto" w:fill="CCEEFF"/>
          </w:tcPr>
          <w:p>
            <w:pPr>
              <w:spacing w:after="0"/>
              <w:rPr>
                <w:sz w:val="21"/>
                <w:szCs w:val="21"/>
                <w:color w:val="auto"/>
              </w:rPr>
            </w:pPr>
          </w:p>
        </w:tc>
        <w:tc>
          <w:tcPr>
            <w:tcW w:w="4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97"/>
              </w:rPr>
              <w:t>(132)</w:t>
            </w:r>
          </w:p>
        </w:tc>
        <w:tc>
          <w:tcPr>
            <w:tcW w:w="12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spacing w:after="0"/>
              <w:rPr>
                <w:sz w:val="21"/>
                <w:szCs w:val="21"/>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(707)</w:t>
            </w:r>
          </w:p>
        </w:tc>
        <w:tc>
          <w:tcPr>
            <w:tcW w:w="10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w:t>
            </w:r>
          </w:p>
        </w:tc>
        <w:tc>
          <w:tcPr>
            <w:tcW w:w="0" w:type="dxa"/>
            <w:vAlign w:val="bottom"/>
          </w:tcPr>
          <w:p>
            <w:pPr>
              <w:spacing w:after="0"/>
              <w:rPr>
                <w:sz w:val="1"/>
                <w:szCs w:val="1"/>
                <w:color w:val="auto"/>
              </w:rPr>
            </w:pPr>
          </w:p>
        </w:tc>
      </w:tr>
      <w:tr>
        <w:trPr>
          <w:trHeight w:val="243"/>
        </w:trPr>
        <w:tc>
          <w:tcPr>
            <w:tcW w:w="6400" w:type="dxa"/>
            <w:vAlign w:val="bottom"/>
          </w:tcPr>
          <w:p>
            <w:pPr>
              <w:ind w:left="40"/>
              <w:spacing w:after="0"/>
              <w:rPr>
                <w:sz w:val="20"/>
                <w:szCs w:val="20"/>
                <w:color w:val="auto"/>
              </w:rPr>
            </w:pPr>
            <w:r>
              <w:rPr>
                <w:rFonts w:ascii="Arial" w:cs="Arial" w:eastAsia="Arial" w:hAnsi="Arial"/>
                <w:sz w:val="14"/>
                <w:szCs w:val="14"/>
                <w:color w:val="auto"/>
              </w:rPr>
              <w:t>Total loss on derivative instruments and other securities, net</w:t>
            </w:r>
          </w:p>
        </w:tc>
        <w:tc>
          <w:tcPr>
            <w:tcW w:w="760" w:type="dxa"/>
            <w:vAlign w:val="bottom"/>
            <w:tcBorders>
              <w:bottom w:val="single" w:sz="8" w:color="auto"/>
            </w:tcBorders>
          </w:tcPr>
          <w:p>
            <w:pPr>
              <w:jc w:val="right"/>
              <w:ind w:right="58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97"/>
              </w:rPr>
              <w:t>(460)</w:t>
            </w:r>
          </w:p>
        </w:tc>
        <w:tc>
          <w:tcPr>
            <w:tcW w:w="120" w:type="dxa"/>
            <w:vAlign w:val="bottom"/>
          </w:tcPr>
          <w:p>
            <w:pPr>
              <w:spacing w:after="0"/>
              <w:rPr>
                <w:sz w:val="21"/>
                <w:szCs w:val="21"/>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(222)</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(1,442)</w:t>
            </w:r>
          </w:p>
        </w:tc>
        <w:tc>
          <w:tcPr>
            <w:tcW w:w="100" w:type="dxa"/>
            <w:vAlign w:val="bottom"/>
          </w:tcPr>
          <w:p>
            <w:pPr>
              <w:spacing w:after="0"/>
              <w:rPr>
                <w:sz w:val="21"/>
                <w:szCs w:val="21"/>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(310)</w:t>
            </w:r>
          </w:p>
        </w:tc>
        <w:tc>
          <w:tcPr>
            <w:tcW w:w="0" w:type="dxa"/>
            <w:vAlign w:val="bottom"/>
          </w:tcPr>
          <w:p>
            <w:pPr>
              <w:spacing w:after="0"/>
              <w:rPr>
                <w:sz w:val="1"/>
                <w:szCs w:val="1"/>
                <w:color w:val="auto"/>
              </w:rPr>
            </w:pPr>
          </w:p>
        </w:tc>
      </w:tr>
      <w:tr>
        <w:trPr>
          <w:trHeight w:val="20"/>
        </w:trPr>
        <w:tc>
          <w:tcPr>
            <w:tcW w:w="6400" w:type="dxa"/>
            <w:vAlign w:val="bottom"/>
            <w:vMerge w:val="restart"/>
          </w:tcPr>
          <w:p>
            <w:pPr>
              <w:spacing w:after="0"/>
              <w:rPr>
                <w:sz w:val="20"/>
                <w:szCs w:val="20"/>
                <w:color w:val="auto"/>
              </w:rPr>
            </w:pPr>
            <w:r>
              <w:rPr>
                <w:rFonts w:ascii="Arial" w:cs="Arial" w:eastAsia="Arial" w:hAnsi="Arial"/>
                <w:sz w:val="18"/>
                <w:szCs w:val="18"/>
                <w:color w:val="auto"/>
              </w:rPr>
              <w:t>_______________________</w:t>
            </w: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400" w:type="dxa"/>
            <w:vAlign w:val="bottom"/>
            <w:vMerge w:val="continue"/>
          </w:tcPr>
          <w:p>
            <w:pPr>
              <w:spacing w:after="0"/>
              <w:rPr>
                <w:sz w:val="16"/>
                <w:szCs w:val="16"/>
                <w:color w:val="auto"/>
              </w:rPr>
            </w:pPr>
          </w:p>
        </w:tc>
        <w:tc>
          <w:tcPr>
            <w:tcW w:w="7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 xml:space="preserve">Please refer to </w:t>
      </w:r>
      <w:r>
        <w:rPr>
          <w:rFonts w:ascii="Arial" w:cs="Arial" w:eastAsia="Arial" w:hAnsi="Arial"/>
          <w:sz w:val="14"/>
          <w:szCs w:val="14"/>
          <w:i w:val="1"/>
          <w:iCs w:val="1"/>
          <w:color w:val="auto"/>
        </w:rPr>
        <w:t>Interest Expense and Cost of Funds</w:t>
      </w:r>
      <w:r>
        <w:rPr>
          <w:rFonts w:ascii="Arial" w:cs="Arial" w:eastAsia="Arial" w:hAnsi="Arial"/>
          <w:sz w:val="14"/>
          <w:szCs w:val="14"/>
          <w:color w:val="auto"/>
        </w:rPr>
        <w:t xml:space="preserve"> discussion above for additional information regarding other periodic interest costs of interest rate swaps, net.</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6"/>
        </w:numPr>
        <w:rPr>
          <w:rFonts w:ascii="Arial" w:cs="Arial" w:eastAsia="Arial" w:hAnsi="Arial"/>
          <w:sz w:val="13"/>
          <w:szCs w:val="13"/>
          <w:color w:val="auto"/>
        </w:rPr>
      </w:pPr>
      <w:r>
        <w:rPr>
          <w:rFonts w:ascii="Arial" w:cs="Arial" w:eastAsia="Arial" w:hAnsi="Arial"/>
          <w:sz w:val="13"/>
          <w:szCs w:val="13"/>
          <w:color w:val="auto"/>
        </w:rPr>
        <w:t>Unrealized gain (loss) from derivative instruments and other securities, net includes reversals of prior period amounts for settled or expired derivative instruments and other securities.</w:t>
      </w:r>
    </w:p>
    <w:p>
      <w:pPr>
        <w:spacing w:after="0" w:line="12" w:lineRule="exact"/>
        <w:rPr>
          <w:rFonts w:ascii="Arial" w:cs="Arial" w:eastAsia="Arial" w:hAnsi="Arial"/>
          <w:sz w:val="13"/>
          <w:szCs w:val="13"/>
          <w:color w:val="auto"/>
        </w:rPr>
      </w:pPr>
    </w:p>
    <w:p>
      <w:pPr>
        <w:ind w:left="980" w:hanging="648"/>
        <w:spacing w:after="0" w:line="255"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Amount excludes $51 million and $155 million of net unrealized gains on interest rate swaps recorded in other comprehensive income for the three and nine months ended September 30, 2012.</w:t>
      </w:r>
    </w:p>
    <w:p>
      <w:pPr>
        <w:spacing w:after="0" w:line="136"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We use derivative instruments and other securities in addition to interest rate swaps to supplement our interest rate risk management strategies. Our increased use of derivative instruments and other securities during the three and nine months ended September 30, 2012 is correlated to the overall increase in our investment portfolio and continued interest rate volatility. For further details regarding our use of derivative instruments and related activity, refer to Notes 3 and 6 of our consolidated financial statements in this Quarterly Report on Form 10-Q.</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185"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We pay our Manager a base management fee payable monthly in arrears in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We incurred management fees of $32 million and $16 million during the three months ended September 30, 2012 and 2011, respectively, and $82 million and $36 million during the nine months ended September 30, 2012 and 2011, respectively. General and administrative expenses were $8 million and $6 million during the three months ended September 30, 2012 and 2011, respectively, and $22 million and $13 million during the nine months ended September 30, 2012 and 2011, respectively. Our general and administrative expenses primarily consisted of prime broker fees, information technology costs, the allocation of overhead expenses from our Manager, accounting fees, legal fees, Board of Director fees and insurance expenses. Our total expenses as a percentage of our average stockholders' equity on an annualized basis declined year-over-year to 1.50% from 1.75% for the current and prior year three month period, respectively, and to 1.56% from 1.79% for the current and prior year nine month period, respectively, due to improved operating leverage.</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 and Income Taxes</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For the three months ended September 30, 2012 and 2011, we had estimated taxable income of $453 million and $335</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968" w:right="239" w:bottom="1440" w:gutter="0" w:footer="0" w:header="0"/>
        </w:sectPr>
      </w:pPr>
    </w:p>
    <w:bookmarkStart w:id="38" w:name="page39"/>
    <w:bookmarkEnd w:id="38"/>
    <w:p>
      <w:pPr>
        <w:jc w:val="both"/>
        <w:spacing w:after="0" w:line="277" w:lineRule="auto"/>
        <w:rPr>
          <w:sz w:val="20"/>
          <w:szCs w:val="20"/>
          <w:color w:val="auto"/>
        </w:rPr>
      </w:pPr>
      <w:r>
        <w:rPr>
          <w:rFonts w:ascii="Arial" w:cs="Arial" w:eastAsia="Arial" w:hAnsi="Arial"/>
          <w:sz w:val="18"/>
          <w:szCs w:val="18"/>
          <w:color w:val="auto"/>
        </w:rPr>
        <w:t>million (or $1.36 and $1.86 per common share), respectively, and for the nine months ended September 30, 2012 and 2011, we had estimated taxable income of $1.4 billion and $690 million (or $4.91 and $5.14 per common share), respectively.</w:t>
      </w:r>
    </w:p>
    <w:p>
      <w:pPr>
        <w:spacing w:after="0" w:line="116"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As a REIT, we are required to distribute annually 90% of our taxable income to maintain our status as a REIT and all of our taxable income to avoid Federal and state corporate income taxes. We can treat dividends declared by September 15 and paid by December 31 as having been a distribution of our taxable income for our prior tax year ("spill-back provision"). Income as determined under GAAP differs from income as determined under tax rules because of both temporary and permanent differences in income and expense recognition. The primary differences are (i) unrealized gains and losses associated with interest rate swaps and other derivatives and securities marked-to-market in current income for GAAP purposes, but excluded from taxable income until realized or settled, (ii) temporary differences related to the amortization of premiums paid on investments, (iii) timing differences in the recognition of certain realized gains and losses and (iv) permanent differences for excise tax expense. Furthermore, our estimated taxable income is subject to potential adjustments up to the time of filing our appropriate tax returns, which occurs after the end of our fiscal year. The following is a reconciliation of our GAAP net income to our estimated taxable income for the three and nine months ended September 30, 2012 and 2011 (dollars in millions).</w:t>
      </w:r>
    </w:p>
    <w:p>
      <w:pPr>
        <w:spacing w:after="0" w:line="254" w:lineRule="exact"/>
        <w:rPr>
          <w:sz w:val="20"/>
          <w:szCs w:val="20"/>
          <w:color w:val="auto"/>
        </w:rPr>
      </w:pPr>
    </w:p>
    <w:tbl>
      <w:tblPr>
        <w:tblLayout w:type="fixed"/>
        <w:tblInd w:w="1500" w:type="dxa"/>
        <w:tblCellMar>
          <w:top w:w="0" w:type="dxa"/>
          <w:left w:w="0" w:type="dxa"/>
          <w:bottom w:w="0" w:type="dxa"/>
          <w:right w:w="0" w:type="dxa"/>
        </w:tblCellMar>
      </w:tblPr>
      <w:tr>
        <w:trPr>
          <w:trHeight w:val="161"/>
        </w:trPr>
        <w:tc>
          <w:tcPr>
            <w:tcW w:w="4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2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180" w:type="dxa"/>
            <w:vAlign w:val="bottom"/>
          </w:tcPr>
          <w:p>
            <w:pPr>
              <w:spacing w:after="0"/>
              <w:rPr>
                <w:sz w:val="14"/>
                <w:szCs w:val="14"/>
                <w:color w:val="auto"/>
              </w:rPr>
            </w:pPr>
          </w:p>
        </w:tc>
        <w:tc>
          <w:tcPr>
            <w:tcW w:w="170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44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2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1"/>
              </w:rPr>
              <w:t>September 30,</w:t>
            </w:r>
          </w:p>
        </w:tc>
        <w:tc>
          <w:tcPr>
            <w:tcW w:w="180" w:type="dxa"/>
            <w:vAlign w:val="bottom"/>
          </w:tcPr>
          <w:p>
            <w:pPr>
              <w:spacing w:after="0"/>
              <w:rPr>
                <w:sz w:val="16"/>
                <w:szCs w:val="16"/>
                <w:color w:val="auto"/>
              </w:rPr>
            </w:pPr>
          </w:p>
        </w:tc>
        <w:tc>
          <w:tcPr>
            <w:tcW w:w="1700" w:type="dxa"/>
            <w:vAlign w:val="bottom"/>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64"/>
        </w:trPr>
        <w:tc>
          <w:tcPr>
            <w:tcW w:w="4400" w:type="dxa"/>
            <w:vAlign w:val="bottom"/>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top w:val="single" w:sz="8" w:color="auto"/>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2011</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top w:val="single" w:sz="8" w:color="auto"/>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0"/>
        </w:trPr>
        <w:tc>
          <w:tcPr>
            <w:tcW w:w="440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86</w:t>
            </w:r>
          </w:p>
        </w:tc>
        <w:tc>
          <w:tcPr>
            <w:tcW w:w="120" w:type="dxa"/>
            <w:vAlign w:val="bottom"/>
          </w:tcPr>
          <w:p>
            <w:pPr>
              <w:spacing w:after="0"/>
              <w:rPr>
                <w:sz w:val="21"/>
                <w:szCs w:val="21"/>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250</w:t>
            </w:r>
          </w:p>
        </w:tc>
        <w:tc>
          <w:tcPr>
            <w:tcW w:w="120" w:type="dxa"/>
            <w:vAlign w:val="bottom"/>
          </w:tcPr>
          <w:p>
            <w:pPr>
              <w:spacing w:after="0"/>
              <w:rPr>
                <w:sz w:val="21"/>
                <w:szCs w:val="21"/>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466</w:t>
            </w:r>
          </w:p>
        </w:tc>
        <w:tc>
          <w:tcPr>
            <w:tcW w:w="12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562</w:t>
            </w:r>
          </w:p>
        </w:tc>
        <w:tc>
          <w:tcPr>
            <w:tcW w:w="0" w:type="dxa"/>
            <w:vAlign w:val="bottom"/>
          </w:tcPr>
          <w:p>
            <w:pPr>
              <w:spacing w:after="0"/>
              <w:rPr>
                <w:sz w:val="1"/>
                <w:szCs w:val="1"/>
                <w:color w:val="auto"/>
              </w:rPr>
            </w:pPr>
          </w:p>
        </w:tc>
      </w:tr>
      <w:tr>
        <w:trPr>
          <w:trHeight w:val="276"/>
        </w:trPr>
        <w:tc>
          <w:tcPr>
            <w:tcW w:w="4400" w:type="dxa"/>
            <w:vAlign w:val="bottom"/>
            <w:shd w:val="clear" w:color="auto" w:fill="CCEEFF"/>
          </w:tcPr>
          <w:p>
            <w:pPr>
              <w:ind w:left="40"/>
              <w:spacing w:after="0"/>
              <w:rPr>
                <w:sz w:val="20"/>
                <w:szCs w:val="20"/>
                <w:color w:val="auto"/>
              </w:rPr>
            </w:pPr>
            <w:r>
              <w:rPr>
                <w:rFonts w:ascii="Arial" w:cs="Arial" w:eastAsia="Arial" w:hAnsi="Arial"/>
                <w:sz w:val="14"/>
                <w:szCs w:val="14"/>
                <w:color w:val="auto"/>
              </w:rPr>
              <w:t>Book to tax differences:</w:t>
            </w: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400" w:type="dxa"/>
            <w:vAlign w:val="bottom"/>
          </w:tcPr>
          <w:p>
            <w:pPr>
              <w:ind w:left="160"/>
              <w:spacing w:after="0"/>
              <w:rPr>
                <w:sz w:val="20"/>
                <w:szCs w:val="20"/>
                <w:color w:val="auto"/>
              </w:rPr>
            </w:pPr>
            <w:r>
              <w:rPr>
                <w:rFonts w:ascii="Arial" w:cs="Arial" w:eastAsia="Arial" w:hAnsi="Arial"/>
                <w:sz w:val="14"/>
                <w:szCs w:val="14"/>
                <w:color w:val="auto"/>
              </w:rPr>
              <w:t>Premium amortization, net</w:t>
            </w: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55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34</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276"/>
        </w:trPr>
        <w:tc>
          <w:tcPr>
            <w:tcW w:w="44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Realized loss, net</w:t>
            </w: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64"/>
        </w:trPr>
        <w:tc>
          <w:tcPr>
            <w:tcW w:w="4400" w:type="dxa"/>
            <w:vAlign w:val="bottom"/>
          </w:tcPr>
          <w:p>
            <w:pPr>
              <w:ind w:left="160"/>
              <w:spacing w:after="0"/>
              <w:rPr>
                <w:sz w:val="20"/>
                <w:szCs w:val="20"/>
                <w:color w:val="auto"/>
              </w:rPr>
            </w:pPr>
            <w:r>
              <w:rPr>
                <w:rFonts w:ascii="Arial" w:cs="Arial" w:eastAsia="Arial" w:hAnsi="Arial"/>
                <w:sz w:val="14"/>
                <w:szCs w:val="14"/>
                <w:color w:val="auto"/>
              </w:rPr>
              <w:t>Unrealized loss, net</w:t>
            </w: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128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695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86</w:t>
            </w:r>
          </w:p>
        </w:tc>
        <w:tc>
          <w:tcPr>
            <w:tcW w:w="0" w:type="dxa"/>
            <w:vAlign w:val="bottom"/>
          </w:tcPr>
          <w:p>
            <w:pPr>
              <w:spacing w:after="0"/>
              <w:rPr>
                <w:sz w:val="1"/>
                <w:szCs w:val="1"/>
                <w:color w:val="auto"/>
              </w:rPr>
            </w:pPr>
          </w:p>
        </w:tc>
      </w:tr>
      <w:tr>
        <w:trPr>
          <w:trHeight w:val="270"/>
        </w:trPr>
        <w:tc>
          <w:tcPr>
            <w:tcW w:w="44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22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50"/>
        </w:trPr>
        <w:tc>
          <w:tcPr>
            <w:tcW w:w="440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book to tax differences</w:t>
            </w:r>
          </w:p>
        </w:tc>
        <w:tc>
          <w:tcPr>
            <w:tcW w:w="2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370</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85</w:t>
            </w:r>
          </w:p>
        </w:tc>
        <w:tc>
          <w:tcPr>
            <w:tcW w:w="1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971</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128</w:t>
            </w:r>
          </w:p>
        </w:tc>
        <w:tc>
          <w:tcPr>
            <w:tcW w:w="0" w:type="dxa"/>
            <w:vAlign w:val="bottom"/>
          </w:tcPr>
          <w:p>
            <w:pPr>
              <w:spacing w:after="0"/>
              <w:rPr>
                <w:sz w:val="1"/>
                <w:szCs w:val="1"/>
                <w:color w:val="auto"/>
              </w:rPr>
            </w:pPr>
          </w:p>
        </w:tc>
      </w:tr>
      <w:tr>
        <w:trPr>
          <w:trHeight w:val="256"/>
        </w:trPr>
        <w:tc>
          <w:tcPr>
            <w:tcW w:w="4400" w:type="dxa"/>
            <w:vAlign w:val="bottom"/>
            <w:shd w:val="clear" w:color="auto" w:fill="CCEEFF"/>
          </w:tcPr>
          <w:p>
            <w:pPr>
              <w:ind w:left="40"/>
              <w:spacing w:after="0"/>
              <w:rPr>
                <w:sz w:val="20"/>
                <w:szCs w:val="20"/>
                <w:color w:val="auto"/>
              </w:rPr>
            </w:pPr>
            <w:r>
              <w:rPr>
                <w:rFonts w:ascii="Arial" w:cs="Arial" w:eastAsia="Arial" w:hAnsi="Arial"/>
                <w:sz w:val="14"/>
                <w:szCs w:val="14"/>
                <w:color w:val="auto"/>
              </w:rPr>
              <w:t>Estimated REIT taxable income</w:t>
            </w:r>
          </w:p>
        </w:tc>
        <w:tc>
          <w:tcPr>
            <w:tcW w:w="220" w:type="dxa"/>
            <w:vAlign w:val="bottom"/>
            <w:shd w:val="clear" w:color="auto" w:fill="CCEEFF"/>
          </w:tcPr>
          <w:p>
            <w:pPr>
              <w:spacing w:after="0"/>
              <w:rPr>
                <w:sz w:val="22"/>
                <w:szCs w:val="22"/>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456</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1,437</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690</w:t>
            </w:r>
          </w:p>
        </w:tc>
        <w:tc>
          <w:tcPr>
            <w:tcW w:w="0" w:type="dxa"/>
            <w:vAlign w:val="bottom"/>
          </w:tcPr>
          <w:p>
            <w:pPr>
              <w:spacing w:after="0"/>
              <w:rPr>
                <w:sz w:val="1"/>
                <w:szCs w:val="1"/>
                <w:color w:val="auto"/>
              </w:rPr>
            </w:pPr>
          </w:p>
        </w:tc>
      </w:tr>
      <w:tr>
        <w:trPr>
          <w:trHeight w:val="264"/>
        </w:trPr>
        <w:tc>
          <w:tcPr>
            <w:tcW w:w="4400" w:type="dxa"/>
            <w:vAlign w:val="bottom"/>
          </w:tcPr>
          <w:p>
            <w:pPr>
              <w:ind w:left="160"/>
              <w:spacing w:after="0"/>
              <w:rPr>
                <w:sz w:val="20"/>
                <w:szCs w:val="20"/>
                <w:color w:val="auto"/>
              </w:rPr>
            </w:pPr>
            <w:r>
              <w:rPr>
                <w:rFonts w:ascii="Arial" w:cs="Arial" w:eastAsia="Arial" w:hAnsi="Arial"/>
                <w:sz w:val="14"/>
                <w:szCs w:val="14"/>
                <w:color w:val="auto"/>
              </w:rPr>
              <w:t>Dividend on preferred stock</w:t>
            </w: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4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Estimated REIT taxable income available to common shareholders</w:t>
            </w:r>
          </w:p>
        </w:tc>
        <w:tc>
          <w:tcPr>
            <w:tcW w:w="2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1,431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690</w:t>
            </w:r>
          </w:p>
        </w:tc>
        <w:tc>
          <w:tcPr>
            <w:tcW w:w="0" w:type="dxa"/>
            <w:vAlign w:val="bottom"/>
          </w:tcPr>
          <w:p>
            <w:pPr>
              <w:spacing w:after="0"/>
              <w:rPr>
                <w:sz w:val="1"/>
                <w:szCs w:val="1"/>
                <w:color w:val="auto"/>
              </w:rPr>
            </w:pPr>
          </w:p>
        </w:tc>
      </w:tr>
      <w:tr>
        <w:trPr>
          <w:trHeight w:val="20"/>
        </w:trPr>
        <w:tc>
          <w:tcPr>
            <w:tcW w:w="4400" w:type="dxa"/>
            <w:vAlign w:val="bottom"/>
            <w:vMerge w:val="restart"/>
          </w:tcPr>
          <w:p>
            <w:pPr>
              <w:ind w:left="40"/>
              <w:spacing w:after="0" w:line="151" w:lineRule="exact"/>
              <w:rPr>
                <w:sz w:val="20"/>
                <w:szCs w:val="20"/>
                <w:color w:val="auto"/>
              </w:rPr>
            </w:pPr>
            <w:r>
              <w:rPr>
                <w:rFonts w:ascii="Arial" w:cs="Arial" w:eastAsia="Arial" w:hAnsi="Arial"/>
                <w:sz w:val="14"/>
                <w:szCs w:val="14"/>
                <w:color w:val="auto"/>
              </w:rPr>
              <w:t>Weighted average number of common shares outstanding - basic and</w:t>
            </w: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440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vMerge w:val="restart"/>
          </w:tcPr>
          <w:p>
            <w:pPr>
              <w:jc w:val="right"/>
              <w:spacing w:after="0"/>
              <w:rPr>
                <w:sz w:val="20"/>
                <w:szCs w:val="20"/>
                <w:color w:val="auto"/>
              </w:rPr>
            </w:pPr>
            <w:r>
              <w:rPr>
                <w:rFonts w:ascii="Arial" w:cs="Arial" w:eastAsia="Arial" w:hAnsi="Arial"/>
                <w:sz w:val="14"/>
                <w:szCs w:val="14"/>
                <w:color w:val="auto"/>
              </w:rPr>
              <w:t>332.8</w:t>
            </w: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vMerge w:val="restart"/>
          </w:tcPr>
          <w:p>
            <w:pPr>
              <w:jc w:val="right"/>
              <w:spacing w:after="0"/>
              <w:rPr>
                <w:sz w:val="20"/>
                <w:szCs w:val="20"/>
                <w:color w:val="auto"/>
              </w:rPr>
            </w:pPr>
            <w:r>
              <w:rPr>
                <w:rFonts w:ascii="Arial" w:cs="Arial" w:eastAsia="Arial" w:hAnsi="Arial"/>
                <w:sz w:val="14"/>
                <w:szCs w:val="14"/>
                <w:color w:val="auto"/>
              </w:rPr>
              <w:t>180.7</w:t>
            </w: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color w:val="auto"/>
              </w:rPr>
              <w:t>291.6</w:t>
            </w: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vMerge w:val="restart"/>
          </w:tcPr>
          <w:p>
            <w:pPr>
              <w:jc w:val="right"/>
              <w:spacing w:after="0"/>
              <w:rPr>
                <w:sz w:val="20"/>
                <w:szCs w:val="20"/>
                <w:color w:val="auto"/>
              </w:rPr>
            </w:pPr>
            <w:r>
              <w:rPr>
                <w:rFonts w:ascii="Arial" w:cs="Arial" w:eastAsia="Arial" w:hAnsi="Arial"/>
                <w:sz w:val="14"/>
                <w:szCs w:val="14"/>
                <w:color w:val="auto"/>
              </w:rPr>
              <w:t>134.2</w:t>
            </w:r>
          </w:p>
        </w:tc>
        <w:tc>
          <w:tcPr>
            <w:tcW w:w="0" w:type="dxa"/>
            <w:vAlign w:val="bottom"/>
          </w:tcPr>
          <w:p>
            <w:pPr>
              <w:spacing w:after="0"/>
              <w:rPr>
                <w:sz w:val="1"/>
                <w:szCs w:val="1"/>
                <w:color w:val="auto"/>
              </w:rPr>
            </w:pPr>
          </w:p>
        </w:tc>
      </w:tr>
      <w:tr>
        <w:trPr>
          <w:trHeight w:val="221"/>
        </w:trPr>
        <w:tc>
          <w:tcPr>
            <w:tcW w:w="44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diluted</w:t>
            </w:r>
          </w:p>
        </w:tc>
        <w:tc>
          <w:tcPr>
            <w:tcW w:w="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4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w w:val="99"/>
              </w:rPr>
              <w:t>Estimated REIT taxable income per common share - basic and diluted</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1.36</w:t>
            </w: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1.86</w:t>
            </w:r>
          </w:p>
        </w:tc>
        <w:tc>
          <w:tcPr>
            <w:tcW w:w="1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4.91</w:t>
            </w:r>
          </w:p>
        </w:tc>
        <w:tc>
          <w:tcPr>
            <w:tcW w:w="1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5.14</w:t>
            </w:r>
          </w:p>
        </w:tc>
        <w:tc>
          <w:tcPr>
            <w:tcW w:w="0" w:type="dxa"/>
            <w:vAlign w:val="bottom"/>
          </w:tcPr>
          <w:p>
            <w:pPr>
              <w:spacing w:after="0"/>
              <w:rPr>
                <w:sz w:val="1"/>
                <w:szCs w:val="1"/>
                <w:color w:val="auto"/>
              </w:rPr>
            </w:pPr>
          </w:p>
        </w:tc>
      </w:tr>
      <w:tr>
        <w:trPr>
          <w:trHeight w:val="20"/>
        </w:trPr>
        <w:tc>
          <w:tcPr>
            <w:tcW w:w="44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For the three months ended September 30, 2012 and 2011, we declared common dividends of $1.25 and $1.40 per common share, respectively, and for the nine months ended September 30, 2012 and 2011, we declared common dividends of $3.75 and $4.20 per common share, respectively. In addition, for the three and nine months ended September 30, 2012, we declared dividends on our Series A Preferred Stock of $0.500 and $1.056 per preferred share, respectively. We had no preferred stock outstanding prior to April 2012.</w:t>
      </w:r>
    </w:p>
    <w:p>
      <w:pPr>
        <w:spacing w:after="0" w:line="133"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As of September 30, 2012, we have distributed all of our taxable income for the 2011 tax year and we have an estimated $518 million of undistributed taxable income related to our 2012 tax year, net of our September 30, 2012 common and preferred dividends payable of $430 million. We expect to distribute our remaining fiscal year 2012 taxable income during fiscal year 2012 and 2013, subject to the spill-back provision, so that we will not be subject to Federal or state corporate income tax. However, as a REIT, we are still subject to a nondeductible Federal excise tax of 4% to the extent that the sum of (i) 85% of our ordinary taxable income, (ii) 95% of our capital gains and (iii) any undistributed taxable income from the prior year exceeds our dividends declared in such year and paid by January 31 of the subsequent year. For the three and nine months ended September 30, 2012, we accrued a Federal excise tax of $9 million and $13 million, respectively, included in our income tax provision, net on the accompanying consolidated statements of comprehensive income, because we expect that our calendar year distributions for 2012 will be less than the total of these amounts. For the three and nine months ended September 30, 2011, we accrued a Federal excise tax of $1 million.</w:t>
      </w:r>
    </w:p>
    <w:p>
      <w:pPr>
        <w:spacing w:after="0" w:line="12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Further, our taxable REIT subsidiary ("TRS") is subject to corporate Federal and state income taxes. For the three and nine months ended September 30, 2012, we recognized an income tax benefit of $4 million and $9 million, respectively, attributable to our TRS, which is included in our income tax provision, net on the accompanying consolidated statements of comprehensive income. For the three and nine months ended September 30, 2011, we did not accrue an income tax provision or benefit attributable to our TRS.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Comprehensive Income</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the components of our other comprehensive income for the three and nine months ended September 30, 2012 and 2011 (in millions):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746" w:right="239" w:bottom="1440" w:gutter="0" w:footer="0" w:header="0"/>
        </w:sectPr>
      </w:pPr>
    </w:p>
    <w:bookmarkStart w:id="39" w:name="page40"/>
    <w:bookmarkEnd w:id="39"/>
    <w:tbl>
      <w:tblPr>
        <w:tblLayout w:type="fixed"/>
        <w:tblInd w:w="0" w:type="dxa"/>
        <w:tblCellMar>
          <w:top w:w="0" w:type="dxa"/>
          <w:left w:w="0" w:type="dxa"/>
          <w:bottom w:w="0" w:type="dxa"/>
          <w:right w:w="0" w:type="dxa"/>
        </w:tblCellMar>
      </w:tblPr>
      <w:tr>
        <w:trPr>
          <w:trHeight w:val="203"/>
        </w:trPr>
        <w:tc>
          <w:tcPr>
            <w:tcW w:w="6860" w:type="dxa"/>
            <w:vAlign w:val="bottom"/>
          </w:tcPr>
          <w:p>
            <w:pPr>
              <w:spacing w:after="0"/>
              <w:rPr>
                <w:sz w:val="17"/>
                <w:szCs w:val="17"/>
                <w:color w:val="auto"/>
              </w:rPr>
            </w:pPr>
          </w:p>
        </w:tc>
        <w:tc>
          <w:tcPr>
            <w:tcW w:w="2420" w:type="dxa"/>
            <w:vAlign w:val="bottom"/>
            <w:gridSpan w:val="6"/>
          </w:tcPr>
          <w:p>
            <w:pPr>
              <w:ind w:left="40"/>
              <w:spacing w:after="0"/>
              <w:rPr>
                <w:sz w:val="20"/>
                <w:szCs w:val="20"/>
                <w:color w:val="auto"/>
              </w:rPr>
            </w:pPr>
            <w:r>
              <w:rPr>
                <w:rFonts w:ascii="Arial" w:cs="Arial" w:eastAsia="Arial" w:hAnsi="Arial"/>
                <w:sz w:val="16"/>
                <w:szCs w:val="16"/>
                <w:b w:val="1"/>
                <w:bCs w:val="1"/>
                <w:color w:val="auto"/>
                <w:w w:val="96"/>
              </w:rPr>
              <w:t>Three Months Ended September</w:t>
            </w:r>
          </w:p>
        </w:tc>
        <w:tc>
          <w:tcPr>
            <w:tcW w:w="240" w:type="dxa"/>
            <w:vAlign w:val="bottom"/>
          </w:tcPr>
          <w:p>
            <w:pPr>
              <w:spacing w:after="0"/>
              <w:rPr>
                <w:sz w:val="17"/>
                <w:szCs w:val="17"/>
                <w:color w:val="auto"/>
              </w:rPr>
            </w:pPr>
          </w:p>
        </w:tc>
        <w:tc>
          <w:tcPr>
            <w:tcW w:w="1900" w:type="dxa"/>
            <w:vAlign w:val="bottom"/>
            <w:gridSpan w:val="4"/>
          </w:tcPr>
          <w:p>
            <w:pPr>
              <w:jc w:val="right"/>
              <w:ind w:right="279"/>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6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6"/>
                <w:szCs w:val="16"/>
                <w:b w:val="1"/>
                <w:bCs w:val="1"/>
                <w:color w:val="auto"/>
                <w:w w:val="89"/>
              </w:rPr>
              <w:t>30,</w:t>
            </w: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gridSpan w:val="4"/>
          </w:tcPr>
          <w:p>
            <w:pPr>
              <w:jc w:val="right"/>
              <w:ind w:right="479"/>
              <w:spacing w:after="0"/>
              <w:rPr>
                <w:sz w:val="20"/>
                <w:szCs w:val="20"/>
                <w:color w:val="auto"/>
              </w:rPr>
            </w:pPr>
            <w:r>
              <w:rPr>
                <w:rFonts w:ascii="Arial" w:cs="Arial" w:eastAsia="Arial" w:hAnsi="Arial"/>
                <w:sz w:val="16"/>
                <w:szCs w:val="16"/>
                <w:b w:val="1"/>
                <w:bCs w:val="1"/>
                <w:color w:val="auto"/>
              </w:rPr>
              <w:t>September 30,</w:t>
            </w:r>
          </w:p>
        </w:tc>
      </w:tr>
      <w:tr>
        <w:trPr>
          <w:trHeight w:val="33"/>
        </w:trPr>
        <w:tc>
          <w:tcPr>
            <w:tcW w:w="68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31"/>
        </w:trPr>
        <w:tc>
          <w:tcPr>
            <w:tcW w:w="68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279"/>
              <w:spacing w:after="0"/>
              <w:rPr>
                <w:sz w:val="20"/>
                <w:szCs w:val="20"/>
                <w:color w:val="auto"/>
              </w:rPr>
            </w:pPr>
            <w:r>
              <w:rPr>
                <w:rFonts w:ascii="Arial" w:cs="Arial" w:eastAsia="Arial" w:hAnsi="Arial"/>
                <w:sz w:val="16"/>
                <w:szCs w:val="16"/>
                <w:b w:val="1"/>
                <w:bCs w:val="1"/>
                <w:color w:val="auto"/>
              </w:rPr>
              <w:t>2012</w:t>
            </w: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79"/>
              <w:spacing w:after="0"/>
              <w:rPr>
                <w:sz w:val="20"/>
                <w:szCs w:val="20"/>
                <w:color w:val="auto"/>
              </w:rPr>
            </w:pPr>
            <w:r>
              <w:rPr>
                <w:rFonts w:ascii="Arial" w:cs="Arial" w:eastAsia="Arial" w:hAnsi="Arial"/>
                <w:sz w:val="16"/>
                <w:szCs w:val="16"/>
                <w:b w:val="1"/>
                <w:bCs w:val="1"/>
                <w:color w:val="auto"/>
              </w:rPr>
              <w:t>2011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ind w:right="259"/>
              <w:spacing w:after="0"/>
              <w:rPr>
                <w:sz w:val="20"/>
                <w:szCs w:val="20"/>
                <w:color w:val="auto"/>
              </w:rPr>
            </w:pPr>
            <w:r>
              <w:rPr>
                <w:rFonts w:ascii="Arial" w:cs="Arial" w:eastAsia="Arial" w:hAnsi="Arial"/>
                <w:sz w:val="16"/>
                <w:szCs w:val="16"/>
                <w:b w:val="1"/>
                <w:bCs w:val="1"/>
                <w:color w:val="auto"/>
              </w:rPr>
              <w:t>2012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ind w:right="259"/>
              <w:spacing w:after="0"/>
              <w:rPr>
                <w:sz w:val="20"/>
                <w:szCs w:val="20"/>
                <w:color w:val="auto"/>
              </w:rPr>
            </w:pPr>
            <w:r>
              <w:rPr>
                <w:rFonts w:ascii="Arial" w:cs="Arial" w:eastAsia="Arial" w:hAnsi="Arial"/>
                <w:sz w:val="16"/>
                <w:szCs w:val="16"/>
                <w:b w:val="1"/>
                <w:bCs w:val="1"/>
                <w:color w:val="auto"/>
              </w:rPr>
              <w:t>2011</w:t>
            </w:r>
          </w:p>
        </w:tc>
      </w:tr>
      <w:tr>
        <w:trPr>
          <w:trHeight w:val="33"/>
        </w:trPr>
        <w:tc>
          <w:tcPr>
            <w:tcW w:w="68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44"/>
        </w:trPr>
        <w:tc>
          <w:tcPr>
            <w:tcW w:w="6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Unrealized gain on AFS securities, net:</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r>
      <w:tr>
        <w:trPr>
          <w:trHeight w:val="237"/>
        </w:trPr>
        <w:tc>
          <w:tcPr>
            <w:tcW w:w="6860" w:type="dxa"/>
            <w:vAlign w:val="bottom"/>
          </w:tcPr>
          <w:p>
            <w:pPr>
              <w:ind w:left="120"/>
              <w:spacing w:after="0"/>
              <w:rPr>
                <w:sz w:val="20"/>
                <w:szCs w:val="20"/>
                <w:color w:val="auto"/>
              </w:rPr>
            </w:pPr>
            <w:r>
              <w:rPr>
                <w:rFonts w:ascii="Arial" w:cs="Arial" w:eastAsia="Arial" w:hAnsi="Arial"/>
                <w:sz w:val="16"/>
                <w:szCs w:val="16"/>
                <w:color w:val="auto"/>
              </w:rPr>
              <w:t>Unrealized gain, net</w:t>
            </w:r>
          </w:p>
        </w:tc>
        <w:tc>
          <w:tcPr>
            <w:tcW w:w="240" w:type="dxa"/>
            <w:vAlign w:val="bottom"/>
          </w:tcPr>
          <w:p>
            <w:pPr>
              <w:ind w:left="40"/>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1,400</w:t>
            </w:r>
          </w:p>
        </w:tc>
        <w:tc>
          <w:tcPr>
            <w:tcW w:w="46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802</w:t>
            </w:r>
          </w:p>
        </w:tc>
        <w:tc>
          <w:tcPr>
            <w:tcW w:w="100" w:type="dxa"/>
            <w:vAlign w:val="bottom"/>
          </w:tcPr>
          <w:p>
            <w:pPr>
              <w:spacing w:after="0"/>
              <w:rPr>
                <w:sz w:val="20"/>
                <w:szCs w:val="20"/>
                <w:color w:val="auto"/>
              </w:rPr>
            </w:pP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2,616</w:t>
            </w:r>
          </w:p>
        </w:tc>
        <w:tc>
          <w:tcPr>
            <w:tcW w:w="100" w:type="dxa"/>
            <w:vAlign w:val="bottom"/>
          </w:tcPr>
          <w:p>
            <w:pPr>
              <w:spacing w:after="0"/>
              <w:rPr>
                <w:sz w:val="20"/>
                <w:szCs w:val="20"/>
                <w:color w:val="auto"/>
              </w:rPr>
            </w:pP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1,178</w:t>
            </w:r>
          </w:p>
        </w:tc>
      </w:tr>
      <w:tr>
        <w:trPr>
          <w:trHeight w:val="33"/>
        </w:trPr>
        <w:tc>
          <w:tcPr>
            <w:tcW w:w="68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70"/>
        </w:trPr>
        <w:tc>
          <w:tcPr>
            <w:tcW w:w="68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Reversal of prior period unrealized gains, net, upon realization</w:t>
            </w:r>
          </w:p>
        </w:tc>
        <w:tc>
          <w:tcPr>
            <w:tcW w:w="24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(210)</w:t>
            </w:r>
          </w:p>
        </w:tc>
        <w:tc>
          <w:tcPr>
            <w:tcW w:w="24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(266)</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(843)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(363)</w:t>
            </w:r>
          </w:p>
        </w:tc>
      </w:tr>
      <w:tr>
        <w:trPr>
          <w:trHeight w:val="217"/>
        </w:trPr>
        <w:tc>
          <w:tcPr>
            <w:tcW w:w="6860" w:type="dxa"/>
            <w:vAlign w:val="bottom"/>
          </w:tcPr>
          <w:p>
            <w:pPr>
              <w:ind w:left="40"/>
              <w:spacing w:after="0"/>
              <w:rPr>
                <w:sz w:val="20"/>
                <w:szCs w:val="20"/>
                <w:color w:val="auto"/>
              </w:rPr>
            </w:pPr>
            <w:r>
              <w:rPr>
                <w:rFonts w:ascii="Arial" w:cs="Arial" w:eastAsia="Arial" w:hAnsi="Arial"/>
                <w:sz w:val="16"/>
                <w:szCs w:val="16"/>
                <w:color w:val="auto"/>
              </w:rPr>
              <w:t>Unrealized gain on AFS securities, net:</w:t>
            </w:r>
          </w:p>
        </w:tc>
        <w:tc>
          <w:tcPr>
            <w:tcW w:w="2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1,190</w:t>
            </w: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536</w:t>
            </w: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1,773</w:t>
            </w: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815</w:t>
            </w:r>
          </w:p>
        </w:tc>
      </w:tr>
      <w:tr>
        <w:trPr>
          <w:trHeight w:val="33"/>
        </w:trPr>
        <w:tc>
          <w:tcPr>
            <w:tcW w:w="68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44"/>
        </w:trPr>
        <w:tc>
          <w:tcPr>
            <w:tcW w:w="6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Unrealized gain (loss) on interest rate swaps designated as cash flow hedges:</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r>
      <w:tr>
        <w:trPr>
          <w:trHeight w:val="237"/>
        </w:trPr>
        <w:tc>
          <w:tcPr>
            <w:tcW w:w="6860" w:type="dxa"/>
            <w:vAlign w:val="bottom"/>
          </w:tcPr>
          <w:p>
            <w:pPr>
              <w:ind w:left="120"/>
              <w:spacing w:after="0"/>
              <w:rPr>
                <w:sz w:val="20"/>
                <w:szCs w:val="20"/>
                <w:color w:val="auto"/>
              </w:rPr>
            </w:pPr>
            <w:r>
              <w:rPr>
                <w:rFonts w:ascii="Arial" w:cs="Arial" w:eastAsia="Arial" w:hAnsi="Arial"/>
                <w:sz w:val="16"/>
                <w:szCs w:val="16"/>
                <w:color w:val="auto"/>
              </w:rPr>
              <w:t>Unrealized gain (loss), net</w:t>
            </w:r>
          </w:p>
        </w:tc>
        <w:tc>
          <w:tcPr>
            <w:tcW w:w="240" w:type="dxa"/>
            <w:vAlign w:val="bottom"/>
          </w:tcPr>
          <w:p>
            <w:pPr>
              <w:spacing w:after="0"/>
              <w:rPr>
                <w:sz w:val="20"/>
                <w:szCs w:val="20"/>
                <w:color w:val="auto"/>
              </w:rPr>
            </w:pP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51</w:t>
            </w: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(583)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155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(844)</w:t>
            </w:r>
          </w:p>
        </w:tc>
      </w:tr>
      <w:tr>
        <w:trPr>
          <w:trHeight w:val="33"/>
        </w:trPr>
        <w:tc>
          <w:tcPr>
            <w:tcW w:w="68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20"/>
        </w:trPr>
        <w:tc>
          <w:tcPr>
            <w:tcW w:w="6860" w:type="dxa"/>
            <w:vAlign w:val="bottom"/>
            <w:shd w:val="clear" w:color="auto" w:fill="CCEEFF"/>
          </w:tcPr>
          <w:p>
            <w:pPr>
              <w:ind w:left="120"/>
              <w:spacing w:after="0"/>
              <w:rPr>
                <w:sz w:val="20"/>
                <w:szCs w:val="20"/>
                <w:color w:val="auto"/>
              </w:rPr>
            </w:pPr>
            <w:r>
              <w:rPr>
                <w:rFonts w:ascii="Arial" w:cs="Arial" w:eastAsia="Arial" w:hAnsi="Arial"/>
                <w:sz w:val="16"/>
                <w:szCs w:val="16"/>
                <w:color w:val="auto"/>
                <w:w w:val="96"/>
              </w:rPr>
              <w:t>Reversal of prior period unrealized loss on interest rate swaps, net, upon reclassification to interest</w:t>
            </w: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r>
      <w:tr>
        <w:trPr>
          <w:trHeight w:val="239"/>
        </w:trPr>
        <w:tc>
          <w:tcPr>
            <w:tcW w:w="68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expense</w:t>
            </w:r>
          </w:p>
        </w:tc>
        <w:tc>
          <w:tcPr>
            <w:tcW w:w="24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71</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140</w:t>
            </w:r>
          </w:p>
        </w:tc>
      </w:tr>
      <w:tr>
        <w:trPr>
          <w:trHeight w:val="217"/>
        </w:trPr>
        <w:tc>
          <w:tcPr>
            <w:tcW w:w="6860" w:type="dxa"/>
            <w:vAlign w:val="bottom"/>
          </w:tcPr>
          <w:p>
            <w:pPr>
              <w:ind w:left="40"/>
              <w:spacing w:after="0"/>
              <w:rPr>
                <w:sz w:val="20"/>
                <w:szCs w:val="20"/>
                <w:color w:val="auto"/>
              </w:rPr>
            </w:pPr>
            <w:r>
              <w:rPr>
                <w:rFonts w:ascii="Arial" w:cs="Arial" w:eastAsia="Arial" w:hAnsi="Arial"/>
                <w:sz w:val="16"/>
                <w:szCs w:val="16"/>
                <w:color w:val="auto"/>
              </w:rPr>
              <w:t>Unrealized gain (loss) on interest rate swaps, net:</w:t>
            </w:r>
          </w:p>
        </w:tc>
        <w:tc>
          <w:tcPr>
            <w:tcW w:w="2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51</w:t>
            </w: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(512)</w:t>
            </w: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155</w:t>
            </w: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(704)</w:t>
            </w:r>
          </w:p>
        </w:tc>
      </w:tr>
      <w:tr>
        <w:trPr>
          <w:trHeight w:val="33"/>
        </w:trPr>
        <w:tc>
          <w:tcPr>
            <w:tcW w:w="68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44"/>
        </w:trPr>
        <w:tc>
          <w:tcPr>
            <w:tcW w:w="6860" w:type="dxa"/>
            <w:vAlign w:val="bottom"/>
            <w:shd w:val="clear" w:color="auto" w:fill="CCEEFF"/>
          </w:tcPr>
          <w:p>
            <w:pPr>
              <w:ind w:left="40"/>
              <w:spacing w:after="0"/>
              <w:rPr>
                <w:sz w:val="20"/>
                <w:szCs w:val="20"/>
                <w:color w:val="auto"/>
              </w:rPr>
            </w:pPr>
            <w:r>
              <w:rPr>
                <w:rFonts w:ascii="Arial" w:cs="Arial" w:eastAsia="Arial" w:hAnsi="Arial"/>
                <w:sz w:val="16"/>
                <w:szCs w:val="16"/>
                <w:color w:val="auto"/>
              </w:rPr>
              <w:t>Total other comprehensive income</w:t>
            </w:r>
          </w:p>
        </w:tc>
        <w:tc>
          <w:tcPr>
            <w:tcW w:w="240" w:type="dxa"/>
            <w:vAlign w:val="bottom"/>
            <w:shd w:val="clear" w:color="auto" w:fill="CCEEFF"/>
          </w:tcPr>
          <w:p>
            <w:pPr>
              <w:ind w:left="40"/>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1,241</w:t>
            </w:r>
          </w:p>
        </w:tc>
        <w:tc>
          <w:tcPr>
            <w:tcW w:w="4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24</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1,928</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111</w:t>
            </w:r>
          </w:p>
        </w:tc>
      </w:tr>
      <w:tr>
        <w:trPr>
          <w:trHeight w:val="20"/>
        </w:trPr>
        <w:tc>
          <w:tcPr>
            <w:tcW w:w="68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32"/>
        <w:spacing w:after="0" w:line="290" w:lineRule="auto"/>
        <w:rPr>
          <w:sz w:val="20"/>
          <w:szCs w:val="20"/>
          <w:color w:val="auto"/>
        </w:rPr>
      </w:pPr>
      <w:r>
        <w:rPr>
          <w:rFonts w:ascii="Arial" w:cs="Arial" w:eastAsia="Arial" w:hAnsi="Arial"/>
          <w:sz w:val="16"/>
          <w:szCs w:val="16"/>
          <w:color w:val="auto"/>
        </w:rPr>
        <w:t>Our primary sources of funds are borrowings under master repurchase agreements, equity offerings, asset sales and monthly principal and interest payments on our investment portfolio. Because the level of our borrowings can be adjusted on a daily basis, the level of cash and cash equivalents carried on the balance sheet is significantly less important than the potential liquidity available under our borrowing arrangements. We currently believe that we have sufficient liquidity and capital resources available for the acquisition of additional investments, repayments on borrowings, maintenance of any margin requirements and the payment of cash dividends as required for our continued qualification as a REIT. 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in a timely manner so that we are not subject to Federal and state income taxes. This distribution requirement limits our ability to retain earnings and thereby replenish or increase capital from operations.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Capital</w:t>
      </w:r>
    </w:p>
    <w:p>
      <w:pPr>
        <w:spacing w:after="0" w:line="171"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To the extent we raise additional equity capital through follow-on equity offerings, through our at-the-market offering program or under our dividend reinvestment and direct stock purchase plan, we currently anticipate using cash proceeds from such transactions to purchase additional investment securities, to make scheduled payments of principal and interest on our repurchase agreements and for other general corporate purposes. There can be no assurance, however, that we will be able to raise additional equity capital at any particular time or on any particular terms.</w:t>
      </w:r>
    </w:p>
    <w:p>
      <w:pPr>
        <w:spacing w:after="0" w:line="117"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In October 2012, our Board of Directors adopted a plan that may provide for stock repurchases of up to $500 million of our outstanding shares of common stock through December 31, 2013. Shares of our common stock may be purchased in the open market, including through block purchases, or through privately negotiated transactions, or pursuant to any trading plan that may be adopted in accordance with Rule 10b5-1 of the Securities and Exchange Commission. The timing, manner, price and amount of any repurchases will be determined at our discretion and the program may be suspended, terminated or modified at any time for any reason. We intend to repurchase shares only when the purchase price is less than our estimate of our current net asset value per share of our common stock. Generally, when we repurchase our common stock at a discount to our net asset value, the net asset value of our remaining shares of common stock outstanding increases. In addition, we do not intend to repurchase any shares from directors, officers or other affiliates. The program does not obligate us to acquire any specific number of shares, and all repurchases will be made in accordance with SEC Rule 10b-18, which sets certain restrictions on the method, timing, price and volume of stock repurchases.</w:t>
      </w:r>
    </w:p>
    <w:p>
      <w:pPr>
        <w:spacing w:after="0" w:line="128"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Preferred Stock Offering</w:t>
      </w:r>
    </w:p>
    <w:p>
      <w:pPr>
        <w:spacing w:after="0" w:line="239"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Pursuant to our amended and restated certificate of incorporation, we are authorized to designate and issue up to 10.0 million shares of preferred stock in one or more classes or series. Our board of directors has designated 6.9 million shares as 8.000% Series A Cumulative Redeemable Preferred Stock ("Series A Preferred Stock"). As of September 30, 2012, we have 3.1 million of authorized but unissued shares of preferred stock. Our board of directors may designate additional series of authorized preferred stock ranking junior to or in parity with the Series A Preferred Stock or designate additional shares of the Series A Preferred Stock and authorize the issuance of such shares.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936" w:right="239" w:bottom="1440" w:gutter="0" w:footer="0" w:header="0"/>
        </w:sectPr>
      </w:pPr>
    </w:p>
    <w:bookmarkStart w:id="40" w:name="page41"/>
    <w:bookmarkEnd w:id="40"/>
    <w:p>
      <w:pPr>
        <w:jc w:val="both"/>
        <w:ind w:firstLine="432"/>
        <w:spacing w:after="0" w:line="289" w:lineRule="auto"/>
        <w:rPr>
          <w:sz w:val="20"/>
          <w:szCs w:val="20"/>
          <w:color w:val="auto"/>
        </w:rPr>
      </w:pPr>
      <w:r>
        <w:rPr>
          <w:rFonts w:ascii="Arial" w:cs="Arial" w:eastAsia="Arial" w:hAnsi="Arial"/>
          <w:sz w:val="16"/>
          <w:szCs w:val="16"/>
          <w:color w:val="auto"/>
        </w:rPr>
        <w:t>In April 2012, we completed a public offering in which 6.9 million shares of our Series A Preferred Stock were sold to the underwriters at a price of $24.21 per share. Upon completion of the offering we received proceeds, net of offering expenses, of approximately $167 million. Our Series A Preferred Stock has no stated maturity and is not subject to any sinking fund or mandatory redemption. Under certain circumstances upon a change of control, the Series A Preferred Stock is convertible to shares of our common stock. Holders of Series A Preferred Stock have no voting rights, except under limited conditions, and holders are entitled to receive cumulative cash dividends at a rate of 8.00% per annum of the $25.00 per share liquidation preference before holders of our common stock are entitled to receive any dividends. Shares of our Series A Preferred Stock are redeemable at $25.00 per share plus accumulated and unpaid dividends (whether or not declared) exclusively at our option commencing on April 5, 2017, or earlier under certain circumstances intended to preserve our qualification as a REIT for Federal income tax purposes. Dividends are payable quarterly in arrears on the 15th day of each January, April, July and October. As of September 30, 2012, we had declared all required quarterly dividends on the Series A Preferred Stock.</w:t>
      </w:r>
    </w:p>
    <w:p>
      <w:pPr>
        <w:spacing w:after="0" w:line="11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Common Stock Offerings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In March 2012, we completed a public offering in which 71.2 million shares of our common stock were sold to the underwriters at a price of $29.00 per share. Upon completion of the March offering, we received proceeds, net of offering expenses, of approximately $2.1 billion. In July 2012, we completed a public offering in which 36.8 million shares of our common stock were sold to the underwriters at a price of $33.70 per share. Upon completion of the July offering, we received proceeds, net of offering expenses, of approximately $1.2 billion. In both instances, the underwriters in the offering sold the shares of our common stock in one or more transactions on the NASDAQ Global Select Market, in the over-the-counter market, through negotiated transactions or otherwise at market prices prevailing at the time of sale.</w:t>
      </w:r>
    </w:p>
    <w:p>
      <w:pPr>
        <w:spacing w:after="0" w:line="139"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At-the-Market Offering Program</w:t>
      </w:r>
    </w:p>
    <w:p>
      <w:pPr>
        <w:spacing w:after="0" w:line="171"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We have sales agreements with sales agents to publicly offer and sell shares of our common stock in privately negotiated and/or at-the-market transactions from time to time. During the three and nine months ended September 30, 2012, we sold 4.8 million and 9.5 million shares of our common stock, respectively, under such a sales agreement at an average price of $32.40 and $31.41 per share, respectively, for proceeds, net of program costs, of $155 million and $298 million, respectively. As of September 30, 2012, 16.7 million shares remain under the sales agreements.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Dividend Reinvestment and Direct Stock Purchase Plan</w:t>
      </w:r>
    </w:p>
    <w:p>
      <w:pPr>
        <w:spacing w:after="0" w:line="9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sponsor a dividend reinvestment and direct stock purchase plan through which stockholders may purchase additional shares of our common stock by reinvesting some or all of the cash dividends received on shares of our common stock. Stockholders may also make optional cash purchases of shares of our common stock subject to certain limitations detailed in the plan prospectus. During the three and nine months ended September 30, 2012, there were no shares issued under the plan. As of September 30, 2012, 4.7 million shares remain under the plan.</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Capital</w:t>
      </w:r>
    </w:p>
    <w:p>
      <w:pPr>
        <w:spacing w:after="0" w:line="171"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As part of our investment strategy, we borrow against our investment portfolio pursuant to master repurchase agreements. We expect that our borrowings under such master repurchase agreements will generally have maturities ranging up to one year, but may have maturities up to three years or longer. Our leverage may vary periodically depending on market conditions and our Manager's assessment of risk and returns. We generally would expect our leverage to be within six to eleven times the amount of our stockholders' equity. However, under certain market conditions, we may operate at leverage levels outside of this range for extended periods of time. Our leverage ratio was 7.0 times the amount of our stockholders’ equity as of September 30, 2012, including our total borrowings and net payables/receivables for agency securities not yet settled. Our cost of borrowings under master repurchase agreements generally corresponds to LIBOR plus or minus a margin and was 0.46% as of September 30, 2012.</w:t>
      </w:r>
    </w:p>
    <w:p>
      <w:pPr>
        <w:spacing w:after="0" w:line="124" w:lineRule="exact"/>
        <w:rPr>
          <w:sz w:val="20"/>
          <w:szCs w:val="20"/>
          <w:color w:val="auto"/>
        </w:rPr>
      </w:pPr>
    </w:p>
    <w:p>
      <w:pPr>
        <w:jc w:val="both"/>
        <w:ind w:firstLine="486"/>
        <w:spacing w:after="0" w:line="312" w:lineRule="auto"/>
        <w:rPr>
          <w:sz w:val="20"/>
          <w:szCs w:val="20"/>
          <w:color w:val="auto"/>
        </w:rPr>
      </w:pPr>
      <w:r>
        <w:rPr>
          <w:rFonts w:ascii="Arial" w:cs="Arial" w:eastAsia="Arial" w:hAnsi="Arial"/>
          <w:sz w:val="16"/>
          <w:szCs w:val="16"/>
          <w:color w:val="auto"/>
        </w:rPr>
        <w:t>Following our election to discontinue accounting for our interest rate swaps as cash-flow hedges under GAAP as of September 30, 2011, we extended the terms of our repurchase agreements to reduce the "roll risk" associated with maturing repurchase agreements. As of September 30, 2012, our repurchase agreements had a weighted average original days-to-maturity of 141 days and had a remaining weighted average days-to-maturity of 89 days.</w:t>
      </w:r>
    </w:p>
    <w:p>
      <w:pPr>
        <w:spacing w:after="0" w:line="93"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To limit our exposure to counterparty credit risk, we diversify our funding across multiple counterparties and by counterparty region. As of September 30, 2012, we had master repurchase agreements with 30 financial institutions, subject to certain conditions, located throughout North America, Europe and Asia. As of September 30, 2012, less than 4% of our stockholders' equity was at risk with any one repo counterparty, with the top five repo counterparties representing less than 17% of our stockholders' equity. The table below includes a summary of our repurchase agreement funding by number of repo counterparties and counterparty region as of September 30, 2012. For further details regarding our borrowings under repurchase agreements and other debt as of September 30, 2012, please refer to Note 5 to our consolidated financial statements in this Quarterly Report on Form 10-Q.</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746" w:right="239" w:bottom="1440" w:gutter="0" w:footer="0" w:header="0"/>
        </w:sectPr>
      </w:pPr>
    </w:p>
    <w:bookmarkStart w:id="41" w:name="page42"/>
    <w:bookmarkEnd w:id="41"/>
    <w:tbl>
      <w:tblPr>
        <w:tblLayout w:type="fixed"/>
        <w:tblInd w:w="2500" w:type="dxa"/>
        <w:tblCellMar>
          <w:top w:w="0" w:type="dxa"/>
          <w:left w:w="0" w:type="dxa"/>
          <w:bottom w:w="0" w:type="dxa"/>
          <w:right w:w="0" w:type="dxa"/>
        </w:tblCellMar>
      </w:tblPr>
      <w:tr>
        <w:trPr>
          <w:trHeight w:val="192"/>
        </w:trPr>
        <w:tc>
          <w:tcPr>
            <w:tcW w:w="27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440" w:type="dxa"/>
            <w:vAlign w:val="bottom"/>
            <w:tcBorders>
              <w:bottom w:val="single" w:sz="8" w:color="auto"/>
            </w:tcBorders>
            <w:gridSpan w:val="3"/>
          </w:tcPr>
          <w:p>
            <w:pPr>
              <w:ind w:left="940"/>
              <w:spacing w:after="0"/>
              <w:rPr>
                <w:sz w:val="20"/>
                <w:szCs w:val="20"/>
                <w:color w:val="auto"/>
              </w:rPr>
            </w:pPr>
            <w:r>
              <w:rPr>
                <w:rFonts w:ascii="Arial" w:cs="Arial" w:eastAsia="Arial" w:hAnsi="Arial"/>
                <w:sz w:val="14"/>
                <w:szCs w:val="14"/>
                <w:b w:val="1"/>
                <w:bCs w:val="1"/>
                <w:color w:val="auto"/>
              </w:rPr>
              <w:t>As of September 30, 2012</w:t>
            </w:r>
          </w:p>
        </w:tc>
        <w:tc>
          <w:tcPr>
            <w:tcW w:w="0" w:type="dxa"/>
            <w:vAlign w:val="bottom"/>
          </w:tcPr>
          <w:p>
            <w:pPr>
              <w:spacing w:after="0"/>
              <w:rPr>
                <w:sz w:val="1"/>
                <w:szCs w:val="1"/>
                <w:color w:val="auto"/>
              </w:rPr>
            </w:pPr>
          </w:p>
        </w:tc>
      </w:tr>
      <w:tr>
        <w:trPr>
          <w:trHeight w:val="152"/>
        </w:trPr>
        <w:tc>
          <w:tcPr>
            <w:tcW w:w="27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Counter-Party Region</w:t>
            </w:r>
          </w:p>
        </w:tc>
        <w:tc>
          <w:tcPr>
            <w:tcW w:w="200" w:type="dxa"/>
            <w:vAlign w:val="bottom"/>
            <w:vMerge w:val="restart"/>
          </w:tcPr>
          <w:p>
            <w:pPr>
              <w:spacing w:after="0"/>
              <w:rPr>
                <w:sz w:val="13"/>
                <w:szCs w:val="13"/>
                <w:color w:val="auto"/>
              </w:rPr>
            </w:pPr>
          </w:p>
        </w:tc>
        <w:tc>
          <w:tcPr>
            <w:tcW w:w="1780" w:type="dxa"/>
            <w:vAlign w:val="bottom"/>
            <w:gridSpan w:val="2"/>
          </w:tcPr>
          <w:p>
            <w:pPr>
              <w:jc w:val="center"/>
              <w:ind w:right="200"/>
              <w:spacing w:after="0" w:line="153" w:lineRule="exact"/>
              <w:rPr>
                <w:sz w:val="20"/>
                <w:szCs w:val="20"/>
                <w:color w:val="auto"/>
              </w:rPr>
            </w:pPr>
            <w:r>
              <w:rPr>
                <w:rFonts w:ascii="Arial" w:cs="Arial" w:eastAsia="Arial" w:hAnsi="Arial"/>
                <w:sz w:val="14"/>
                <w:szCs w:val="14"/>
                <w:b w:val="1"/>
                <w:bCs w:val="1"/>
                <w:color w:val="auto"/>
                <w:w w:val="95"/>
              </w:rPr>
              <w:t>Number of Counter-</w:t>
            </w:r>
          </w:p>
        </w:tc>
        <w:tc>
          <w:tcPr>
            <w:tcW w:w="166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Percent of Repurchase</w:t>
            </w:r>
          </w:p>
        </w:tc>
        <w:tc>
          <w:tcPr>
            <w:tcW w:w="0" w:type="dxa"/>
            <w:vAlign w:val="bottom"/>
          </w:tcPr>
          <w:p>
            <w:pPr>
              <w:spacing w:after="0"/>
              <w:rPr>
                <w:sz w:val="1"/>
                <w:szCs w:val="1"/>
                <w:color w:val="auto"/>
              </w:rPr>
            </w:pPr>
          </w:p>
        </w:tc>
      </w:tr>
      <w:tr>
        <w:trPr>
          <w:trHeight w:val="192"/>
        </w:trPr>
        <w:tc>
          <w:tcPr>
            <w:tcW w:w="2780" w:type="dxa"/>
            <w:vAlign w:val="bottom"/>
            <w:tcBorders>
              <w:bottom w:val="single" w:sz="8" w:color="auto"/>
            </w:tcBorders>
            <w:vMerge w:val="continue"/>
          </w:tcPr>
          <w:p>
            <w:pPr>
              <w:spacing w:after="0"/>
              <w:rPr>
                <w:sz w:val="16"/>
                <w:szCs w:val="16"/>
                <w:color w:val="auto"/>
              </w:rPr>
            </w:pPr>
          </w:p>
        </w:tc>
        <w:tc>
          <w:tcPr>
            <w:tcW w:w="200" w:type="dxa"/>
            <w:vAlign w:val="bottom"/>
            <w:tcBorders>
              <w:bottom w:val="single" w:sz="8" w:color="CCEEFF"/>
            </w:tcBorders>
            <w:vMerge w:val="continue"/>
          </w:tcPr>
          <w:p>
            <w:pPr>
              <w:spacing w:after="0"/>
              <w:rPr>
                <w:sz w:val="16"/>
                <w:szCs w:val="16"/>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Parties</w:t>
            </w:r>
          </w:p>
        </w:tc>
        <w:tc>
          <w:tcPr>
            <w:tcW w:w="180" w:type="dxa"/>
            <w:vAlign w:val="bottom"/>
            <w:tcBorders>
              <w:bottom w:val="single" w:sz="8" w:color="CCEEFF"/>
            </w:tcBorders>
          </w:tcPr>
          <w:p>
            <w:pPr>
              <w:spacing w:after="0"/>
              <w:rPr>
                <w:sz w:val="16"/>
                <w:szCs w:val="16"/>
                <w:color w:val="auto"/>
              </w:rPr>
            </w:pP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Agreement Funding</w:t>
            </w:r>
          </w:p>
        </w:tc>
        <w:tc>
          <w:tcPr>
            <w:tcW w:w="0" w:type="dxa"/>
            <w:vAlign w:val="bottom"/>
          </w:tcPr>
          <w:p>
            <w:pPr>
              <w:spacing w:after="0"/>
              <w:rPr>
                <w:sz w:val="1"/>
                <w:szCs w:val="1"/>
                <w:color w:val="auto"/>
              </w:rPr>
            </w:pPr>
          </w:p>
        </w:tc>
      </w:tr>
      <w:tr>
        <w:trPr>
          <w:trHeight w:val="250"/>
        </w:trPr>
        <w:tc>
          <w:tcPr>
            <w:tcW w:w="29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North America</w:t>
            </w:r>
          </w:p>
        </w:tc>
        <w:tc>
          <w:tcPr>
            <w:tcW w:w="16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16</w:t>
            </w:r>
          </w:p>
        </w:tc>
        <w:tc>
          <w:tcPr>
            <w:tcW w:w="1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55%</w:t>
            </w:r>
          </w:p>
        </w:tc>
        <w:tc>
          <w:tcPr>
            <w:tcW w:w="0" w:type="dxa"/>
            <w:vAlign w:val="bottom"/>
          </w:tcPr>
          <w:p>
            <w:pPr>
              <w:spacing w:after="0"/>
              <w:rPr>
                <w:sz w:val="1"/>
                <w:szCs w:val="1"/>
                <w:color w:val="auto"/>
              </w:rPr>
            </w:pPr>
          </w:p>
        </w:tc>
      </w:tr>
      <w:tr>
        <w:trPr>
          <w:trHeight w:val="243"/>
        </w:trPr>
        <w:tc>
          <w:tcPr>
            <w:tcW w:w="2980" w:type="dxa"/>
            <w:vAlign w:val="bottom"/>
            <w:gridSpan w:val="2"/>
          </w:tcPr>
          <w:p>
            <w:pPr>
              <w:ind w:left="40"/>
              <w:spacing w:after="0"/>
              <w:rPr>
                <w:sz w:val="20"/>
                <w:szCs w:val="20"/>
                <w:color w:val="auto"/>
              </w:rPr>
            </w:pPr>
            <w:r>
              <w:rPr>
                <w:rFonts w:ascii="Arial" w:cs="Arial" w:eastAsia="Arial" w:hAnsi="Arial"/>
                <w:sz w:val="18"/>
                <w:szCs w:val="18"/>
                <w:color w:val="auto"/>
              </w:rPr>
              <w:t>Europe</w:t>
            </w:r>
          </w:p>
        </w:tc>
        <w:tc>
          <w:tcPr>
            <w:tcW w:w="1600" w:type="dxa"/>
            <w:vAlign w:val="bottom"/>
          </w:tcPr>
          <w:p>
            <w:pPr>
              <w:jc w:val="center"/>
              <w:spacing w:after="0"/>
              <w:rPr>
                <w:sz w:val="20"/>
                <w:szCs w:val="20"/>
                <w:color w:val="auto"/>
              </w:rPr>
            </w:pPr>
            <w:r>
              <w:rPr>
                <w:rFonts w:ascii="Arial" w:cs="Arial" w:eastAsia="Arial" w:hAnsi="Arial"/>
                <w:sz w:val="18"/>
                <w:szCs w:val="18"/>
                <w:color w:val="auto"/>
                <w:w w:val="99"/>
              </w:rPr>
              <w:t>9</w:t>
            </w:r>
          </w:p>
        </w:tc>
        <w:tc>
          <w:tcPr>
            <w:tcW w:w="180" w:type="dxa"/>
            <w:vAlign w:val="bottom"/>
          </w:tcPr>
          <w:p>
            <w:pPr>
              <w:spacing w:after="0"/>
              <w:rPr>
                <w:sz w:val="21"/>
                <w:szCs w:val="21"/>
                <w:color w:val="auto"/>
              </w:rPr>
            </w:pPr>
          </w:p>
        </w:tc>
        <w:tc>
          <w:tcPr>
            <w:tcW w:w="1660" w:type="dxa"/>
            <w:vAlign w:val="bottom"/>
          </w:tcPr>
          <w:p>
            <w:pPr>
              <w:jc w:val="center"/>
              <w:spacing w:after="0"/>
              <w:rPr>
                <w:sz w:val="20"/>
                <w:szCs w:val="20"/>
                <w:color w:val="auto"/>
              </w:rPr>
            </w:pPr>
            <w:r>
              <w:rPr>
                <w:rFonts w:ascii="Arial" w:cs="Arial" w:eastAsia="Arial" w:hAnsi="Arial"/>
                <w:sz w:val="18"/>
                <w:szCs w:val="18"/>
                <w:color w:val="auto"/>
                <w:w w:val="94"/>
              </w:rPr>
              <w:t>31%</w:t>
            </w:r>
          </w:p>
        </w:tc>
        <w:tc>
          <w:tcPr>
            <w:tcW w:w="0" w:type="dxa"/>
            <w:vAlign w:val="bottom"/>
          </w:tcPr>
          <w:p>
            <w:pPr>
              <w:spacing w:after="0"/>
              <w:rPr>
                <w:sz w:val="1"/>
                <w:szCs w:val="1"/>
                <w:color w:val="auto"/>
              </w:rPr>
            </w:pPr>
          </w:p>
        </w:tc>
      </w:tr>
      <w:tr>
        <w:trPr>
          <w:trHeight w:val="27"/>
        </w:trPr>
        <w:tc>
          <w:tcPr>
            <w:tcW w:w="27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Asia</w:t>
            </w:r>
          </w:p>
        </w:tc>
        <w:tc>
          <w:tcPr>
            <w:tcW w:w="16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5</w:t>
            </w:r>
          </w:p>
        </w:tc>
        <w:tc>
          <w:tcPr>
            <w:tcW w:w="18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14%</w:t>
            </w:r>
          </w:p>
        </w:tc>
        <w:tc>
          <w:tcPr>
            <w:tcW w:w="0" w:type="dxa"/>
            <w:vAlign w:val="bottom"/>
          </w:tcPr>
          <w:p>
            <w:pPr>
              <w:spacing w:after="0"/>
              <w:rPr>
                <w:sz w:val="1"/>
                <w:szCs w:val="1"/>
                <w:color w:val="auto"/>
              </w:rPr>
            </w:pPr>
          </w:p>
        </w:tc>
      </w:tr>
      <w:tr>
        <w:trPr>
          <w:trHeight w:val="237"/>
        </w:trPr>
        <w:tc>
          <w:tcPr>
            <w:tcW w:w="27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30</w:t>
            </w:r>
          </w:p>
        </w:tc>
        <w:tc>
          <w:tcPr>
            <w:tcW w:w="180" w:type="dxa"/>
            <w:vAlign w:val="bottom"/>
          </w:tcPr>
          <w:p>
            <w:pPr>
              <w:spacing w:after="0"/>
              <w:rPr>
                <w:sz w:val="20"/>
                <w:szCs w:val="20"/>
                <w:color w:val="auto"/>
              </w:rPr>
            </w:pPr>
          </w:p>
        </w:tc>
        <w:tc>
          <w:tcPr>
            <w:tcW w:w="16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100%</w:t>
            </w:r>
          </w:p>
        </w:tc>
        <w:tc>
          <w:tcPr>
            <w:tcW w:w="0" w:type="dxa"/>
            <w:vAlign w:val="bottom"/>
          </w:tcPr>
          <w:p>
            <w:pPr>
              <w:spacing w:after="0"/>
              <w:rPr>
                <w:sz w:val="1"/>
                <w:szCs w:val="1"/>
                <w:color w:val="auto"/>
              </w:rPr>
            </w:pPr>
          </w:p>
        </w:tc>
      </w:tr>
      <w:tr>
        <w:trPr>
          <w:trHeight w:val="27"/>
        </w:trPr>
        <w:tc>
          <w:tcPr>
            <w:tcW w:w="27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7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In addition, our counterparties apply a "haircut” to our pledged collateral, which means our collateral is valued at slightly less than market value. This haircut reflects the underlying risk of the specific collateral and protects our counterparty against a change in its value, but conversely subjects us to counterparty risk and limits the amount we can borrow against our investment securities. Our master repurchase agreements do not specify the haircut, rather haircuts are determined on an individual repurchase transaction basis. Throughout the three and nine months ended September 30, 2012, haircuts on our pledged collateral remained stable and as of September 30, 2012, our weighted average haircut was less than 5% of the value of our collateral.</w:t>
      </w:r>
    </w:p>
    <w:p>
      <w:pPr>
        <w:spacing w:after="0" w:line="138"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Under our repurchase agreements, we may be required to pledge additional assets to the repurchase agreement counterparties in the event the estimated fair value of the existing pledged collateral under such agreements declines and such counterparties demand additional collateral (a margin call), which may take the form of additional securities or cash. Specifically, margin calls would result from a decline in the value of our agency securities securing our repurchase agreements and prepayments on the mortgages securing such agency securities. Similarly, if the estimated fair value of our investment securities increases due to changes in interest rates or other factors, counterparties may release collateral back to us. Our repurchase agreements generally provide that the valuations for the agency MBS securing our repurchase agreements are to be obtained from a generally recognized source agreed to by the parties. However, in certain circumstances and under certain of our repurchase agreements our lenders have the sole discretion to determine the value of the agency MBS securing our repurchase agreements. In such instances, our lenders are required to act in good faith in making such valuation determinations. Our repurchase agreements generally provide that in the event of a margin call, we must provide additional securities or cash on the same business day that a margin call is made if the lender provides us notice prior to the margin notice deadline on such day.</w:t>
      </w:r>
    </w:p>
    <w:p>
      <w:pPr>
        <w:spacing w:after="0" w:line="11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2012, we have met all of our margin requirements. We had unrestricted cash and cash equivalents of $2.6 billion and unpledged agency securities of $4.0 billion, after adding the net receivable for unsettled agency securities, available to meet margin calls on our repurchase agreements and derivative instruments as of September 30, 2012.</w:t>
      </w:r>
    </w:p>
    <w:p>
      <w:pPr>
        <w:spacing w:after="0" w:line="12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Although we believe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agency securities back to us at the end of the term, we could incur a loss equal to the difference between the value of the agency securities and the cash we originally received.</w:t>
      </w:r>
    </w:p>
    <w:p>
      <w:pPr>
        <w:spacing w:after="0" w:line="13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maintain an interest rate risk management strategy under which we use derivative financial instruments to manage the adverse impact of interest rate changes on the value of our investment portfolio as well as our cash flows. In particular, we attempt to mitigate the risk of the cost of our variable rate liabilities increasing at a faster rate than the earnings of our long-term fixed-rate assets during a period of rising interest rates. The principal derivative instruments that we use are interest rate swaps, supplemented with the use of interest rate swaptions, TBA securities, U.S. Treasury securities, futures and other instruments.</w:t>
      </w:r>
    </w:p>
    <w:p>
      <w:pPr>
        <w:spacing w:after="0" w:line="134"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We use interest rate swap agreements to effectively lock in fixed rates on a portion of our borrowings because longer-term fixed-rate borrowings are not available at attractive terms. Please refer to Note 6 to our consolidated financial statements in this Quarterly Report on Form 10-Q for further details regarding our outstanding interest rate swaps as of September 30, 2012 and related activity for the three and nine months ended September 30, 2012.</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Sales and TBA Eligible Securities</w:t>
      </w:r>
    </w:p>
    <w:p>
      <w:pPr>
        <w:spacing w:after="0" w:line="22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maintain a portfolio of highly liquid agency MBS securities. We may sell our securities through the TBA market by delivering securities into TBA contracts for the sale of securities, subject to "good delivery" provisions promulgated by the Securities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968" w:right="239" w:bottom="1440" w:gutter="0" w:footer="0" w:header="0"/>
        </w:sectPr>
      </w:pPr>
    </w:p>
    <w:bookmarkStart w:id="42" w:name="page43"/>
    <w:bookmarkEnd w:id="42"/>
    <w:p>
      <w:pPr>
        <w:jc w:val="both"/>
        <w:spacing w:after="0" w:line="297" w:lineRule="auto"/>
        <w:rPr>
          <w:sz w:val="20"/>
          <w:szCs w:val="20"/>
          <w:color w:val="auto"/>
        </w:rPr>
      </w:pPr>
      <w:r>
        <w:rPr>
          <w:rFonts w:ascii="Arial" w:cs="Arial" w:eastAsia="Arial" w:hAnsi="Arial"/>
          <w:sz w:val="16"/>
          <w:szCs w:val="16"/>
          <w:color w:val="auto"/>
        </w:rPr>
        <w:t>Industry and Financial Markets Association ("SIFMA"). We may alternatively sell securities that have more unique attributes on a specified basis when such securities trade at a premium over generic TBA securities or if the securities are not otherwise eligible for TBA delivery. Since the TBA market is the second most liquid market (second to the U.S. Treasury market), maintaining a significant level of securities eligible for TBA delivery enhances our liquidity profile and provides price support for our TBA eligible securities in a rising interest rate scenario at or above generic TBA prices. As of September 30, 2012, approximately 96% of our fixed-rate agency MBS portfolio (or approximately 94% of our total agency MBS portfolio) was eligible for TBA delivery.</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September 30, 2012,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September 30, 2012, we had not guaranteed any obligations of unconsolidated entities or entered into any commitment or intent to provide funding to any such entities.</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32"/>
        <w:spacing w:after="0" w:line="342" w:lineRule="auto"/>
        <w:rPr>
          <w:sz w:val="20"/>
          <w:szCs w:val="20"/>
          <w:color w:val="auto"/>
        </w:rPr>
      </w:pPr>
      <w:r>
        <w:rPr>
          <w:rFonts w:ascii="Arial" w:cs="Arial" w:eastAsia="Arial" w:hAnsi="Arial"/>
          <w:sz w:val="16"/>
          <w:szCs w:val="16"/>
          <w:color w:val="auto"/>
        </w:rPr>
        <w:t>Market risk is the exposure to loss resulting from changes in market factors such as interest rates, foreign currency exchange rates, commodity prices and equity prices. The primary market risks that we are exposed to are interest rate risk, prepayment risk, spread risk, liquidity risk and extension risk.</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6"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interest-bearing liabilities. Changes in the general level of interest rates can also affect our periodic settlements of interest rate swaps and the value of our interest rate swaps which impact our net income. Changes in the level of interest rates can also affect the rate of prepayments of our securities and the value of the agency securities that constitute our investment portfolio, which affects our net income and ability to realize gains from the sale of these assets and impacts our ability and the amount that we can borrow against these securities.</w:t>
      </w:r>
    </w:p>
    <w:p>
      <w:pPr>
        <w:spacing w:after="0" w:line="124"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We may utilize a variety of financial instruments in order to limit the effects of changes in interest rates on our operations, including interest rate swap agreements, interest rate swaptions, interest rate cap or floor contracts and futures or forward contracts. We may also purchase or short TBA securities, U.S. Treasury securities and U.S. Treasury futures contracts, purchase or write put or call options on TBA securities or we may invest in other types of mortgage derivative securities, such as interest-only securities, and synthetic total return swaps, such as the Markit IOS Index.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111"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Our profitability and the value of our investment portfolio (including derivatives used for economic hedging purposes) may be adversely affected during any period as a result of changing interest rates including changes in the forward yield curve.</w:t>
      </w:r>
    </w:p>
    <w:p>
      <w:pPr>
        <w:spacing w:after="0" w:line="11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Primary measures of an instrument's price sensitivity to interest rate fluctuations are its duration and convexity. The duration of our investment portfolio changes with interest rates and tends to increase when rates rise and decrease when rates fall. This "negative convexity" generally increases the interest rate exposure of our investment portfolio in excess of what is measured by duration alone.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584" w:right="239" w:bottom="1440" w:gutter="0" w:footer="0" w:header="0"/>
        </w:sectPr>
      </w:pPr>
    </w:p>
    <w:bookmarkStart w:id="43" w:name="page44"/>
    <w:bookmarkEnd w:id="43"/>
    <w:p>
      <w:pPr>
        <w:jc w:val="both"/>
        <w:ind w:firstLine="432"/>
        <w:spacing w:after="0" w:line="289" w:lineRule="auto"/>
        <w:rPr>
          <w:sz w:val="20"/>
          <w:szCs w:val="20"/>
          <w:color w:val="auto"/>
        </w:rPr>
      </w:pPr>
      <w:r>
        <w:rPr>
          <w:rFonts w:ascii="Arial" w:cs="Arial" w:eastAsia="Arial" w:hAnsi="Arial"/>
          <w:sz w:val="16"/>
          <w:szCs w:val="16"/>
          <w:color w:val="auto"/>
        </w:rPr>
        <w:t>We estimate the duration and convexity of our portfolio using both a third-party risk management system and market data. We review the duration estimates from the third-party model and may make adjustments based on our Manager's judgment. These adjustments are intended to, in our Manager's opinion, better reflect the unique characteristics and market trading conventions associated with certain types of securities. These adjustments generally result in shorter durations than what the unadjusted third-party model would otherwise produce. Without these adjustments, in rising rate scenarios, the longer unadjusted durations may underestimate price projections on certain securities with slower prepayment characteristics, such as HARP and lower loan balance securities, to a level below those of generic or TBA securities. However, in our Manager's judgment, because these securities are typically deliverable into TBA contracts, the price of these securities is unlikely to drop below the TBA price in rising rate scenarios. The accuracy of the estimated duration of our portfolio and projected agency securities prices depends on our Manager's assumptions and judgments. Our Manager may discontinue making these duration adjustments in the future or may choose to make different adjustments. Other models could produce materially different results.</w:t>
      </w:r>
    </w:p>
    <w:p>
      <w:pPr>
        <w:spacing w:after="0" w:line="113"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following table quantifies the estimated changes in net interest income (including periodic interest costs on our interest rate swaps) and the estimated changes in the fair value of our investment portfolio (including derivatives and other securities used for economic hedging purposes) and in our net asset value should interest rates go up or down by 50 and 100 basis points, assuming the yield curves of the rate shocks will be parallel to each other and the current yield curve and includes the impact of both duration and convexity.</w:t>
      </w:r>
    </w:p>
    <w:p>
      <w:pPr>
        <w:spacing w:after="0" w:line="133"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All changes in income and value are measured as percentage changes from the projected net interest income, investment portfolio value and net asset value at the base interest rate scenario. The base interest rate scenario assumes interest rates as of September 30, 2012. Given the low level of interest rates, we also apply a floor of 0% for all anticipated interest rates included in our assumptions, such that any hypothetical interest rate decrease would have a limited positive impact on our funding costs beyond a certain level. However, because estimated prepayment speeds are impacted to a lesser degree by this floor, it is expected that an increase in our prepayment speeds as a result of a hypothetical interest rate decrease would result in an acceleration of our premium amortization and could result in reinvestment of such prepaid principal into lower yielding assets.</w:t>
      </w:r>
    </w:p>
    <w:p>
      <w:pPr>
        <w:spacing w:after="0" w:line="12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Actual results could differ materially from estimates, especially in the current market environment. To the extent that these estimates or other assumptions do not hold true, which is likely in a period of high price volatility, actual results will likely differ materially from projections and could be larger or smaller than the estimates in the table below. Moreover, if different models were employed in the analysis, materially different projections could result. Lastly, while the tables below reflect the estimated impact of interest rate increases and decreases on a static portfolio, we may from time to time sell any of our agency securities as a part of our overall management of our investment portfolio.</w:t>
      </w:r>
    </w:p>
    <w:p>
      <w:pPr>
        <w:spacing w:after="0" w:line="355" w:lineRule="exact"/>
        <w:rPr>
          <w:sz w:val="20"/>
          <w:szCs w:val="20"/>
          <w:color w:val="auto"/>
        </w:rPr>
      </w:pPr>
    </w:p>
    <w:tbl>
      <w:tblPr>
        <w:tblLayout w:type="fixed"/>
        <w:tblInd w:w="252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00" w:type="dxa"/>
            <w:vAlign w:val="bottom"/>
            <w:tcBorders>
              <w:bottom w:val="single" w:sz="8" w:color="auto"/>
            </w:tcBorders>
            <w:gridSpan w:val="4"/>
          </w:tcPr>
          <w:p>
            <w:pPr>
              <w:ind w:left="102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66"/>
        </w:trPr>
        <w:tc>
          <w:tcPr>
            <w:tcW w:w="23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420" w:type="dxa"/>
            <w:vAlign w:val="bottom"/>
            <w:gridSpan w:val="2"/>
          </w:tcPr>
          <w:p>
            <w:pPr>
              <w:ind w:left="40"/>
              <w:spacing w:after="0"/>
              <w:rPr>
                <w:sz w:val="20"/>
                <w:szCs w:val="20"/>
                <w:color w:val="auto"/>
              </w:rPr>
            </w:pPr>
            <w:r>
              <w:rPr>
                <w:rFonts w:ascii="Arial" w:cs="Arial" w:eastAsia="Arial" w:hAnsi="Arial"/>
                <w:sz w:val="14"/>
                <w:szCs w:val="14"/>
                <w:b w:val="1"/>
                <w:bCs w:val="1"/>
                <w:color w:val="auto"/>
              </w:rPr>
              <w:t>Net Interest Income</w:t>
            </w:r>
          </w:p>
        </w:tc>
        <w:tc>
          <w:tcPr>
            <w:tcW w:w="1280" w:type="dxa"/>
            <w:vAlign w:val="bottom"/>
          </w:tcPr>
          <w:p>
            <w:pPr>
              <w:ind w:left="80"/>
              <w:spacing w:after="0"/>
              <w:rPr>
                <w:sz w:val="20"/>
                <w:szCs w:val="20"/>
                <w:color w:val="auto"/>
              </w:rPr>
            </w:pPr>
            <w:r>
              <w:rPr>
                <w:rFonts w:ascii="Arial" w:cs="Arial" w:eastAsia="Arial" w:hAnsi="Arial"/>
                <w:sz w:val="14"/>
                <w:szCs w:val="14"/>
                <w:b w:val="1"/>
                <w:bCs w:val="1"/>
                <w:color w:val="auto"/>
              </w:rPr>
              <w:t xml:space="preserve">Portfolio Value </w:t>
            </w:r>
            <w:r>
              <w:rPr>
                <w:rFonts w:ascii="Arial" w:cs="Arial" w:eastAsia="Arial" w:hAnsi="Arial"/>
                <w:sz w:val="8"/>
                <w:szCs w:val="8"/>
                <w:b w:val="1"/>
                <w:bCs w:val="1"/>
                <w:color w:val="auto"/>
              </w:rPr>
              <w:t>(2)</w:t>
            </w:r>
          </w:p>
        </w:tc>
        <w:tc>
          <w:tcPr>
            <w:tcW w:w="1300" w:type="dxa"/>
            <w:vAlign w:val="bottom"/>
          </w:tcPr>
          <w:p>
            <w:pPr>
              <w:ind w:left="120"/>
              <w:spacing w:after="0"/>
              <w:rPr>
                <w:sz w:val="20"/>
                <w:szCs w:val="20"/>
                <w:color w:val="auto"/>
              </w:rPr>
            </w:pPr>
            <w:r>
              <w:rPr>
                <w:rFonts w:ascii="Arial" w:cs="Arial" w:eastAsia="Arial" w:hAnsi="Arial"/>
                <w:sz w:val="14"/>
                <w:szCs w:val="14"/>
                <w:b w:val="1"/>
                <w:bCs w:val="1"/>
                <w:color w:val="auto"/>
                <w:w w:val="97"/>
              </w:rPr>
              <w:t xml:space="preserve">Net Asset Value </w:t>
            </w:r>
            <w:r>
              <w:rPr>
                <w:rFonts w:ascii="Arial" w:cs="Arial" w:eastAsia="Arial" w:hAnsi="Arial"/>
                <w:sz w:val="8"/>
                <w:szCs w:val="8"/>
                <w:b w:val="1"/>
                <w:bCs w:val="1"/>
                <w:color w:val="auto"/>
                <w:w w:val="97"/>
              </w:rPr>
              <w:t>(2)</w:t>
            </w:r>
          </w:p>
        </w:tc>
        <w:tc>
          <w:tcPr>
            <w:tcW w:w="0" w:type="dxa"/>
            <w:vAlign w:val="bottom"/>
          </w:tcPr>
          <w:p>
            <w:pPr>
              <w:spacing w:after="0"/>
              <w:rPr>
                <w:sz w:val="1"/>
                <w:szCs w:val="1"/>
                <w:color w:val="auto"/>
              </w:rPr>
            </w:pPr>
          </w:p>
        </w:tc>
      </w:tr>
      <w:tr>
        <w:trPr>
          <w:trHeight w:val="104"/>
        </w:trPr>
        <w:tc>
          <w:tcPr>
            <w:tcW w:w="2380" w:type="dxa"/>
            <w:vAlign w:val="bottom"/>
            <w:gridSpan w:val="3"/>
            <w:vMerge w:val="continue"/>
          </w:tcPr>
          <w:p>
            <w:pPr>
              <w:spacing w:after="0"/>
              <w:rPr>
                <w:sz w:val="9"/>
                <w:szCs w:val="9"/>
                <w:color w:val="auto"/>
              </w:rPr>
            </w:pPr>
          </w:p>
        </w:tc>
        <w:tc>
          <w:tcPr>
            <w:tcW w:w="1320" w:type="dxa"/>
            <w:vAlign w:val="bottom"/>
          </w:tcPr>
          <w:p>
            <w:pPr>
              <w:jc w:val="center"/>
              <w:spacing w:after="0"/>
              <w:rPr>
                <w:sz w:val="20"/>
                <w:szCs w:val="20"/>
                <w:color w:val="auto"/>
              </w:rPr>
            </w:pPr>
            <w:r>
              <w:rPr>
                <w:rFonts w:ascii="Arial" w:cs="Arial" w:eastAsia="Arial" w:hAnsi="Arial"/>
                <w:sz w:val="9"/>
                <w:szCs w:val="9"/>
                <w:b w:val="1"/>
                <w:bCs w:val="1"/>
                <w:color w:val="auto"/>
              </w:rPr>
              <w:t>(1)</w:t>
            </w:r>
          </w:p>
        </w:tc>
        <w:tc>
          <w:tcPr>
            <w:tcW w:w="100" w:type="dxa"/>
            <w:vAlign w:val="bottom"/>
          </w:tcPr>
          <w:p>
            <w:pPr>
              <w:spacing w:after="0"/>
              <w:rPr>
                <w:sz w:val="9"/>
                <w:szCs w:val="9"/>
                <w:color w:val="auto"/>
              </w:rPr>
            </w:pPr>
          </w:p>
        </w:tc>
        <w:tc>
          <w:tcPr>
            <w:tcW w:w="1280" w:type="dxa"/>
            <w:vAlign w:val="bottom"/>
          </w:tcPr>
          <w:p>
            <w:pPr>
              <w:jc w:val="center"/>
              <w:spacing w:after="0"/>
              <w:rPr>
                <w:sz w:val="20"/>
                <w:szCs w:val="20"/>
                <w:color w:val="auto"/>
              </w:rPr>
            </w:pPr>
            <w:r>
              <w:rPr>
                <w:rFonts w:ascii="Arial" w:cs="Arial" w:eastAsia="Arial" w:hAnsi="Arial"/>
                <w:sz w:val="9"/>
                <w:szCs w:val="9"/>
                <w:b w:val="1"/>
                <w:bCs w:val="1"/>
                <w:color w:val="auto"/>
                <w:w w:val="90"/>
              </w:rPr>
              <w:t>(3)</w:t>
            </w:r>
          </w:p>
        </w:tc>
        <w:tc>
          <w:tcPr>
            <w:tcW w:w="1300" w:type="dxa"/>
            <w:vAlign w:val="bottom"/>
          </w:tcPr>
          <w:p>
            <w:pPr>
              <w:jc w:val="center"/>
              <w:spacing w:after="0"/>
              <w:rPr>
                <w:sz w:val="20"/>
                <w:szCs w:val="20"/>
                <w:color w:val="auto"/>
              </w:rPr>
            </w:pPr>
            <w:r>
              <w:rPr>
                <w:rFonts w:ascii="Arial" w:cs="Arial" w:eastAsia="Arial" w:hAnsi="Arial"/>
                <w:sz w:val="9"/>
                <w:szCs w:val="9"/>
                <w:b w:val="1"/>
                <w:bCs w:val="1"/>
                <w:color w:val="auto"/>
                <w:w w:val="90"/>
              </w:rPr>
              <w:t>(4)</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1480" w:type="dxa"/>
            <w:vAlign w:val="bottom"/>
            <w:tcBorders>
              <w:top w:val="single" w:sz="8" w:color="auto"/>
              <w:bottom w:val="single" w:sz="8" w:color="CCEEFF"/>
            </w:tcBorders>
          </w:tcPr>
          <w:p>
            <w:pPr>
              <w:spacing w:after="0" w:line="20" w:lineRule="exact"/>
              <w:rPr>
                <w:sz w:val="1"/>
                <w:szCs w:val="1"/>
                <w:color w:val="auto"/>
              </w:rPr>
            </w:pPr>
          </w:p>
        </w:tc>
        <w:tc>
          <w:tcPr>
            <w:tcW w:w="88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23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+100 Basis Points</w:t>
            </w:r>
          </w:p>
        </w:tc>
        <w:tc>
          <w:tcPr>
            <w:tcW w:w="13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-6.5%</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-0.40%</w:t>
            </w:r>
          </w:p>
        </w:tc>
        <w:tc>
          <w:tcPr>
            <w:tcW w:w="13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-3.36%</w:t>
            </w:r>
          </w:p>
        </w:tc>
        <w:tc>
          <w:tcPr>
            <w:tcW w:w="0" w:type="dxa"/>
            <w:vAlign w:val="bottom"/>
          </w:tcPr>
          <w:p>
            <w:pPr>
              <w:spacing w:after="0"/>
              <w:rPr>
                <w:sz w:val="1"/>
                <w:szCs w:val="1"/>
                <w:color w:val="auto"/>
              </w:rPr>
            </w:pPr>
          </w:p>
        </w:tc>
      </w:tr>
      <w:tr>
        <w:trPr>
          <w:trHeight w:val="243"/>
        </w:trPr>
        <w:tc>
          <w:tcPr>
            <w:tcW w:w="2380" w:type="dxa"/>
            <w:vAlign w:val="bottom"/>
            <w:gridSpan w:val="3"/>
          </w:tcPr>
          <w:p>
            <w:pPr>
              <w:ind w:left="20"/>
              <w:spacing w:after="0"/>
              <w:rPr>
                <w:sz w:val="20"/>
                <w:szCs w:val="20"/>
                <w:color w:val="auto"/>
              </w:rPr>
            </w:pPr>
            <w:r>
              <w:rPr>
                <w:rFonts w:ascii="Arial" w:cs="Arial" w:eastAsia="Arial" w:hAnsi="Arial"/>
                <w:sz w:val="18"/>
                <w:szCs w:val="18"/>
                <w:color w:val="auto"/>
              </w:rPr>
              <w:t>+50 Basis Points</w:t>
            </w:r>
          </w:p>
        </w:tc>
        <w:tc>
          <w:tcPr>
            <w:tcW w:w="1320" w:type="dxa"/>
            <w:vAlign w:val="bottom"/>
          </w:tcPr>
          <w:p>
            <w:pPr>
              <w:jc w:val="center"/>
              <w:spacing w:after="0"/>
              <w:rPr>
                <w:sz w:val="20"/>
                <w:szCs w:val="20"/>
                <w:color w:val="auto"/>
              </w:rPr>
            </w:pPr>
            <w:r>
              <w:rPr>
                <w:rFonts w:ascii="Arial" w:cs="Arial" w:eastAsia="Arial" w:hAnsi="Arial"/>
                <w:sz w:val="18"/>
                <w:szCs w:val="18"/>
                <w:color w:val="auto"/>
                <w:w w:val="93"/>
              </w:rPr>
              <w:t>-0.7%</w:t>
            </w:r>
          </w:p>
        </w:tc>
        <w:tc>
          <w:tcPr>
            <w:tcW w:w="100" w:type="dxa"/>
            <w:vAlign w:val="bottom"/>
          </w:tcPr>
          <w:p>
            <w:pPr>
              <w:spacing w:after="0"/>
              <w:rPr>
                <w:sz w:val="21"/>
                <w:szCs w:val="21"/>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4"/>
              </w:rPr>
              <w:t>+0.07%</w:t>
            </w:r>
          </w:p>
        </w:tc>
        <w:tc>
          <w:tcPr>
            <w:tcW w:w="1300" w:type="dxa"/>
            <w:vAlign w:val="bottom"/>
          </w:tcPr>
          <w:p>
            <w:pPr>
              <w:jc w:val="center"/>
              <w:spacing w:after="0"/>
              <w:rPr>
                <w:sz w:val="20"/>
                <w:szCs w:val="20"/>
                <w:color w:val="auto"/>
              </w:rPr>
            </w:pPr>
            <w:r>
              <w:rPr>
                <w:rFonts w:ascii="Arial" w:cs="Arial" w:eastAsia="Arial" w:hAnsi="Arial"/>
                <w:sz w:val="18"/>
                <w:szCs w:val="18"/>
                <w:color w:val="auto"/>
                <w:w w:val="90"/>
              </w:rPr>
              <w:t>+0.57%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-50 Basis Points</w:t>
            </w:r>
          </w:p>
        </w:tc>
        <w:tc>
          <w:tcPr>
            <w:tcW w:w="13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-2.1%</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-0.60%</w:t>
            </w:r>
          </w:p>
        </w:tc>
        <w:tc>
          <w:tcPr>
            <w:tcW w:w="13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1"/>
              </w:rPr>
              <w:t>-5.00%</w:t>
            </w:r>
          </w:p>
        </w:tc>
        <w:tc>
          <w:tcPr>
            <w:tcW w:w="0" w:type="dxa"/>
            <w:vAlign w:val="bottom"/>
          </w:tcPr>
          <w:p>
            <w:pPr>
              <w:spacing w:after="0"/>
              <w:rPr>
                <w:sz w:val="1"/>
                <w:szCs w:val="1"/>
                <w:color w:val="auto"/>
              </w:rPr>
            </w:pPr>
          </w:p>
        </w:tc>
      </w:tr>
      <w:tr>
        <w:trPr>
          <w:trHeight w:val="243"/>
        </w:trPr>
        <w:tc>
          <w:tcPr>
            <w:tcW w:w="2380" w:type="dxa"/>
            <w:vAlign w:val="bottom"/>
            <w:gridSpan w:val="3"/>
          </w:tcPr>
          <w:p>
            <w:pPr>
              <w:ind w:left="20"/>
              <w:spacing w:after="0"/>
              <w:rPr>
                <w:sz w:val="20"/>
                <w:szCs w:val="20"/>
                <w:color w:val="auto"/>
              </w:rPr>
            </w:pPr>
            <w:r>
              <w:rPr>
                <w:rFonts w:ascii="Arial" w:cs="Arial" w:eastAsia="Arial" w:hAnsi="Arial"/>
                <w:sz w:val="18"/>
                <w:szCs w:val="18"/>
                <w:color w:val="auto"/>
              </w:rPr>
              <w:t>-100 Basis Points</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-19.2%</w:t>
            </w:r>
          </w:p>
        </w:tc>
        <w:tc>
          <w:tcPr>
            <w:tcW w:w="100" w:type="dxa"/>
            <w:vAlign w:val="bottom"/>
          </w:tcPr>
          <w:p>
            <w:pPr>
              <w:spacing w:after="0"/>
              <w:rPr>
                <w:sz w:val="21"/>
                <w:szCs w:val="21"/>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4"/>
              </w:rPr>
              <w:t>-1.34%</w:t>
            </w:r>
          </w:p>
        </w:tc>
        <w:tc>
          <w:tcPr>
            <w:tcW w:w="1300" w:type="dxa"/>
            <w:vAlign w:val="bottom"/>
          </w:tcPr>
          <w:p>
            <w:pPr>
              <w:jc w:val="center"/>
              <w:spacing w:after="0"/>
              <w:rPr>
                <w:sz w:val="20"/>
                <w:szCs w:val="20"/>
                <w:color w:val="auto"/>
              </w:rPr>
            </w:pPr>
            <w:r>
              <w:rPr>
                <w:rFonts w:ascii="Arial" w:cs="Arial" w:eastAsia="Arial" w:hAnsi="Arial"/>
                <w:sz w:val="18"/>
                <w:szCs w:val="18"/>
                <w:color w:val="auto"/>
                <w:w w:val="92"/>
              </w:rPr>
              <w:t>-11.14%</w:t>
            </w:r>
          </w:p>
        </w:tc>
        <w:tc>
          <w:tcPr>
            <w:tcW w:w="0" w:type="dxa"/>
            <w:vAlign w:val="bottom"/>
          </w:tcPr>
          <w:p>
            <w:pPr>
              <w:spacing w:after="0"/>
              <w:rPr>
                <w:sz w:val="1"/>
                <w:szCs w:val="1"/>
                <w:color w:val="auto"/>
              </w:rPr>
            </w:pPr>
          </w:p>
        </w:tc>
      </w:tr>
    </w:tbl>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w:t>
      </w:r>
    </w:p>
    <w:p>
      <w:pPr>
        <w:spacing w:after="0" w:line="17" w:lineRule="exact"/>
        <w:rPr>
          <w:sz w:val="20"/>
          <w:szCs w:val="20"/>
          <w:color w:val="auto"/>
        </w:rPr>
      </w:pPr>
    </w:p>
    <w:p>
      <w:pPr>
        <w:jc w:val="both"/>
        <w:ind w:left="660" w:hanging="328"/>
        <w:spacing w:after="0" w:line="241"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Estimated dollar change in net interest income expressed as a percent of net interest income based on asset yields and cost of funds as of September 30, 2012. Includes the effect of periodic interest costs on our interest rate swaps that are not designated as hedges under U.S. GAAP, but excludes costs associated with our other supplemental hedges, such as swaptions and short U.S. Treasury or TBA positions. Base case scenario assumes a forecasted CPR of 14% as of September 30, 2012. Rate shock scenarios assume a forecasted CPR of 8%, 10%, 19% and 24% for the +100 basis points, +50 basis points, - 50 basis points and -100 basis points scenarios, respectively. Estimated dollar change in net interest income does not include the one time impact of retroactive "catch-up" premium amortization benefit/cost due to an increase/decrease in the forecasted CPR. Down rate scenarios assume a floor of 0% for anticipated interest rates.</w:t>
      </w:r>
    </w:p>
    <w:p>
      <w:pPr>
        <w:spacing w:after="0" w:line="2"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economic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market value of our investment portfolio as of September 30, 2012.</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3"/>
          <w:szCs w:val="13"/>
          <w:color w:val="auto"/>
        </w:rPr>
      </w:pPr>
      <w:r>
        <w:rPr>
          <w:rFonts w:ascii="Arial" w:cs="Arial" w:eastAsia="Arial" w:hAnsi="Arial"/>
          <w:sz w:val="13"/>
          <w:szCs w:val="13"/>
          <w:color w:val="auto"/>
        </w:rPr>
        <w:t>Estimated dollar change in portfolio value expressed as a percent of stockholders' equity, net of the Series A Preferred Stock liquidation preference, as of September 30, 2012.</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Premiums and discounts associated with the purchase of agency MBS are amortized or accreted into interest income over the projected lives of the securities, including contractual payments and estimated prepayments using the interest method. Changes to the GSE's underwriting standards, further modifications to existing U.S. Government sponsored programs such as HARP, or the implementation of new programs could materially impact prepayment speeds. In addition, GSE buyouts of loans in imminent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746" w:right="239" w:bottom="1440" w:gutter="0" w:footer="0" w:header="0"/>
        </w:sectPr>
      </w:pPr>
    </w:p>
    <w:bookmarkStart w:id="44" w:name="page45"/>
    <w:bookmarkEnd w:id="44"/>
    <w:p>
      <w:pPr>
        <w:jc w:val="both"/>
        <w:spacing w:after="0" w:line="257" w:lineRule="auto"/>
        <w:rPr>
          <w:sz w:val="20"/>
          <w:szCs w:val="20"/>
          <w:color w:val="auto"/>
        </w:rPr>
      </w:pPr>
      <w:r>
        <w:rPr>
          <w:rFonts w:ascii="Arial" w:cs="Arial" w:eastAsia="Arial" w:hAnsi="Arial"/>
          <w:sz w:val="18"/>
          <w:szCs w:val="18"/>
          <w:color w:val="auto"/>
        </w:rPr>
        <w:t>risk of default, loans that have been modified, or loans that have defaulted will generally be reflected as prepayments on agency securities and also increase the uncertainty around these estimates. Our policy for estimating prepayment speeds for calculating the effective yield is to evaluate published prepayment data for similar agency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Our available-for-sale securities are reflected at their estimated fair value with unrealized gains and losses excluded from earnings and reported in OCI. As of September 30, 2012, the fair value of these securities was $89.6 billion. When the market spread between the yield on our agency securities and U.S. Treasury securities or swap rates widens, the value of our agency securities and/or our net book value could decline, creating what we refer to as spread risk. The spread risk associated with our agency securities and the resulting fluctuations in fair value of these securities can occur independent of interest rates and may relate to other factors impacting the mortgage and fixed income markets such as liquidity or changes in required rates of return on different assets.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The primary liquidity risk for us arises from financing long-term assets with shorter-term borrowings through repurchase agreements. Our assets that are pledged to secure repurchase agreements are agency securities and cash. As of September 30, 2012, we had unrestricted cash and cash equivalents of $2.6 billion and unpledged agency securities of $4.0 billion available to meet margin calls on our repurchase agreements, derivative instruments and for other corporate purposes. However, should the value of our agency securities pledged as collateral suddenly decrease, margin calls relating to our repurchase agreements could increase, causing an adverse change in our liquidity position. As such, there is no assurance that we will always be able to renew (or roll) our repurchase agreements. In addition, our counterparties have the option to increase our haircuts (margin requirements) on the assets we pledge against repurchase agreements, thereby reducing the amount that can be borrowed against an asset even if they agree to renew or roll the repurchase agreement. Significantly higher haircuts can reduce our ability to leverage our portfolio or even force us to sell assets, especially if correlated with asset price declines or faster prepayment rates on our assets.</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projected weighted-average life and the duration (or interest rate sensitivity) of our investments is based on our Manager’s assumptions regarding the rate at which the borrowers will prepay the underlying mortgage loans. In general, we use interest rate swaps and swaptions to help manage our funding cost on our investments in the event that interest rates rise. These swaps (or swaptions) allow us to reduce our funding exposure on the notional amount of the swap for a specified period of time by establishing a fixed-rate to pay in exchange for receiving a floating rate that generally tracks our financing costs under our repurchase agreements.</w:t>
      </w:r>
    </w:p>
    <w:p>
      <w:pPr>
        <w:spacing w:after="0" w:line="13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However, if prepayment rates decrease in a rising interest rate environment, the average life or duration of our fixed-rate assets or the fixed-rate portion of the ARMs or other assets generally extends. This could have a negative impact on our results from operations, as our interest rate swap maturities are fixed and will, therefore, cover a smaller percentage of our funding exposure on our mortgage assets to the extent that their average lives increase due to slower prepayments. This situation may also cause the market value of our agency securities collateralized by fixed rate mortgages or hybrid ARMs to decline by more than otherwise would be the case while most of our hedging instruments (with the exception of short TBA mortgage positions, interest-only securities, Markit IOS Index total return swaps and certain other supplemental hedging instruments) would not receive any incremental offsetting gains. In extreme situations, we may be forced to sell assets to maintain adequate liquidity, which could cause us to incur realized losses.</w:t>
      </w:r>
    </w:p>
    <w:p>
      <w:pPr>
        <w:spacing w:after="0" w:line="3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Controls and Procedures</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Securities Exchange Act of 1934, as amended (the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 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2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746" w:right="239" w:bottom="1440" w:gutter="0" w:footer="0" w:header="0"/>
        </w:sectPr>
      </w:pPr>
    </w:p>
    <w:bookmarkStart w:id="45" w:name="page46"/>
    <w:bookmarkEnd w:id="45"/>
    <w:p>
      <w:pPr>
        <w:jc w:val="both"/>
        <w:spacing w:after="0" w:line="277" w:lineRule="auto"/>
        <w:rPr>
          <w:sz w:val="20"/>
          <w:szCs w:val="20"/>
          <w:color w:val="auto"/>
        </w:rPr>
      </w:pPr>
      <w:r>
        <w:rPr>
          <w:rFonts w:ascii="Arial" w:cs="Arial" w:eastAsia="Arial" w:hAnsi="Arial"/>
          <w:sz w:val="18"/>
          <w:szCs w:val="18"/>
          <w:color w:val="auto"/>
        </w:rPr>
        <w:t>of our disclosure controls and procedures as of September 30, 2012. Based on the foregoing, our Chief Executive Officer and Chief Financial Officer concluded that our disclosure controls and procedures were effective.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Controls over Financial Reporting</w:t>
      </w:r>
    </w:p>
    <w:p>
      <w:pPr>
        <w:spacing w:after="0" w:line="90" w:lineRule="exact"/>
        <w:rPr>
          <w:sz w:val="20"/>
          <w:szCs w:val="20"/>
          <w:color w:val="auto"/>
        </w:rPr>
      </w:pPr>
    </w:p>
    <w:p>
      <w:pPr>
        <w:jc w:val="both"/>
        <w:ind w:right="20" w:firstLine="432"/>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Legal Proceedings</w:t>
      </w:r>
    </w:p>
    <w:p>
      <w:pPr>
        <w:spacing w:after="0" w:line="108"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From time to time, we may be involved in various claims and legal actions arising in the ordinary course of business. As of September 30, 2012, we had no legal proceedings.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243" w:lineRule="exact"/>
        <w:rPr>
          <w:sz w:val="20"/>
          <w:szCs w:val="20"/>
          <w:color w:val="auto"/>
        </w:rPr>
      </w:pPr>
    </w:p>
    <w:p>
      <w:pPr>
        <w:ind w:right="420" w:firstLine="432"/>
        <w:spacing w:after="0" w:line="277" w:lineRule="auto"/>
        <w:rPr>
          <w:sz w:val="20"/>
          <w:szCs w:val="20"/>
          <w:color w:val="auto"/>
        </w:rPr>
      </w:pPr>
      <w:r>
        <w:rPr>
          <w:rFonts w:ascii="Arial" w:cs="Arial" w:eastAsia="Arial" w:hAnsi="Arial"/>
          <w:sz w:val="18"/>
          <w:szCs w:val="18"/>
          <w:color w:val="auto"/>
        </w:rPr>
        <w:t>There have been no material changes to the risk factors previously disclosed in our Annual Report on Form 10-K for the year ended December 31, 2011, except as described below.</w:t>
      </w:r>
    </w:p>
    <w:p>
      <w:pPr>
        <w:spacing w:after="0" w:line="3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You should carefully consider the risks described below and all other information contained in this interim report on Form 10-Q, including our interim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 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25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Purchases and sales of agency securities by the Federal Reserve may adversely affect the price and return associated with agency mortgage-backed securities</w:t>
      </w:r>
    </w:p>
    <w:p>
      <w:pPr>
        <w:spacing w:after="0" w:line="116"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On September 13, 2012, the Federal Reserve announced their third quantitative easing program, commonly known as QE3, and extended their guidance to keep the federal funds rate at "exceptional low levels" through at least mid-2015. QE3 entails large-scale purchases of agency MBS at the pace of $40 billion per month in addition to the Federal Reserve's existing policy of reinvesting principal payments from its holdings of agency MBS into new agency MBS purchases. While we cannot predict the impact of this programs or any future actions by the Federal Reserve on the prices and liquidity of agency MBS, we expect that during periods in which the Federal Reserve purchases significant volumes of agency MBS, yields on agency MBS securities will be lower and refinancing volumes will be higher than would have been absent their large scale purchases. As a result, returns on agency MBS may be adversely affected. There is also a risk that as the Federal Reserve reduces their purchases of agency MBS or if they decide to sell some or all of their holdings of agency MBS, the pricing of our agency MBS portfolio may be adversely affected.</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Unregistered Sales of Equity Securities and Use of Proceeds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Defaults Upon Senior Securities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Other Information</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16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27" w:lineRule="exact"/>
        <w:rPr>
          <w:sz w:val="20"/>
          <w:szCs w:val="20"/>
          <w:color w:val="auto"/>
        </w:rPr>
      </w:pPr>
    </w:p>
    <w:p>
      <w:pPr>
        <w:ind w:left="880" w:hanging="467"/>
        <w:spacing w:after="0"/>
        <w:tabs>
          <w:tab w:leader="none" w:pos="8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Exhibits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584" w:right="239" w:bottom="1440" w:gutter="0" w:footer="0" w:header="0"/>
        </w:sectPr>
      </w:pPr>
    </w:p>
    <w:bookmarkStart w:id="46" w:name="page47"/>
    <w:bookmarkEnd w:id="46"/>
    <w:p>
      <w:pPr>
        <w:ind w:left="40"/>
        <w:spacing w:after="0"/>
        <w:tabs>
          <w:tab w:leader="none" w:pos="128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2" w:lineRule="exact"/>
        <w:rPr>
          <w:sz w:val="20"/>
          <w:szCs w:val="20"/>
          <w:color w:val="auto"/>
        </w:rPr>
      </w:pPr>
    </w:p>
    <w:p>
      <w:pPr>
        <w:ind w:left="1300" w:right="420" w:hanging="449"/>
        <w:spacing w:after="0" w:line="277" w:lineRule="auto"/>
        <w:rPr>
          <w:sz w:val="20"/>
          <w:szCs w:val="20"/>
          <w:color w:val="auto"/>
        </w:rPr>
      </w:pPr>
      <w:r>
        <w:rPr>
          <w:rFonts w:ascii="Arial" w:cs="Arial" w:eastAsia="Arial" w:hAnsi="Arial"/>
          <w:sz w:val="18"/>
          <w:szCs w:val="18"/>
          <w:color w:val="auto"/>
        </w:rPr>
        <w:t>*3.1 American Capital Agency Corp. Amended and Restated Certificate of Incorporation, as amended, incorporated herein by reference to Exhibit 3.1 of Form 10-Q (File No. 001-34057), filed May 9, 2012.</w:t>
      </w:r>
    </w:p>
    <w:p>
      <w:pPr>
        <w:spacing w:after="0" w:line="130" w:lineRule="exact"/>
        <w:rPr>
          <w:sz w:val="20"/>
          <w:szCs w:val="20"/>
          <w:color w:val="auto"/>
        </w:rPr>
      </w:pPr>
    </w:p>
    <w:p>
      <w:pPr>
        <w:ind w:left="1300" w:right="260" w:hanging="449"/>
        <w:spacing w:after="0" w:line="277" w:lineRule="auto"/>
        <w:rPr>
          <w:sz w:val="20"/>
          <w:szCs w:val="20"/>
          <w:color w:val="auto"/>
        </w:rPr>
      </w:pPr>
      <w:r>
        <w:rPr>
          <w:rFonts w:ascii="Arial" w:cs="Arial" w:eastAsia="Arial" w:hAnsi="Arial"/>
          <w:sz w:val="18"/>
          <w:szCs w:val="18"/>
          <w:color w:val="auto"/>
        </w:rPr>
        <w:t>*3.2 American Capital Agency Corp. Second Amended and Restated Bylaws, as amended, incorporated herein by reference to Exhibit 3.2 of Form 10-K (File No. 001-34057), filed February 23, 2012.</w:t>
      </w:r>
    </w:p>
    <w:p>
      <w:pPr>
        <w:spacing w:after="0" w:line="130" w:lineRule="exact"/>
        <w:rPr>
          <w:sz w:val="20"/>
          <w:szCs w:val="20"/>
          <w:color w:val="auto"/>
        </w:rPr>
      </w:pPr>
    </w:p>
    <w:p>
      <w:pPr>
        <w:ind w:left="1300" w:hanging="449"/>
        <w:spacing w:after="0" w:line="277" w:lineRule="auto"/>
        <w:rPr>
          <w:sz w:val="20"/>
          <w:szCs w:val="20"/>
          <w:color w:val="auto"/>
        </w:rPr>
      </w:pPr>
      <w:r>
        <w:rPr>
          <w:rFonts w:ascii="Arial" w:cs="Arial" w:eastAsia="Arial" w:hAnsi="Arial"/>
          <w:sz w:val="18"/>
          <w:szCs w:val="18"/>
          <w:color w:val="auto"/>
        </w:rPr>
        <w:t>*3.3 Certificate of Designations of 8.000% Series A Cumulative Redeemable Preferred Stock, incorporated herein by reference to Exhibit 3.1 of Form 8-K (File No 001-34057), filed April 3, 2012.</w:t>
      </w:r>
    </w:p>
    <w:p>
      <w:pPr>
        <w:spacing w:after="0" w:line="130" w:lineRule="exact"/>
        <w:rPr>
          <w:sz w:val="20"/>
          <w:szCs w:val="20"/>
          <w:color w:val="auto"/>
        </w:rPr>
      </w:pPr>
    </w:p>
    <w:p>
      <w:pPr>
        <w:ind w:left="1300" w:right="560" w:hanging="449"/>
        <w:spacing w:after="0" w:line="308" w:lineRule="auto"/>
        <w:rPr>
          <w:sz w:val="20"/>
          <w:szCs w:val="20"/>
          <w:color w:val="auto"/>
        </w:rPr>
      </w:pPr>
      <w:r>
        <w:rPr>
          <w:rFonts w:ascii="Arial" w:cs="Arial" w:eastAsia="Arial" w:hAnsi="Arial"/>
          <w:sz w:val="17"/>
          <w:szCs w:val="17"/>
          <w:color w:val="auto"/>
        </w:rPr>
        <w:t>*4.1 Instruments defining the rights of holders of securities: See Article IV of our Amended and Restated Certificate of Incorporation, as amended, incorporated herein by reference to Exhibit 3.1 of Form 10-Q (File No. 001-34057), filed May 9, 2012.</w:t>
      </w:r>
    </w:p>
    <w:p>
      <w:pPr>
        <w:spacing w:after="0" w:line="106" w:lineRule="exact"/>
        <w:rPr>
          <w:sz w:val="20"/>
          <w:szCs w:val="20"/>
          <w:color w:val="auto"/>
        </w:rPr>
      </w:pPr>
    </w:p>
    <w:p>
      <w:pPr>
        <w:ind w:left="1300" w:right="680" w:hanging="449"/>
        <w:spacing w:after="0" w:line="308" w:lineRule="auto"/>
        <w:rPr>
          <w:sz w:val="20"/>
          <w:szCs w:val="20"/>
          <w:color w:val="auto"/>
        </w:rPr>
      </w:pPr>
      <w:r>
        <w:rPr>
          <w:rFonts w:ascii="Arial" w:cs="Arial" w:eastAsia="Arial" w:hAnsi="Arial"/>
          <w:sz w:val="17"/>
          <w:szCs w:val="17"/>
          <w:color w:val="auto"/>
        </w:rPr>
        <w:t>*4.2 Instruments defining the rights of holders of securities: See Article VI of our Second Amended and Restated Bylaws, as amended, incorporated herein by reference to Exhibit 3.2 of Form 10-K (File No. 001-34057), filed February 23, 2012.</w:t>
      </w:r>
    </w:p>
    <w:p>
      <w:pPr>
        <w:spacing w:after="0" w:line="106" w:lineRule="exact"/>
        <w:rPr>
          <w:sz w:val="20"/>
          <w:szCs w:val="20"/>
          <w:color w:val="auto"/>
        </w:rPr>
      </w:pPr>
    </w:p>
    <w:p>
      <w:pPr>
        <w:ind w:left="1300" w:right="60" w:hanging="449"/>
        <w:spacing w:after="0" w:line="277" w:lineRule="auto"/>
        <w:rPr>
          <w:sz w:val="20"/>
          <w:szCs w:val="20"/>
          <w:color w:val="auto"/>
        </w:rPr>
      </w:pPr>
      <w:r>
        <w:rPr>
          <w:rFonts w:ascii="Arial" w:cs="Arial" w:eastAsia="Arial" w:hAnsi="Arial"/>
          <w:sz w:val="18"/>
          <w:szCs w:val="18"/>
          <w:color w:val="auto"/>
        </w:rPr>
        <w:t>*4.3 Form of Certificate for Common Stock, incorporated herein by reference to Exhibit 4.1 to Amendment No. 4 to the Registration Statement on Form S-11 (Registration No. 333-149167), filed May 9, 2008.</w:t>
      </w:r>
    </w:p>
    <w:p>
      <w:pPr>
        <w:spacing w:after="0" w:line="130" w:lineRule="exact"/>
        <w:rPr>
          <w:sz w:val="20"/>
          <w:szCs w:val="20"/>
          <w:color w:val="auto"/>
        </w:rPr>
      </w:pPr>
    </w:p>
    <w:p>
      <w:pPr>
        <w:ind w:left="1300" w:hanging="449"/>
        <w:spacing w:after="0" w:line="277" w:lineRule="auto"/>
        <w:rPr>
          <w:sz w:val="20"/>
          <w:szCs w:val="20"/>
          <w:color w:val="auto"/>
        </w:rPr>
      </w:pPr>
      <w:r>
        <w:rPr>
          <w:rFonts w:ascii="Arial" w:cs="Arial" w:eastAsia="Arial" w:hAnsi="Arial"/>
          <w:sz w:val="18"/>
          <w:szCs w:val="18"/>
          <w:color w:val="auto"/>
        </w:rPr>
        <w:t>*4.4 Specimen 8.000% Series A Cumulative Redeemable Preferred Stock Certificate, incorporated herein by reference to Exhibit 4.1 of Form 8-K (File No. 001-34057), filed April 3, 2012.</w:t>
      </w:r>
    </w:p>
    <w:p>
      <w:pPr>
        <w:spacing w:after="0" w:line="130" w:lineRule="exact"/>
        <w:rPr>
          <w:sz w:val="20"/>
          <w:szCs w:val="20"/>
          <w:color w:val="auto"/>
        </w:rPr>
      </w:pPr>
    </w:p>
    <w:p>
      <w:pPr>
        <w:ind w:left="840"/>
        <w:spacing w:after="0"/>
        <w:rPr>
          <w:sz w:val="20"/>
          <w:szCs w:val="20"/>
          <w:color w:val="auto"/>
        </w:rPr>
      </w:pPr>
      <w:r>
        <w:rPr>
          <w:rFonts w:ascii="Arial" w:cs="Arial" w:eastAsia="Arial" w:hAnsi="Arial"/>
          <w:sz w:val="18"/>
          <w:szCs w:val="18"/>
          <w:color w:val="auto"/>
        </w:rPr>
        <w:t>31.1  Certification of CEO Pursuant to Section 302(a) of the Sarbanes-Oxley Act of 2002.</w:t>
      </w:r>
    </w:p>
    <w:p>
      <w:pPr>
        <w:spacing w:after="0" w:line="18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31.2  Certification of CFO Pursuant to Section 302(a) of the Sarbanes-Oxley Act of 2002.</w:t>
      </w:r>
    </w:p>
    <w:p>
      <w:pPr>
        <w:spacing w:after="0" w:line="185" w:lineRule="exact"/>
        <w:rPr>
          <w:sz w:val="20"/>
          <w:szCs w:val="20"/>
          <w:color w:val="auto"/>
        </w:rPr>
      </w:pPr>
    </w:p>
    <w:p>
      <w:pPr>
        <w:ind w:left="380" w:right="3480" w:firstLine="596"/>
        <w:spacing w:after="0" w:line="454" w:lineRule="auto"/>
        <w:tabs>
          <w:tab w:leader="none" w:pos="13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Certification of CEO and CFO Pursuant to Section 906 of the Sarbanes-Oxley Act of 2002. 101.INS** XBRL Instance Document</w:t>
      </w:r>
    </w:p>
    <w:p>
      <w:pPr>
        <w:ind w:left="320"/>
        <w:spacing w:after="0"/>
        <w:rPr>
          <w:sz w:val="20"/>
          <w:szCs w:val="20"/>
          <w:color w:val="auto"/>
        </w:rPr>
      </w:pPr>
      <w:r>
        <w:rPr>
          <w:rFonts w:ascii="Arial" w:cs="Arial" w:eastAsia="Arial" w:hAnsi="Arial"/>
          <w:sz w:val="18"/>
          <w:szCs w:val="18"/>
          <w:color w:val="auto"/>
        </w:rPr>
        <w:t>101.SCH**  XBRL Taxonomy Extension Schema Document</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101.CAL**  XBRL Taxonomy Extension Calculation Linkbase Document</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101.LAB**  XBRL Taxonomy Extension Labels Linkbase Document</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101.PRE**  XBRL Taxonomy Extension Presentation Linkbase Document</w:t>
      </w:r>
    </w:p>
    <w:p>
      <w:pPr>
        <w:spacing w:after="0" w:line="18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101.DEF**  XBRL Taxonomy Extension Definition Linkbase Document</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w:t>
      </w:r>
    </w:p>
    <w:p>
      <w:pPr>
        <w:spacing w:after="0" w:line="23" w:lineRule="exact"/>
        <w:rPr>
          <w:sz w:val="20"/>
          <w:szCs w:val="20"/>
          <w:color w:val="auto"/>
        </w:rPr>
      </w:pP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Previously filed</w:t>
      </w:r>
    </w:p>
    <w:p>
      <w:pPr>
        <w:spacing w:after="0" w:line="9" w:lineRule="exact"/>
        <w:rPr>
          <w:sz w:val="20"/>
          <w:szCs w:val="20"/>
          <w:color w:val="auto"/>
        </w:rPr>
      </w:pPr>
    </w:p>
    <w:p>
      <w:pPr>
        <w:ind w:left="660" w:right="160" w:hanging="652"/>
        <w:spacing w:after="0" w:line="261" w:lineRule="auto"/>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This exhibit is being furnished rather than filed, and shall not be deemed incorporated by reference into any filing, in accordance with Item 601 of Regulation S-K</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5" w:lineRule="exact"/>
        <w:rPr>
          <w:rFonts w:ascii="Arial" w:cs="Arial" w:eastAsia="Arial" w:hAnsi="Arial"/>
          <w:sz w:val="18"/>
          <w:szCs w:val="18"/>
          <w:color w:val="auto"/>
        </w:rPr>
      </w:pPr>
    </w:p>
    <w:p>
      <w:pPr>
        <w:ind w:left="880" w:hanging="467"/>
        <w:spacing w:after="0"/>
        <w:tabs>
          <w:tab w:leader="none" w:pos="880" w:val="left"/>
        </w:tabs>
        <w:numPr>
          <w:ilvl w:val="1"/>
          <w:numId w:val="30"/>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See the exhibits filed herewith.</w:t>
      </w:r>
    </w:p>
    <w:p>
      <w:pPr>
        <w:spacing w:after="0" w:line="210" w:lineRule="exact"/>
        <w:rPr>
          <w:rFonts w:ascii="Arial" w:cs="Arial" w:eastAsia="Arial" w:hAnsi="Arial"/>
          <w:sz w:val="18"/>
          <w:szCs w:val="18"/>
          <w:color w:val="auto"/>
        </w:rPr>
      </w:pPr>
    </w:p>
    <w:p>
      <w:pPr>
        <w:ind w:left="880" w:hanging="467"/>
        <w:spacing w:after="0"/>
        <w:tabs>
          <w:tab w:leader="none" w:pos="880" w:val="left"/>
        </w:tabs>
        <w:numPr>
          <w:ilvl w:val="1"/>
          <w:numId w:val="30"/>
        </w:numPr>
        <w:rPr>
          <w:rFonts w:ascii="Arial" w:cs="Arial" w:eastAsia="Arial" w:hAnsi="Arial"/>
          <w:sz w:val="18"/>
          <w:szCs w:val="18"/>
          <w:color w:val="auto"/>
        </w:rPr>
      </w:pPr>
      <w:r>
        <w:rPr>
          <w:rFonts w:ascii="Arial" w:cs="Arial" w:eastAsia="Arial" w:hAnsi="Arial"/>
          <w:sz w:val="18"/>
          <w:szCs w:val="18"/>
          <w:color w:val="auto"/>
        </w:rPr>
        <w:t>Additional financial statement schedules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5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340"/>
          </w:cols>
          <w:pgMar w:left="240" w:top="738" w:right="319" w:bottom="1440" w:gutter="0" w:footer="0" w:header="0"/>
        </w:sectPr>
      </w:pPr>
    </w:p>
    <w:bookmarkStart w:id="47" w:name="page48"/>
    <w:bookmarkEnd w:id="47"/>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30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185" w:lineRule="exact"/>
        <w:rPr>
          <w:sz w:val="20"/>
          <w:szCs w:val="20"/>
          <w:color w:val="auto"/>
        </w:rPr>
      </w:pPr>
    </w:p>
    <w:p>
      <w:pPr>
        <w:ind w:left="5640"/>
        <w:spacing w:after="0"/>
        <w:tabs>
          <w:tab w:leader="none" w:pos="7860" w:val="left"/>
          <w:tab w:leader="none" w:pos="8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Malon Wilkus</w:t>
      </w:r>
    </w:p>
    <w:p>
      <w:pPr>
        <w:jc w:val="center"/>
        <w:ind w:left="6180"/>
        <w:spacing w:after="0" w:line="226" w:lineRule="auto"/>
        <w:rPr>
          <w:sz w:val="20"/>
          <w:szCs w:val="20"/>
          <w:color w:val="auto"/>
        </w:rPr>
      </w:pPr>
      <w:r>
        <w:rPr>
          <w:rFonts w:ascii="Arial" w:cs="Arial" w:eastAsia="Arial" w:hAnsi="Arial"/>
          <w:sz w:val="14"/>
          <w:szCs w:val="14"/>
          <w:b w:val="1"/>
          <w:bCs w:val="1"/>
          <w:color w:val="auto"/>
        </w:rPr>
        <w:t>Chair of the Board of Directors and</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Chief Executive Officer</w:t>
      </w:r>
    </w:p>
    <w:p>
      <w:pPr>
        <w:spacing w:after="0" w:line="47"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November 7, 2012</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380"/>
          </w:cols>
          <w:pgMar w:left="240" w:top="1013" w:right="279" w:bottom="1440" w:gutter="0" w:footer="0" w:header="0"/>
        </w:sectPr>
      </w:pPr>
    </w:p>
    <w:bookmarkStart w:id="48" w:name="page49"/>
    <w:bookmarkEnd w:id="48"/>
    <w:p>
      <w:pPr>
        <w:ind w:left="10460"/>
        <w:spacing w:after="0"/>
        <w:rPr>
          <w:sz w:val="20"/>
          <w:szCs w:val="20"/>
          <w:color w:val="auto"/>
        </w:rPr>
      </w:pPr>
      <w:r>
        <w:rPr>
          <w:rFonts w:ascii="Arial" w:cs="Arial" w:eastAsia="Arial" w:hAnsi="Arial"/>
          <w:sz w:val="16"/>
          <w:szCs w:val="16"/>
          <w:b w:val="1"/>
          <w:bCs w:val="1"/>
          <w:color w:val="auto"/>
        </w:rPr>
        <w:t>Exhibit 31.1</w:t>
      </w:r>
    </w:p>
    <w:p>
      <w:pPr>
        <w:spacing w:after="0" w:line="5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American Capital Agency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158" w:lineRule="exact"/>
        <w:rPr>
          <w:sz w:val="20"/>
          <w:szCs w:val="20"/>
          <w:color w:val="auto"/>
        </w:rPr>
      </w:pPr>
    </w:p>
    <w:p>
      <w:pPr>
        <w:ind w:left="860" w:hanging="467"/>
        <w:spacing w:after="0"/>
        <w:tabs>
          <w:tab w:leader="none" w:pos="8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3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31"/>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20"/>
        <w:spacing w:after="0"/>
        <w:tabs>
          <w:tab w:leader="none" w:pos="580" w:val="left"/>
          <w:tab w:leader="none" w:pos="6420" w:val="left"/>
          <w:tab w:leader="none" w:pos="7080" w:val="left"/>
        </w:tabs>
        <w:rPr>
          <w:sz w:val="20"/>
          <w:szCs w:val="20"/>
          <w:color w:val="auto"/>
        </w:rPr>
      </w:pPr>
      <w:r>
        <w:rPr>
          <w:rFonts w:ascii="Arial" w:cs="Arial" w:eastAsia="Arial" w:hAnsi="Arial"/>
          <w:sz w:val="18"/>
          <w:szCs w:val="18"/>
          <w:color w:val="auto"/>
        </w:rPr>
        <w:t>Date:</w:t>
        <w:tab/>
        <w:t>November 7, 2012</w:t>
      </w:r>
      <w:r>
        <w:rPr>
          <w:sz w:val="20"/>
          <w:szCs w:val="20"/>
          <w:color w:val="auto"/>
        </w:rPr>
        <w:tab/>
      </w:r>
      <w:r>
        <w:rPr>
          <w:rFonts w:ascii="Arial" w:cs="Arial" w:eastAsia="Arial" w:hAnsi="Arial"/>
          <w:sz w:val="18"/>
          <w:szCs w:val="18"/>
          <w:color w:val="auto"/>
        </w:rPr>
        <w:t>By: /s/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4271645</wp:posOffset>
            </wp:positionH>
            <wp:positionV relativeFrom="paragraph">
              <wp:posOffset>31750</wp:posOffset>
            </wp:positionV>
            <wp:extent cx="29673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57"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Malon Wilkus</w:t>
      </w:r>
    </w:p>
    <w:p>
      <w:pPr>
        <w:spacing w:after="0" w:line="6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Chair of the Board</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and Chief Executive Officer</w:t>
      </w:r>
    </w:p>
    <w:p>
      <w:pPr>
        <w:sectPr>
          <w:pgSz w:w="11900" w:h="16838" w:orient="portrait"/>
          <w:cols w:equalWidth="0" w:num="1">
            <w:col w:w="11400"/>
          </w:cols>
          <w:pgMar w:left="260" w:top="580" w:right="239" w:bottom="1440" w:gutter="0" w:footer="0" w:header="0"/>
        </w:sectPr>
      </w:pPr>
    </w:p>
    <w:bookmarkStart w:id="49" w:name="page50"/>
    <w:bookmarkEnd w:id="49"/>
    <w:p>
      <w:pPr>
        <w:ind w:left="10460"/>
        <w:spacing w:after="0"/>
        <w:rPr>
          <w:sz w:val="20"/>
          <w:szCs w:val="20"/>
          <w:color w:val="auto"/>
        </w:rPr>
      </w:pPr>
      <w:r>
        <w:rPr>
          <w:rFonts w:ascii="Arial" w:cs="Arial" w:eastAsia="Arial" w:hAnsi="Arial"/>
          <w:sz w:val="16"/>
          <w:szCs w:val="16"/>
          <w:b w:val="1"/>
          <w:bCs w:val="1"/>
          <w:color w:val="auto"/>
        </w:rPr>
        <w:t>Exhibit 31.2</w:t>
      </w:r>
    </w:p>
    <w:p>
      <w:pPr>
        <w:spacing w:after="0" w:line="5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American Capital Agency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158" w:lineRule="exact"/>
        <w:rPr>
          <w:sz w:val="20"/>
          <w:szCs w:val="20"/>
          <w:color w:val="auto"/>
        </w:rPr>
      </w:pPr>
    </w:p>
    <w:p>
      <w:pPr>
        <w:ind w:left="860" w:hanging="467"/>
        <w:spacing w:after="0"/>
        <w:tabs>
          <w:tab w:leader="none" w:pos="8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3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32"/>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95" w:lineRule="exact"/>
        <w:rPr>
          <w:sz w:val="20"/>
          <w:szCs w:val="20"/>
          <w:color w:val="auto"/>
        </w:rPr>
      </w:pPr>
    </w:p>
    <w:p>
      <w:pPr>
        <w:ind w:left="20"/>
        <w:spacing w:after="0"/>
        <w:tabs>
          <w:tab w:leader="none" w:pos="580" w:val="left"/>
          <w:tab w:leader="none" w:pos="6420" w:val="left"/>
          <w:tab w:leader="none" w:pos="7080" w:val="left"/>
        </w:tabs>
        <w:rPr>
          <w:sz w:val="20"/>
          <w:szCs w:val="20"/>
          <w:color w:val="auto"/>
        </w:rPr>
      </w:pPr>
      <w:r>
        <w:rPr>
          <w:rFonts w:ascii="Arial" w:cs="Arial" w:eastAsia="Arial" w:hAnsi="Arial"/>
          <w:sz w:val="18"/>
          <w:szCs w:val="18"/>
          <w:color w:val="auto"/>
        </w:rPr>
        <w:t>Date:</w:t>
        <w:tab/>
        <w:t>November 7, 2012</w:t>
      </w:r>
      <w:r>
        <w:rPr>
          <w:sz w:val="20"/>
          <w:szCs w:val="20"/>
          <w:color w:val="auto"/>
        </w:rPr>
        <w:tab/>
      </w:r>
      <w:r>
        <w:rPr>
          <w:rFonts w:ascii="Arial" w:cs="Arial" w:eastAsia="Arial" w:hAnsi="Arial"/>
          <w:sz w:val="18"/>
          <w:szCs w:val="18"/>
          <w:color w:val="auto"/>
        </w:rPr>
        <w:t>By: /s/</w:t>
      </w:r>
      <w:r>
        <w:rPr>
          <w:sz w:val="20"/>
          <w:szCs w:val="20"/>
          <w:color w:val="auto"/>
        </w:rPr>
        <w:tab/>
      </w:r>
      <w:r>
        <w:rPr>
          <w:rFonts w:ascii="Arial" w:cs="Arial" w:eastAsia="Arial" w:hAnsi="Arial"/>
          <w:sz w:val="17"/>
          <w:szCs w:val="17"/>
          <w:color w:val="auto"/>
        </w:rPr>
        <w:t>JOHN R. ERICKSON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4271645</wp:posOffset>
            </wp:positionH>
            <wp:positionV relativeFrom="paragraph">
              <wp:posOffset>31750</wp:posOffset>
            </wp:positionV>
            <wp:extent cx="296735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57"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John R. Erickson</w:t>
      </w:r>
    </w:p>
    <w:p>
      <w:pPr>
        <w:spacing w:after="0" w:line="6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Financial Officer and Executive Vice President</w:t>
      </w:r>
    </w:p>
    <w:p>
      <w:pPr>
        <w:sectPr>
          <w:pgSz w:w="11900" w:h="16838" w:orient="portrait"/>
          <w:cols w:equalWidth="0" w:num="1">
            <w:col w:w="11400"/>
          </w:cols>
          <w:pgMar w:left="260" w:top="580" w:right="23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jc w:val="both"/>
        <w:ind w:right="320" w:firstLine="324"/>
        <w:spacing w:after="0" w:line="264" w:lineRule="auto"/>
        <w:rPr>
          <w:sz w:val="20"/>
          <w:szCs w:val="20"/>
          <w:color w:val="auto"/>
        </w:rPr>
      </w:pPr>
      <w:r>
        <w:rPr>
          <w:rFonts w:ascii="Arial" w:cs="Arial" w:eastAsia="Arial" w:hAnsi="Arial"/>
          <w:sz w:val="18"/>
          <w:szCs w:val="18"/>
          <w:color w:val="auto"/>
        </w:rPr>
        <w:t>We, Malon Wilkus, Chief Executive Officer and Chair of the Board of Directors, and John R. Erickson, Executive Vice President and Chief Financial Officer of American Capital Agency Corp. (the “Company”), certify, pursuant to Section 906 of the Sarbanes-Oxley Act of 2002, 18 U.S.C. Section 1350 that:</w:t>
      </w:r>
    </w:p>
    <w:p>
      <w:pPr>
        <w:spacing w:after="0" w:line="127" w:lineRule="exact"/>
        <w:rPr>
          <w:sz w:val="20"/>
          <w:szCs w:val="20"/>
          <w:color w:val="auto"/>
        </w:rPr>
      </w:pPr>
    </w:p>
    <w:p>
      <w:pPr>
        <w:ind w:left="660" w:right="120" w:hanging="328"/>
        <w:spacing w:after="0" w:line="277" w:lineRule="auto"/>
        <w:tabs>
          <w:tab w:leader="none" w:pos="6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September 30, 2012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33"/>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72" w:lineRule="exact"/>
        <w:rPr>
          <w:sz w:val="20"/>
          <w:szCs w:val="20"/>
          <w:color w:val="auto"/>
        </w:rPr>
      </w:pPr>
    </w:p>
    <w:p>
      <w:pPr>
        <w:ind w:left="40"/>
        <w:spacing w:after="0"/>
        <w:tabs>
          <w:tab w:leader="none" w:pos="700" w:val="left"/>
          <w:tab w:leader="none" w:pos="5520" w:val="left"/>
          <w:tab w:leader="none" w:pos="6420" w:val="left"/>
          <w:tab w:leader="none" w:pos="67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7, 2012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31750</wp:posOffset>
            </wp:positionV>
            <wp:extent cx="339598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395980" cy="8890"/>
                    </a:xfrm>
                    <a:prstGeom prst="rect">
                      <a:avLst/>
                    </a:prstGeom>
                    <a:noFill/>
                  </pic:spPr>
                </pic:pic>
              </a:graphicData>
            </a:graphic>
          </wp:anchor>
        </w:drawing>
      </w:r>
    </w:p>
    <w:p>
      <w:pPr>
        <w:spacing w:after="0" w:line="57"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Malon Wilkus</w:t>
      </w:r>
    </w:p>
    <w:p>
      <w:pPr>
        <w:spacing w:after="0" w:line="6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Chair of the Board</w:t>
      </w:r>
    </w:p>
    <w:p>
      <w:pPr>
        <w:spacing w:after="0" w:line="2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and Chief Executive Officer</w:t>
      </w:r>
    </w:p>
    <w:p>
      <w:pPr>
        <w:spacing w:after="0" w:line="359" w:lineRule="exact"/>
        <w:rPr>
          <w:sz w:val="20"/>
          <w:szCs w:val="20"/>
          <w:color w:val="auto"/>
        </w:rPr>
      </w:pPr>
    </w:p>
    <w:p>
      <w:pPr>
        <w:ind w:left="40"/>
        <w:spacing w:after="0"/>
        <w:tabs>
          <w:tab w:leader="none" w:pos="700" w:val="left"/>
          <w:tab w:leader="none" w:pos="5520" w:val="left"/>
          <w:tab w:leader="none" w:pos="6420" w:val="left"/>
          <w:tab w:leader="none" w:pos="67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7, 2012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J</w:t>
      </w:r>
      <w:r>
        <w:rPr>
          <w:rFonts w:ascii="Arial" w:cs="Arial" w:eastAsia="Arial" w:hAnsi="Arial"/>
          <w:sz w:val="13"/>
          <w:szCs w:val="13"/>
          <w:color w:val="auto"/>
        </w:rPr>
        <w:t>OHN</w:t>
      </w:r>
      <w:r>
        <w:rPr>
          <w:rFonts w:ascii="Arial" w:cs="Arial" w:eastAsia="Arial" w:hAnsi="Arial"/>
          <w:sz w:val="17"/>
          <w:szCs w:val="17"/>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31750</wp:posOffset>
            </wp:positionV>
            <wp:extent cx="339598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395980" cy="8890"/>
                    </a:xfrm>
                    <a:prstGeom prst="rect">
                      <a:avLst/>
                    </a:prstGeom>
                    <a:noFill/>
                  </pic:spPr>
                </pic:pic>
              </a:graphicData>
            </a:graphic>
          </wp:anchor>
        </w:drawing>
      </w:r>
    </w:p>
    <w:p>
      <w:pPr>
        <w:spacing w:after="0" w:line="57"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John R. Erickson</w:t>
      </w:r>
    </w:p>
    <w:p>
      <w:pPr>
        <w:spacing w:after="0" w:line="6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Chief Financial Officer and</w:t>
      </w:r>
    </w:p>
    <w:p>
      <w:pPr>
        <w:spacing w:after="0" w:line="2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Executive Vice President</w:t>
      </w:r>
    </w:p>
    <w:p>
      <w:pPr>
        <w:spacing w:after="0" w:line="197"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5E45D32"/>
    <w:multiLevelType w:val="hybridMultilevel"/>
    <w:lvl w:ilvl="0">
      <w:lvlJc w:val="left"/>
      <w:lvlText w:val="☒"/>
      <w:numFmt w:val="bullet"/>
      <w:start w:val="1"/>
    </w:lvl>
  </w:abstractNum>
  <w:abstractNum w:abstractNumId="1">
    <w:nsid w:val="519B500D"/>
    <w:multiLevelType w:val="hybridMultilevel"/>
    <w:lvl w:ilvl="0">
      <w:lvlJc w:val="left"/>
      <w:lvlText w:val="☐"/>
      <w:numFmt w:val="bullet"/>
      <w:start w:val="1"/>
    </w:lvl>
  </w:abstractNum>
  <w:abstractNum w:abstractNumId="2">
    <w:nsid w:val="431BD7B7"/>
    <w:multiLevelType w:val="hybridMultilevel"/>
    <w:lvl w:ilvl="0">
      <w:lvlJc w:val="left"/>
      <w:lvlText w:val="%1."/>
      <w:numFmt w:val="decimal"/>
      <w:start w:val="1"/>
    </w:lvl>
  </w:abstractNum>
  <w:abstractNum w:abstractNumId="3">
    <w:nsid w:val="3F2DBA31"/>
    <w:multiLevelType w:val="hybridMultilevel"/>
    <w:lvl w:ilvl="0">
      <w:lvlJc w:val="left"/>
      <w:lvlText w:val="%1."/>
      <w:numFmt w:val="decimal"/>
      <w:start w:val="1"/>
    </w:lvl>
  </w:abstractNum>
  <w:abstractNum w:abstractNumId="4">
    <w:nsid w:val="7C83E458"/>
    <w:multiLevelType w:val="hybridMultilevel"/>
    <w:lvl w:ilvl="0">
      <w:lvlJc w:val="left"/>
      <w:lvlText w:val="%1."/>
      <w:numFmt w:val="decimal"/>
      <w:start w:val="1"/>
    </w:lvl>
  </w:abstractNum>
  <w:abstractNum w:abstractNumId="5">
    <w:nsid w:val="257130A3"/>
    <w:multiLevelType w:val="hybridMultilevel"/>
    <w:lvl w:ilvl="0">
      <w:lvlJc w:val="left"/>
      <w:lvlText w:val="%1."/>
      <w:numFmt w:val="decimal"/>
      <w:start w:val="1"/>
    </w:lvl>
  </w:abstractNum>
  <w:abstractNum w:abstractNumId="6">
    <w:nsid w:val="62BBD95A"/>
    <w:multiLevelType w:val="hybridMultilevel"/>
    <w:lvl w:ilvl="0">
      <w:lvlJc w:val="left"/>
      <w:lvlText w:val="%1."/>
      <w:numFmt w:val="decimal"/>
      <w:start w:val="1"/>
    </w:lvl>
  </w:abstractNum>
  <w:abstractNum w:abstractNumId="7">
    <w:nsid w:val="436C6125"/>
    <w:multiLevelType w:val="hybridMultilevel"/>
    <w:lvl w:ilvl="0">
      <w:lvlJc w:val="left"/>
      <w:lvlText w:val="%1."/>
      <w:numFmt w:val="decimal"/>
      <w:start w:val="1"/>
    </w:lvl>
  </w:abstractNum>
  <w:abstractNum w:abstractNumId="8">
    <w:nsid w:val="628C895D"/>
    <w:multiLevelType w:val="hybridMultilevel"/>
    <w:lvl w:ilvl="0">
      <w:lvlJc w:val="left"/>
      <w:lvlText w:val="%1."/>
      <w:numFmt w:val="decimal"/>
      <w:start w:val="1"/>
    </w:lvl>
  </w:abstractNum>
  <w:abstractNum w:abstractNumId="9">
    <w:nsid w:val="333AB105"/>
    <w:multiLevelType w:val="hybridMultilevel"/>
    <w:lvl w:ilvl="0">
      <w:lvlJc w:val="left"/>
      <w:lvlText w:val="%1."/>
      <w:numFmt w:val="decimal"/>
      <w:start w:val="1"/>
    </w:lvl>
  </w:abstractNum>
  <w:abstractNum w:abstractNumId="10">
    <w:nsid w:val="721DA317"/>
    <w:multiLevelType w:val="hybridMultilevel"/>
    <w:lvl w:ilvl="0">
      <w:lvlJc w:val="left"/>
      <w:lvlText w:val="%1."/>
      <w:numFmt w:val="decimal"/>
      <w:start w:val="1"/>
    </w:lvl>
  </w:abstractNum>
  <w:abstractNum w:abstractNumId="11">
    <w:nsid w:val="2443A858"/>
    <w:multiLevelType w:val="hybridMultilevel"/>
    <w:lvl w:ilvl="0">
      <w:lvlJc w:val="left"/>
      <w:lvlText w:val="%1."/>
      <w:numFmt w:val="decimal"/>
      <w:start w:val="1"/>
    </w:lvl>
  </w:abstractNum>
  <w:abstractNum w:abstractNumId="12">
    <w:nsid w:val="2D1D5AE9"/>
    <w:multiLevelType w:val="hybridMultilevel"/>
    <w:lvl w:ilvl="0">
      <w:lvlJc w:val="left"/>
      <w:lvlText w:val="•"/>
      <w:numFmt w:val="bullet"/>
      <w:start w:val="1"/>
    </w:lvl>
  </w:abstractNum>
  <w:abstractNum w:abstractNumId="13">
    <w:nsid w:val="6763845E"/>
    <w:multiLevelType w:val="hybridMultilevel"/>
    <w:lvl w:ilvl="0">
      <w:lvlJc w:val="left"/>
      <w:lvlText w:val="•"/>
      <w:numFmt w:val="bullet"/>
      <w:start w:val="1"/>
    </w:lvl>
  </w:abstractNum>
  <w:abstractNum w:abstractNumId="14">
    <w:nsid w:val="75A2A8D4"/>
    <w:multiLevelType w:val="hybridMultilevel"/>
    <w:lvl w:ilvl="0">
      <w:lvlJc w:val="left"/>
      <w:lvlText w:val="•"/>
      <w:numFmt w:val="bullet"/>
      <w:start w:val="1"/>
    </w:lvl>
  </w:abstractNum>
  <w:abstractNum w:abstractNumId="15">
    <w:nsid w:val="8EDBDAB"/>
    <w:multiLevelType w:val="hybridMultilevel"/>
    <w:lvl w:ilvl="0">
      <w:lvlJc w:val="left"/>
      <w:lvlText w:val="%1."/>
      <w:numFmt w:val="decimal"/>
      <w:start w:val="1"/>
    </w:lvl>
  </w:abstractNum>
  <w:abstractNum w:abstractNumId="16">
    <w:nsid w:val="79838CB2"/>
    <w:multiLevelType w:val="hybridMultilevel"/>
    <w:lvl w:ilvl="0">
      <w:lvlJc w:val="left"/>
      <w:lvlText w:val="%1."/>
      <w:numFmt w:val="decimal"/>
      <w:start w:val="1"/>
    </w:lvl>
  </w:abstractNum>
  <w:abstractNum w:abstractNumId="17">
    <w:nsid w:val="4353D0CD"/>
    <w:multiLevelType w:val="hybridMultilevel"/>
    <w:lvl w:ilvl="0">
      <w:lvlJc w:val="left"/>
      <w:lvlText w:val="%1."/>
      <w:numFmt w:val="decimal"/>
      <w:start w:val="1"/>
    </w:lvl>
  </w:abstractNum>
  <w:abstractNum w:abstractNumId="18">
    <w:nsid w:val="B03E0C6"/>
    <w:multiLevelType w:val="hybridMultilevel"/>
    <w:lvl w:ilvl="0">
      <w:lvlJc w:val="left"/>
      <w:lvlText w:val="%1."/>
      <w:numFmt w:val="decimal"/>
      <w:start w:val="1"/>
    </w:lvl>
  </w:abstractNum>
  <w:abstractNum w:abstractNumId="19">
    <w:nsid w:val="189A769B"/>
    <w:multiLevelType w:val="hybridMultilevel"/>
    <w:lvl w:ilvl="0">
      <w:lvlJc w:val="left"/>
      <w:lvlText w:val="%1."/>
      <w:numFmt w:val="decimal"/>
    </w:lvl>
    <w:lvl w:ilvl="1">
      <w:lvlJc w:val="left"/>
      <w:lvlText w:val="*"/>
      <w:numFmt w:val="bullet"/>
      <w:start w:val="1"/>
    </w:lvl>
  </w:abstractNum>
  <w:abstractNum w:abstractNumId="20">
    <w:nsid w:val="54E49EB4"/>
    <w:multiLevelType w:val="hybridMultilevel"/>
    <w:lvl w:ilvl="0">
      <w:lvlJc w:val="left"/>
      <w:lvlText w:val="%1."/>
      <w:numFmt w:val="decimal"/>
      <w:start w:val="3"/>
    </w:lvl>
  </w:abstractNum>
  <w:abstractNum w:abstractNumId="21">
    <w:nsid w:val="71F32454"/>
    <w:multiLevelType w:val="hybridMultilevel"/>
    <w:lvl w:ilvl="0">
      <w:lvlJc w:val="left"/>
      <w:lvlText w:val="%1."/>
      <w:numFmt w:val="decimal"/>
      <w:start w:val="1"/>
    </w:lvl>
  </w:abstractNum>
  <w:abstractNum w:abstractNumId="22">
    <w:nsid w:val="2CA88611"/>
    <w:multiLevelType w:val="hybridMultilevel"/>
    <w:lvl w:ilvl="0">
      <w:lvlJc w:val="left"/>
      <w:lvlText w:val="%1."/>
      <w:numFmt w:val="decimal"/>
      <w:start w:val="1"/>
    </w:lvl>
  </w:abstractNum>
  <w:abstractNum w:abstractNumId="23">
    <w:nsid w:val="836C40E"/>
    <w:multiLevelType w:val="hybridMultilevel"/>
    <w:lvl w:ilvl="0">
      <w:lvlJc w:val="left"/>
      <w:lvlText w:val="%1."/>
      <w:numFmt w:val="decimal"/>
      <w:start w:val="1"/>
    </w:lvl>
  </w:abstractNum>
  <w:abstractNum w:abstractNumId="24">
    <w:nsid w:val="2901D82"/>
    <w:multiLevelType w:val="hybridMultilevel"/>
    <w:lvl w:ilvl="0">
      <w:lvlJc w:val="left"/>
      <w:lvlText w:val="%1."/>
      <w:numFmt w:val="decimal"/>
      <w:start w:val="1"/>
    </w:lvl>
  </w:abstractNum>
  <w:abstractNum w:abstractNumId="25">
    <w:nsid w:val="3A95F874"/>
    <w:multiLevelType w:val="hybridMultilevel"/>
    <w:lvl w:ilvl="0">
      <w:lvlJc w:val="left"/>
      <w:lvlText w:val="%1."/>
      <w:numFmt w:val="decimal"/>
      <w:start w:val="1"/>
    </w:lvl>
  </w:abstractNum>
  <w:abstractNum w:abstractNumId="26">
    <w:nsid w:val="8138641"/>
    <w:multiLevelType w:val="hybridMultilevel"/>
    <w:lvl w:ilvl="0">
      <w:lvlJc w:val="left"/>
      <w:lvlText w:val="%1."/>
      <w:numFmt w:val="decimal"/>
      <w:start w:val="1"/>
    </w:lvl>
  </w:abstractNum>
  <w:abstractNum w:abstractNumId="27">
    <w:nsid w:val="1E7FF521"/>
    <w:multiLevelType w:val="hybridMultilevel"/>
    <w:lvl w:ilvl="0">
      <w:lvlJc w:val="left"/>
      <w:lvlText w:val="(%1)"/>
      <w:numFmt w:val="lowerLetter"/>
      <w:start w:val="1"/>
    </w:lvl>
  </w:abstractNum>
  <w:abstractNum w:abstractNumId="28">
    <w:nsid w:val="7C3DBD3D"/>
    <w:multiLevelType w:val="hybridMultilevel"/>
    <w:lvl w:ilvl="0">
      <w:lvlJc w:val="left"/>
      <w:lvlText w:val="%1"/>
      <w:numFmt w:val="decimal"/>
      <w:start w:val="32"/>
    </w:lvl>
  </w:abstractNum>
  <w:abstractNum w:abstractNumId="29">
    <w:nsid w:val="737B8DDC"/>
    <w:multiLevelType w:val="hybridMultilevel"/>
    <w:lvl w:ilvl="0">
      <w:lvlJc w:val="left"/>
      <w:lvlText w:val="**"/>
      <w:numFmt w:val="bullet"/>
      <w:start w:val="1"/>
    </w:lvl>
    <w:lvl w:ilvl="1">
      <w:lvlJc w:val="left"/>
      <w:lvlText w:val="(%2)"/>
      <w:numFmt w:val="lowerLetter"/>
      <w:start w:val="2"/>
    </w:lvl>
  </w:abstractNum>
  <w:abstractNum w:abstractNumId="30">
    <w:nsid w:val="6CEAF087"/>
    <w:multiLevelType w:val="hybridMultilevel"/>
    <w:lvl w:ilvl="0">
      <w:lvlJc w:val="left"/>
      <w:lvlText w:val="%1."/>
      <w:numFmt w:val="decimal"/>
      <w:start w:val="1"/>
    </w:lvl>
    <w:lvl w:ilvl="1">
      <w:lvlJc w:val="left"/>
      <w:lvlText w:val="(%2)"/>
      <w:numFmt w:val="lowerLetter"/>
      <w:start w:val="1"/>
    </w:lvl>
  </w:abstractNum>
  <w:abstractNum w:abstractNumId="31">
    <w:nsid w:val="22221A70"/>
    <w:multiLevelType w:val="hybridMultilevel"/>
    <w:lvl w:ilvl="0">
      <w:lvlJc w:val="left"/>
      <w:lvlText w:val="%1."/>
      <w:numFmt w:val="decimal"/>
      <w:start w:val="1"/>
    </w:lvl>
    <w:lvl w:ilvl="1">
      <w:lvlJc w:val="left"/>
      <w:lvlText w:val="(%2)"/>
      <w:numFmt w:val="lowerLetter"/>
      <w:start w:val="1"/>
    </w:lvl>
  </w:abstractNum>
  <w:abstractNum w:abstractNumId="32">
    <w:nsid w:val="4516DDE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2019-12-09T18:38:41Z</dcterms:created>
  <dcterms:modified xsi:type="dcterms:W3CDTF">2019-12-09T18:38:41Z</dcterms:modified>
</cp:coreProperties>
</file>